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iyjtxynorq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iyjtxynorq</w:t>
      </w:r>
    </w:p>
    <w:p>
      <w:pPr>
        <w:pStyle w:val="BodyText"/>
      </w:pPr>
      <w:r>
        <w:rPr>
          <w:bCs/>
          <w:b/>
        </w:rPr>
        <w:t xml:space="preserve">Company Name:</w:t>
      </w:r>
      <w:r>
        <w:t xml:space="preserve"> </w:t>
      </w:r>
      <w:r>
        <w:t xml:space="preserve">teonhyggrh</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kkxstiwphe</w:t>
      </w:r>
    </w:p>
    <w:p>
      <w:pPr>
        <w:pStyle w:val="BodyText"/>
      </w:pPr>
      <w:r>
        <w:t xml:space="preserve">Disclaimer: This report is generated based on available data and industry standards, including illustrative emission factors and placeholder data as explicitly noted. Actual values may vary with primary data collection.</w:t>
      </w:r>
    </w:p>
    <w:bookmarkEnd w:id="20"/>
    <w:p>
      <w:pPr>
        <w:pStyle w:val="BodyText"/>
      </w:pPr>
      <w:r>
        <w:t xml:space="preserve">Carbon Footprint Report for iyjtxynorq | Generated Date: June 2, 2026</w:t>
      </w:r>
    </w:p>
    <w:bookmarkStart w:id="21" w:name="executive-summary"/>
    <w:p>
      <w:pPr>
        <w:pStyle w:val="Heading1"/>
      </w:pPr>
      <w:r>
        <w:t xml:space="preserve">Executive Summary</w:t>
      </w:r>
    </w:p>
    <w:p>
      <w:pPr>
        <w:pStyle w:val="FirstParagraph"/>
      </w:pPr>
      <w:r>
        <w:t xml:space="preserve">This report details the Product Carbon Footprint (PCF) analysis for \'iyjtxynorq\', manufactured by teonhyggrh. The analysis, conducted by Senior Sustainability Consultant kkxstiwphe, adheres to the GHG Protocol standards, with particular attention to the 2026 Land Sector and Removals (LSR) update and a commitment to over 95% Scope 3 coverage. The primary system boundary for this PCF is \'factory_gate\', covering emissions from raw material extraction, manufacturing, and upstream transport. For a comprehensive understanding of the product\'s environmental impact, a full lifecycle assessment including downstream distribution, use phase, and end-of-life scenarios has also been conducted and reported as Scope 3 emissions. The total estimated carbon footprint for a functional unit of \'iyjtxynorq\' is provided, highlighting key emission hotspots across its lifecycle. The data for this report includes illustrative values for Bill of Materials, transport, and energy parameters, as specific numerical values for the provided string placeholders were unavailable. Emission factors are drawn from industry-standard sources like Ecoinvent and DEFRA, or representative values where specific factors were not directly available for the illustrative data.</w:t>
      </w:r>
    </w:p>
    <w:p>
      <w:r>
        <w:pict>
          <v:rect style="width:0;height:1.5pt" o:hralign="center" o:hrstd="t" o:hr="t"/>
        </w:pict>
      </w:r>
    </w:p>
    <w:bookmarkEnd w:id="21"/>
    <w:bookmarkStart w:id="45" w:name="methodology"/>
    <w:p>
      <w:pPr>
        <w:pStyle w:val="Heading1"/>
      </w:pPr>
      <w:r>
        <w:t xml:space="preserve">Methodology</w:t>
      </w:r>
    </w:p>
    <w:p>
      <w:pPr>
        <w:pStyle w:val="FirstParagraph"/>
      </w:pPr>
      <w:r>
        <w:t xml:space="preserve">The Product Carbon Footprint (PCF) analysis for \'iyjtxynorq\' followed a five-step lifecycle assessment methodology, aligned with the GHG Protocol Product Standard.</w:t>
      </w:r>
    </w:p>
    <w:bookmarkStart w:id="22" w:name="define-scope"/>
    <w:p>
      <w:pPr>
        <w:pStyle w:val="Heading2"/>
      </w:pPr>
      <w:r>
        <w:t xml:space="preserve">1. Define Scope</w:t>
      </w:r>
    </w:p>
    <w:p>
      <w:pPr>
        <w:numPr>
          <w:ilvl w:val="0"/>
          <w:numId w:val="1001"/>
        </w:numPr>
        <w:pStyle w:val="Compact"/>
      </w:pPr>
      <w:r>
        <w:rPr>
          <w:bCs/>
          <w:b/>
        </w:rPr>
        <w:t xml:space="preserve">Functional Unit:</w:t>
      </w:r>
      <w:r>
        <w:t xml:space="preserve"> </w:t>
      </w:r>
      <w:r>
        <w:t xml:space="preserve">1.0 unit of \'iyjtxynorq\'.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The primary reporting boundary is "factory_gate". This includes raw material acquisition, upstream transportation, and manufacturing processes up to the point the finished product leaves the teonhyggrh factory in China. For a holistic understanding, the analysis extends to include downstream distribution, the product use phase, and end-of-life (EoL) scenarios, categorized under Scope 3.</w:t>
      </w:r>
    </w:p>
    <w:p>
      <w:pPr>
        <w:numPr>
          <w:ilvl w:val="0"/>
          <w:numId w:val="1001"/>
        </w:numPr>
        <w:pStyle w:val="Compact"/>
      </w:pPr>
      <w:r>
        <w:rPr>
          <w:bCs/>
          <w:b/>
        </w:rPr>
        <w:t xml:space="preserve">Geographic Scope:</w:t>
      </w:r>
      <w:r>
        <w:t xml:space="preserve"> </w:t>
      </w:r>
      <w:r>
        <w:t xml:space="preserve">Final Production Country: China. Supply Chain Focus: Europe Focused. This implies that manufacturing occurs in China, while a significant portion of the supply chain and end-user market is situated in Europe.</w:t>
      </w:r>
    </w:p>
    <w:p>
      <w:pPr>
        <w:numPr>
          <w:ilvl w:val="0"/>
          <w:numId w:val="1001"/>
        </w:numPr>
        <w:pStyle w:val="Compact"/>
      </w:pPr>
      <w:r>
        <w:rPr>
          <w:bCs/>
          <w:b/>
        </w:rPr>
        <w:t xml:space="preserve">Accounting Standard:</w:t>
      </w:r>
      <w:r>
        <w:t xml:space="preserve"> </w:t>
      </w:r>
      <w:r>
        <w:t xml:space="preserve">The analysis strictly adheres to the Greenhouse Gas (GHG) Protocol Product Life Cycle Accounting and Reporting Standard.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Where co-production or recycling processes occur, allocation methods are applied based on established GHG Protocol guidance, typically mass-based or economic allocation, to ensure fair distribution of emissions.</w:t>
      </w:r>
    </w:p>
    <w:bookmarkEnd w:id="22"/>
    <w:bookmarkStart w:id="23" w:name="X5b65be45848e8ebf641a72983b24f262a4ce7a0"/>
    <w:p>
      <w:pPr>
        <w:pStyle w:val="Heading2"/>
      </w:pPr>
      <w:r>
        <w:t xml:space="preserve">2. Map Lifecycle (Life Cycle Inventory - LCI Stages)</w:t>
      </w:r>
    </w:p>
    <w:p>
      <w:pPr>
        <w:pStyle w:val="FirstParagraph"/>
      </w:pPr>
      <w:r>
        <w:t xml:space="preserve">The lifecycle of \'iyjtxynorq\' was mapped into distinct stages to ensure comprehensive data collection and emission accounting:</w:t>
      </w:r>
    </w:p>
    <w:p>
      <w:pPr>
        <w:numPr>
          <w:ilvl w:val="0"/>
          <w:numId w:val="1002"/>
        </w:numPr>
        <w:pStyle w:val="Compact"/>
      </w:pPr>
      <w:r>
        <w:rPr>
          <w:bCs/>
          <w:b/>
        </w:rPr>
        <w:t xml:space="preserve">Material Acquisition &amp; Pre-processing:</w:t>
      </w:r>
      <w:r>
        <w:t xml:space="preserve"> </w:t>
      </w:r>
      <w:r>
        <w:t xml:space="preserve">Extraction of raw materials and their initial processing into usable forms (e.g., aluminum extrusion, plastic resin production).</w:t>
      </w:r>
    </w:p>
    <w:p>
      <w:pPr>
        <w:numPr>
          <w:ilvl w:val="0"/>
          <w:numId w:val="1002"/>
        </w:numPr>
        <w:pStyle w:val="Compact"/>
      </w:pPr>
      <w:r>
        <w:rPr>
          <w:bCs/>
          <w:b/>
        </w:rPr>
        <w:t xml:space="preserve">Manufacturing:</w:t>
      </w:r>
      <w:r>
        <w:t xml:space="preserve"> </w:t>
      </w:r>
      <w:r>
        <w:t xml:space="preserve">Production of \'iyjtxynorq\' at teonhyggrh\'s facility in China, including energy consumption and direct emissions.</w:t>
      </w:r>
    </w:p>
    <w:p>
      <w:pPr>
        <w:numPr>
          <w:ilvl w:val="0"/>
          <w:numId w:val="1002"/>
        </w:numPr>
        <w:pStyle w:val="Compact"/>
      </w:pPr>
      <w:r>
        <w:rPr>
          <w:bCs/>
          <w:b/>
        </w:rPr>
        <w:t xml:space="preserve">Transportation (Upstream):</w:t>
      </w:r>
      <w:r>
        <w:t xml:space="preserve"> </w:t>
      </w:r>
      <w:r>
        <w:t xml:space="preserve">Logistics of raw materials and components from suppliers to the manufacturing facility.</w:t>
      </w:r>
    </w:p>
    <w:p>
      <w:pPr>
        <w:numPr>
          <w:ilvl w:val="0"/>
          <w:numId w:val="1002"/>
        </w:numPr>
        <w:pStyle w:val="Compact"/>
      </w:pPr>
      <w:r>
        <w:rPr>
          <w:bCs/>
          <w:b/>
        </w:rPr>
        <w:t xml:space="preserve">Transportation (Downstream):</w:t>
      </w:r>
      <w:r>
        <w:t xml:space="preserve"> </w:t>
      </w:r>
      <w:r>
        <w:t xml:space="preserve">Distribution of the finished product from the factory to end-users in Europe, including last-mile delivery.</w:t>
      </w:r>
    </w:p>
    <w:p>
      <w:pPr>
        <w:numPr>
          <w:ilvl w:val="0"/>
          <w:numId w:val="1002"/>
        </w:numPr>
        <w:pStyle w:val="Compact"/>
      </w:pPr>
      <w:r>
        <w:rPr>
          <w:bCs/>
          <w:b/>
        </w:rPr>
        <w:t xml:space="preserve">Use Phase:</w:t>
      </w:r>
      <w:r>
        <w:t xml:space="preserve"> </w:t>
      </w:r>
      <w:r>
        <w:t xml:space="preserve">Energy consumption and any associated emissions during the product\'s operational lifespan.</w:t>
      </w:r>
    </w:p>
    <w:p>
      <w:pPr>
        <w:numPr>
          <w:ilvl w:val="0"/>
          <w:numId w:val="1002"/>
        </w:numPr>
        <w:pStyle w:val="Compact"/>
      </w:pPr>
      <w:r>
        <w:rPr>
          <w:bCs/>
          <w:b/>
        </w:rPr>
        <w:t xml:space="preserve">End-of-Life (EoL):</w:t>
      </w:r>
      <w:r>
        <w:t xml:space="preserve"> </w:t>
      </w:r>
      <w:r>
        <w:t xml:space="preserve">Disposal, recycling, or recovery processes for the product at the end of its useful life.</w:t>
      </w:r>
    </w:p>
    <w:bookmarkEnd w:id="23"/>
    <w:bookmarkStart w:id="29" w:name="Xb57f50a89bf1f3f1837369be949d9d60d6c1272"/>
    <w:p>
      <w:pPr>
        <w:pStyle w:val="Heading2"/>
      </w:pPr>
      <w:r>
        <w:t xml:space="preserve">3. Collect Data (Primary/Secondary Data Points)</w:t>
      </w:r>
    </w:p>
    <w:p>
      <w:pPr>
        <w:pStyle w:val="FirstParagraph"/>
      </w:pPr>
      <w:r>
        <w:t xml:space="preserve">Data was collected and, where specific numerical input was indicated as a placeholder string, illustrative values based on industry averages and best practices were applied for demonstration purposes. These placeholder values are clearly noted.</w:t>
      </w:r>
    </w:p>
    <w:bookmarkStart w:id="24" w:name="Xd72c1ee07711015fc3b4dd3a3f728ba2d6881ef"/>
    <w:p>
      <w:pPr>
        <w:pStyle w:val="Heading3"/>
      </w:pPr>
      <w:r>
        <w:t xml:space="preserve">Detailed Bill of Materials (BOM) for iyjtxynorq (Illustrative)</w:t>
      </w:r>
    </w:p>
    <w:p>
      <w:pPr>
        <w:pStyle w:val="FirstParagraph"/>
      </w:pPr>
      <w:r>
        <w:t xml:space="preserve">The following Bill of Materials (BOM) provides a detailed breakdown of the product\'s components. Please note that the specific BOM data was indicated by the string "oxfvfgtl". For the purpose of this analysis, illustrative data structured according to the specified format (ID, Description, Category, Process, Qty, Unit, Emission Factor, Total Carbon) has been used. In a real-world scenario, precise primary data for each material would be collected from suppliers and validated against databases such as Ecoinvent or DEFRA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 &amp;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6.7</w:t>
            </w:r>
          </w:p>
        </w:tc>
        <w:tc>
          <w:tcPr/>
          <w:p>
            <w:pPr>
              <w:pStyle w:val="Compact"/>
              <w:jc w:val="left"/>
            </w:pPr>
            <w:r>
              <w:t xml:space="preserve">3.35</w:t>
            </w:r>
          </w:p>
        </w:tc>
      </w:tr>
      <w:tr>
        <w:tc>
          <w:tcPr/>
          <w:p>
            <w:pPr>
              <w:pStyle w:val="Compact"/>
              <w:jc w:val="left"/>
            </w:pPr>
            <w:r>
              <w:t xml:space="preserve">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3.2</w:t>
            </w:r>
          </w:p>
        </w:tc>
        <w:tc>
          <w:tcPr/>
          <w:p>
            <w:pPr>
              <w:pStyle w:val="Compact"/>
              <w:jc w:val="left"/>
            </w:pPr>
            <w:r>
              <w:t xml:space="preserve">0.96</w:t>
            </w:r>
          </w:p>
        </w:tc>
      </w:tr>
      <w:tr>
        <w:tc>
          <w:tcPr/>
          <w:p>
            <w:pPr>
              <w:pStyle w:val="Compact"/>
              <w:jc w:val="left"/>
            </w:pPr>
            <w:r>
              <w:t xml:space="preserve">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45.0</w:t>
            </w:r>
          </w:p>
        </w:tc>
        <w:tc>
          <w:tcPr/>
          <w:p>
            <w:pPr>
              <w:pStyle w:val="Compact"/>
              <w:jc w:val="left"/>
            </w:pPr>
            <w:r>
              <w:t xml:space="preserve">4.50</w:t>
            </w:r>
          </w:p>
        </w:tc>
      </w:tr>
      <w:tr>
        <w:tc>
          <w:tcPr>
            <w:gridSpan w:val="4"/>
          </w:tcPr>
          <w:p>
            <w:pPr>
              <w:pStyle w:val="Compact"/>
              <w:jc w:val="right"/>
            </w:pPr>
            <w:r>
              <w:rPr>
                <w:bCs/>
                <w:b/>
              </w:rPr>
              <w:t xml:space="preserve">Total Product Mass:</w:t>
            </w:r>
          </w:p>
        </w:tc>
        <w:tc>
          <w:tcPr/>
          <w:p>
            <w:pPr>
              <w:pStyle w:val="Compact"/>
              <w:jc w:val="left"/>
            </w:pPr>
            <w:r>
              <w:rPr>
                <w:bCs/>
                <w:b/>
              </w:rPr>
              <w:t xml:space="preserve">0.9</w:t>
            </w:r>
          </w:p>
        </w:tc>
        <w:tc>
          <w:tcPr/>
          <w:p>
            <w:pPr>
              <w:pStyle w:val="Compact"/>
              <w:jc w:val="left"/>
            </w:pPr>
            <w:r>
              <w:rPr>
                <w:bCs/>
                <w:b/>
              </w:rPr>
              <w:t xml:space="preserve">kg</w:t>
            </w:r>
          </w:p>
        </w:tc>
        <w:tc>
          <w:tcPr/>
          <w:p>
            <w:pPr>
              <w:pStyle w:val="Compact"/>
            </w:pPr>
          </w:p>
        </w:tc>
        <w:tc>
          <w:tcPr/>
          <w:p>
            <w:pPr>
              <w:pStyle w:val="Compact"/>
              <w:jc w:val="left"/>
            </w:pPr>
            <w:r>
              <w:rPr>
                <w:bCs/>
                <w:b/>
              </w:rPr>
              <w:t xml:space="preserve">8.81</w:t>
            </w:r>
          </w:p>
        </w:tc>
      </w:tr>
    </w:tbl>
    <w:bookmarkEnd w:id="24"/>
    <w:bookmarkStart w:id="25" w:name="energy-inputs-manufacturing-phase"/>
    <w:p>
      <w:pPr>
        <w:pStyle w:val="Heading3"/>
      </w:pPr>
      <w:r>
        <w:t xml:space="preserve">Energy Inputs (Manufacturing Phase)</w:t>
      </w:r>
    </w:p>
    <w:p>
      <w:pPr>
        <w:numPr>
          <w:ilvl w:val="0"/>
          <w:numId w:val="1003"/>
        </w:numPr>
        <w:pStyle w:val="Compact"/>
      </w:pPr>
      <w:r>
        <w:rPr>
          <w:bCs/>
          <w:b/>
        </w:rPr>
        <w:t xml:space="preserve">Energy Intensity (kWh/unit):</w:t>
      </w:r>
      <w:r>
        <w:t xml:space="preserve"> </w:t>
      </w:r>
      <w:r>
        <w:t xml:space="preserve">15 kWh/unit (Placeholder: rivgqhvemf)</w:t>
      </w:r>
    </w:p>
    <w:p>
      <w:pPr>
        <w:numPr>
          <w:ilvl w:val="0"/>
          <w:numId w:val="1003"/>
        </w:numPr>
        <w:pStyle w:val="Compact"/>
      </w:pPr>
      <w:r>
        <w:rPr>
          <w:bCs/>
          <w:b/>
        </w:rPr>
        <w:t xml:space="preserve">Renewable Energy Usage:</w:t>
      </w:r>
      <w:r>
        <w:t xml:space="preserve"> </w:t>
      </w:r>
      <w:r>
        <w:t xml:space="preserve">40% (Placeholder: ssnvljykgy)</w:t>
      </w:r>
    </w:p>
    <w:p>
      <w:pPr>
        <w:numPr>
          <w:ilvl w:val="0"/>
          <w:numId w:val="1003"/>
        </w:numPr>
        <w:pStyle w:val="Compact"/>
      </w:pPr>
      <w:r>
        <w:rPr>
          <w:bCs/>
          <w:b/>
        </w:rPr>
        <w:t xml:space="preserve">Non-Renewable Energy Usage:</w:t>
      </w:r>
      <w:r>
        <w:t xml:space="preserve"> </w:t>
      </w:r>
      <w:r>
        <w:t xml:space="preserve">60% (100% - 40%)</w:t>
      </w:r>
    </w:p>
    <w:p>
      <w:pPr>
        <w:numPr>
          <w:ilvl w:val="0"/>
          <w:numId w:val="1003"/>
        </w:numPr>
        <w:pStyle w:val="Compact"/>
      </w:pPr>
      <w:r>
        <w:rPr>
          <w:bCs/>
          <w:b/>
        </w:rPr>
        <w:t xml:space="preserve">China Grid Electricity Emission Factor:</w:t>
      </w:r>
      <w:r>
        <w:t xml:space="preserve"> </w:t>
      </w:r>
      <w:r>
        <w:t xml:space="preserve">0.6835 kg CO2e/kWh (Life-cycle factor for China\'s comprehensive electricity footprint, from academic study.)</w:t>
      </w:r>
    </w:p>
    <w:bookmarkEnd w:id="25"/>
    <w:bookmarkStart w:id="26" w:name="logistics-data"/>
    <w:p>
      <w:pPr>
        <w:pStyle w:val="Heading3"/>
      </w:pPr>
      <w:r>
        <w:t xml:space="preserve">Logistics Data</w:t>
      </w:r>
    </w:p>
    <w:p>
      <w:pPr>
        <w:numPr>
          <w:ilvl w:val="0"/>
          <w:numId w:val="1004"/>
        </w:numPr>
        <w:pStyle w:val="Compact"/>
      </w:pPr>
      <w:r>
        <w:rPr>
          <w:bCs/>
          <w:b/>
        </w:rPr>
        <w:t xml:space="preserve">Upstream Transport Mode (Illustrative):</w:t>
      </w:r>
      <w:r>
        <w:t xml:space="preserve"> </w:t>
      </w:r>
      <w:r>
        <w:t xml:space="preserve">Road Freight (Heavy Goods Vehicle &gt; 32t, long haul)</w:t>
      </w:r>
    </w:p>
    <w:p>
      <w:pPr>
        <w:numPr>
          <w:ilvl w:val="0"/>
          <w:numId w:val="1004"/>
        </w:numPr>
        <w:pStyle w:val="Compact"/>
      </w:pPr>
      <w:r>
        <w:rPr>
          <w:bCs/>
          <w:b/>
        </w:rPr>
        <w:t xml:space="preserve">Upstream Transport Distance (Illustrative - Inbound to China factory):</w:t>
      </w:r>
      <w:r>
        <w:t xml:space="preserve"> </w:t>
      </w:r>
      <w:r>
        <w:t xml:space="preserve">2000 km (Placeholder: uhzhoykgpn content assumed)</w:t>
      </w:r>
    </w:p>
    <w:p>
      <w:pPr>
        <w:numPr>
          <w:ilvl w:val="0"/>
          <w:numId w:val="1004"/>
        </w:numPr>
        <w:pStyle w:val="Compact"/>
      </w:pPr>
      <w:r>
        <w:rPr>
          <w:bCs/>
          <w:b/>
        </w:rPr>
        <w:t xml:space="preserve">Upstream Transport Emission Factor (Road Freight - HGV):</w:t>
      </w:r>
      <w:r>
        <w:t xml:space="preserve"> </w:t>
      </w:r>
      <w:r>
        <w:t xml:space="preserve">0.08 kg CO2e/tkm (Illustrative, based on typical ranges from DEFRA/GLEC for HGV.)</w:t>
      </w:r>
    </w:p>
    <w:p>
      <w:pPr>
        <w:numPr>
          <w:ilvl w:val="0"/>
          <w:numId w:val="1004"/>
        </w:numPr>
        <w:pStyle w:val="Compact"/>
      </w:pPr>
      <w:r>
        <w:rPr>
          <w:bCs/>
          <w:b/>
        </w:rPr>
        <w:t xml:space="preserve">Downstream Transport Mode (Illustrative - Outbound from China to Europe distribution hub):</w:t>
      </w:r>
      <w:r>
        <w:t xml:space="preserve"> </w:t>
      </w:r>
      <w:r>
        <w:t xml:space="preserve">Road Freight (Heavy Goods Vehicle &gt; 32t, long haul)</w:t>
      </w:r>
    </w:p>
    <w:p>
      <w:pPr>
        <w:numPr>
          <w:ilvl w:val="0"/>
          <w:numId w:val="1004"/>
        </w:numPr>
        <w:pStyle w:val="Compact"/>
      </w:pPr>
      <w:r>
        <w:rPr>
          <w:bCs/>
          <w:b/>
        </w:rPr>
        <w:t xml:space="preserve">Downstream Transport Distance (Illustrative):</w:t>
      </w:r>
      <w:r>
        <w:t xml:space="preserve"> </w:t>
      </w:r>
      <w:r>
        <w:t xml:space="preserve">10000 km (Placeholder: uhzhoykgpn content assumed for longer haul)</w:t>
      </w:r>
    </w:p>
    <w:p>
      <w:pPr>
        <w:numPr>
          <w:ilvl w:val="0"/>
          <w:numId w:val="1004"/>
        </w:numPr>
        <w:pStyle w:val="Compact"/>
      </w:pPr>
      <w:r>
        <w:rPr>
          <w:bCs/>
          <w:b/>
        </w:rPr>
        <w:t xml:space="preserve">Last-Mile Delivery Channel (Illustrative):</w:t>
      </w:r>
      <w:r>
        <w:t xml:space="preserve"> </w:t>
      </w:r>
      <w:r>
        <w:t xml:space="preserve">Parcel Service (Diesel Van, Class III) (Placeholder: Delivery Type content assumed)</w:t>
      </w:r>
    </w:p>
    <w:p>
      <w:pPr>
        <w:numPr>
          <w:ilvl w:val="0"/>
          <w:numId w:val="1004"/>
        </w:numPr>
        <w:pStyle w:val="Compact"/>
      </w:pPr>
      <w:r>
        <w:rPr>
          <w:bCs/>
          <w:b/>
        </w:rPr>
        <w:t xml:space="preserve">Last-Mile Delivery Distance (Illustrative):</w:t>
      </w:r>
      <w:r>
        <w:t xml:space="preserve"> </w:t>
      </w:r>
      <w:r>
        <w:t xml:space="preserve">150 km</w:t>
      </w:r>
    </w:p>
    <w:p>
      <w:pPr>
        <w:numPr>
          <w:ilvl w:val="0"/>
          <w:numId w:val="1004"/>
        </w:numPr>
        <w:pStyle w:val="Compact"/>
      </w:pPr>
      <w:r>
        <w:rPr>
          <w:bCs/>
          <w:b/>
        </w:rPr>
        <w:t xml:space="preserve">Last-Mile Delivery Emission Factor (Diesel Van):</w:t>
      </w:r>
      <w:r>
        <w:t xml:space="preserve"> </w:t>
      </w:r>
      <w:r>
        <w:t xml:space="preserve">0.25 kg CO2e/km (Approximation based on DEFRA factors for delivery vehicles.)</w:t>
      </w:r>
    </w:p>
    <w:bookmarkEnd w:id="26"/>
    <w:bookmarkStart w:id="27" w:name="use-phase-data"/>
    <w:p>
      <w:pPr>
        <w:pStyle w:val="Heading3"/>
      </w:pPr>
      <w:r>
        <w:t xml:space="preserve">Use Phase Data</w:t>
      </w:r>
    </w:p>
    <w:p>
      <w:pPr>
        <w:numPr>
          <w:ilvl w:val="0"/>
          <w:numId w:val="1005"/>
        </w:numPr>
        <w:pStyle w:val="Compact"/>
      </w:pPr>
      <w:r>
        <w:rPr>
          <w:bCs/>
          <w:b/>
        </w:rPr>
        <w:t xml:space="preserve">Product Lifespan:</w:t>
      </w:r>
      <w:r>
        <w:t xml:space="preserve"> </w:t>
      </w:r>
      <w:r>
        <w:t xml:space="preserve">5 years (Placeholder: vgsvtfgznh)</w:t>
      </w:r>
    </w:p>
    <w:p>
      <w:pPr>
        <w:numPr>
          <w:ilvl w:val="0"/>
          <w:numId w:val="1005"/>
        </w:numPr>
        <w:pStyle w:val="Compact"/>
      </w:pPr>
      <w:r>
        <w:rPr>
          <w:bCs/>
          <w:b/>
        </w:rPr>
        <w:t xml:space="preserve">Energy Consumption in Use:</w:t>
      </w:r>
      <w:r>
        <w:t xml:space="preserve"> </w:t>
      </w:r>
      <w:r>
        <w:t xml:space="preserve">10 kWh/year (Placeholder: qdeukzmugg)</w:t>
      </w:r>
    </w:p>
    <w:p>
      <w:pPr>
        <w:numPr>
          <w:ilvl w:val="0"/>
          <w:numId w:val="1005"/>
        </w:numPr>
        <w:pStyle w:val="Compact"/>
      </w:pPr>
      <w:r>
        <w:rPr>
          <w:bCs/>
          <w:b/>
        </w:rPr>
        <w:t xml:space="preserve">Europe Grid Electricity Emission Factor:</w:t>
      </w:r>
      <w:r>
        <w:t xml:space="preserve"> </w:t>
      </w:r>
      <w:r>
        <w:t xml:space="preserve">0.238 kg CO2e/kWh (EU average.)</w:t>
      </w:r>
    </w:p>
    <w:bookmarkEnd w:id="27"/>
    <w:bookmarkStart w:id="28" w:name="end-of-life-eol-scenarios"/>
    <w:p>
      <w:pPr>
        <w:pStyle w:val="Heading3"/>
      </w:pPr>
      <w:r>
        <w:t xml:space="preserve">End-of-Life (EoL) Scenarios</w:t>
      </w:r>
    </w:p>
    <w:p>
      <w:pPr>
        <w:numPr>
          <w:ilvl w:val="0"/>
          <w:numId w:val="1006"/>
        </w:numPr>
        <w:pStyle w:val="Compact"/>
      </w:pPr>
      <w:r>
        <w:rPr>
          <w:bCs/>
          <w:b/>
        </w:rPr>
        <w:t xml:space="preserve">Recyclability Percentage:</w:t>
      </w:r>
      <w:r>
        <w:t xml:space="preserve"> </w:t>
      </w:r>
      <w:r>
        <w:t xml:space="preserve">60% (Placeholder: xkhyhmsgej)</w:t>
      </w:r>
    </w:p>
    <w:p>
      <w:pPr>
        <w:numPr>
          <w:ilvl w:val="0"/>
          <w:numId w:val="1006"/>
        </w:numPr>
        <w:pStyle w:val="Compact"/>
      </w:pPr>
      <w:r>
        <w:rPr>
          <w:bCs/>
          <w:b/>
        </w:rPr>
        <w:t xml:space="preserve">Circular/Take-back Programs:</w:t>
      </w:r>
      <w:r>
        <w:t xml:space="preserve"> </w:t>
      </w:r>
      <w:r>
        <w:t xml:space="preserve">teonhyggrh operates a robust take-back and refurbishment program for \'iyjtxynorq\', aiming to extend product life and minimize waste. (Placeholder: lnuvijxsom)</w:t>
      </w:r>
    </w:p>
    <w:p>
      <w:pPr>
        <w:numPr>
          <w:ilvl w:val="0"/>
          <w:numId w:val="1006"/>
        </w:numPr>
        <w:pStyle w:val="Compact"/>
      </w:pPr>
      <w:r>
        <w:rPr>
          <w:bCs/>
          <w:b/>
        </w:rPr>
        <w:t xml:space="preserve">End-of-Life Disposal Emission Factor (Illustrative):</w:t>
      </w:r>
      <w:r>
        <w:t xml:space="preserve"> </w:t>
      </w:r>
      <w:r>
        <w:t xml:space="preserve">0.1 kg CO2e/kg (for non-recycled waste)</w:t>
      </w:r>
    </w:p>
    <w:p>
      <w:pPr>
        <w:numPr>
          <w:ilvl w:val="0"/>
          <w:numId w:val="1006"/>
        </w:numPr>
        <w:pStyle w:val="Compact"/>
      </w:pPr>
      <w:r>
        <w:rPr>
          <w:bCs/>
          <w:b/>
        </w:rPr>
        <w:t xml:space="preserve">End-of-Life Recycling Avoided Emission Factor (Illustrative):</w:t>
      </w:r>
      <w:r>
        <w:t xml:space="preserve"> </w:t>
      </w:r>
      <w:r>
        <w:t xml:space="preserve">-50% of virgin material emission factor (credit for recycled materials).</w:t>
      </w:r>
    </w:p>
    <w:bookmarkEnd w:id="28"/>
    <w:bookmarkEnd w:id="29"/>
    <w:bookmarkStart w:id="38" w:name="Xb404f6bea4a0013006ec7a9103609d9ea6643c1"/>
    <w:p>
      <w:pPr>
        <w:pStyle w:val="Heading2"/>
      </w:pPr>
      <w:r>
        <w:t xml:space="preserve">4. Calculate Emissions (Activity * Emission Factor = CO2e)</w:t>
      </w:r>
    </w:p>
    <w:p>
      <w:pPr>
        <w:pStyle w:val="FirstParagraph"/>
      </w:pPr>
      <w:r>
        <w:t xml:space="preserve">Emissions were calculated for each life cycle stage using the collected data and appropriate emission factors. All calculations use Global Warming Potential (GWP100) values from the IPCC Sixth Assessment Report (AR6) for CO2e equivalence. The Land Sector and Removals (LSR) Standard (2026 update) is considered for any relevant land-use change impacts or carbon removals, though specific data for such impacts was not provided for \'iyjtxynorq\' and thus not quantified in this report. This report ensures at least 95% coverage for Scope 3 reporting, in line with 2026 requirements, by including comprehensive upstream and downstream activities.</w:t>
      </w:r>
    </w:p>
    <w:bookmarkStart w:id="36" w:name="X4d16e4a28f6cd82bfe585410bd621d8a67b2ee9"/>
    <w:p>
      <w:pPr>
        <w:pStyle w:val="Heading3"/>
      </w:pPr>
      <w:r>
        <w:t xml:space="preserve">Detailed Emission Calculations (Illustrative)</w:t>
      </w:r>
    </w:p>
    <w:bookmarkStart w:id="30" w:name="Xe16be8999a863bb504866c69a7c87bce1955d36"/>
    <w:p>
      <w:pPr>
        <w:pStyle w:val="Heading4"/>
      </w:pPr>
      <w:r>
        <w:t xml:space="preserve">1. Material Acquisition &amp; Pre-processing Emissions (Scope 3, Category 1 - Purchased Goods &amp; Services)</w:t>
      </w:r>
    </w:p>
    <w:p>
      <w:pPr>
        <w:pStyle w:val="FirstParagraph"/>
      </w:pPr>
      <w:r>
        <w:t xml:space="preserve">Based on the illustrative BOM data:</w:t>
      </w:r>
    </w:p>
    <w:p>
      <w:pPr>
        <w:numPr>
          <w:ilvl w:val="0"/>
          <w:numId w:val="1007"/>
        </w:numPr>
        <w:pStyle w:val="Compact"/>
      </w:pPr>
      <w:r>
        <w:t xml:space="preserve">Aluminum Casing: 0.5 kg * 6.7 kg CO2e/kg = 3.35 kg CO2e</w:t>
      </w:r>
    </w:p>
    <w:p>
      <w:pPr>
        <w:numPr>
          <w:ilvl w:val="0"/>
          <w:numId w:val="1007"/>
        </w:numPr>
        <w:pStyle w:val="Compact"/>
      </w:pPr>
      <w:r>
        <w:t xml:space="preserve">ABS Plastic Housing: 0.3 kg * 3.2 kg CO2e/kg = 0.96 kg CO2e</w:t>
      </w:r>
    </w:p>
    <w:p>
      <w:pPr>
        <w:numPr>
          <w:ilvl w:val="0"/>
          <w:numId w:val="1007"/>
        </w:numPr>
        <w:pStyle w:val="Compact"/>
      </w:pPr>
      <w:r>
        <w:t xml:space="preserve">Printed Circuit Board (PCB): 0.1 kg * 45.0 kg CO2e/kg = 4.50 kg CO2e</w:t>
      </w:r>
    </w:p>
    <w:p>
      <w:pPr>
        <w:pStyle w:val="FirstParagraph"/>
      </w:pPr>
      <w:r>
        <w:rPr>
          <w:bCs/>
          <w:b/>
        </w:rPr>
        <w:t xml:space="preserve">Total Material Emissions: 8.81 kg CO2e</w:t>
      </w:r>
    </w:p>
    <w:bookmarkEnd w:id="30"/>
    <w:bookmarkStart w:id="31" w:name="manufacturing-emissions-scope-1-2"/>
    <w:p>
      <w:pPr>
        <w:pStyle w:val="Heading4"/>
      </w:pPr>
      <w:r>
        <w:t xml:space="preserve">2. Manufacturing Emissions (Scope 1 &amp; 2)</w:t>
      </w:r>
    </w:p>
    <w:p>
      <w:pPr>
        <w:pStyle w:val="FirstParagraph"/>
      </w:pPr>
      <w:r>
        <w:t xml:space="preserve">Assuming negligible direct (Scope 1) emissions from manufacturing processes beyond energy consumption for this illustrative product.</w:t>
      </w:r>
    </w:p>
    <w:p>
      <w:pPr>
        <w:numPr>
          <w:ilvl w:val="0"/>
          <w:numId w:val="1008"/>
        </w:numPr>
        <w:pStyle w:val="Compact"/>
      </w:pPr>
      <w:r>
        <w:t xml:space="preserve">Total Energy Consumed: 15 kWh/unit</w:t>
      </w:r>
    </w:p>
    <w:p>
      <w:pPr>
        <w:numPr>
          <w:ilvl w:val="0"/>
          <w:numId w:val="1008"/>
        </w:numPr>
        <w:pStyle w:val="Compact"/>
      </w:pPr>
      <w:r>
        <w:t xml:space="preserve">Non-Renewable Energy: 15 kWh/unit * (1 - 0.40) = 9 kWh/unit</w:t>
      </w:r>
    </w:p>
    <w:p>
      <w:pPr>
        <w:numPr>
          <w:ilvl w:val="0"/>
          <w:numId w:val="1008"/>
        </w:numPr>
        <w:pStyle w:val="Compact"/>
      </w:pPr>
      <w:r>
        <w:t xml:space="preserve">Emissions from Non-Renewable Energy: 9 kWh/unit * 0.6835 kg CO2e/kWh (China Grid EF) = 6.15 kg CO2e/unit</w:t>
      </w:r>
    </w:p>
    <w:p>
      <w:pPr>
        <w:pStyle w:val="FirstParagraph"/>
      </w:pPr>
      <w:r>
        <w:rPr>
          <w:bCs/>
          <w:b/>
        </w:rPr>
        <w:t xml:space="preserve">Total Manufacturing Energy Emissions (Scope 2): 6.15 kg CO2e</w:t>
      </w:r>
    </w:p>
    <w:bookmarkEnd w:id="31"/>
    <w:bookmarkStart w:id="32" w:name="X53d1043beb434d3f3ccb67d056550dd0482fe77"/>
    <w:p>
      <w:pPr>
        <w:pStyle w:val="Heading4"/>
      </w:pPr>
      <w:r>
        <w:t xml:space="preserve">3. Upstream Transportation Emissions (Scope 3, Category 4 - Upstream Transportation &amp; Distribution)</w:t>
      </w:r>
    </w:p>
    <w:p>
      <w:pPr>
        <w:numPr>
          <w:ilvl w:val="0"/>
          <w:numId w:val="1009"/>
        </w:numPr>
        <w:pStyle w:val="Compact"/>
      </w:pPr>
      <w:r>
        <w:t xml:space="preserve">Total Product Mass for inbound materials: 0.9 kg (as per BOM)</w:t>
      </w:r>
    </w:p>
    <w:p>
      <w:pPr>
        <w:numPr>
          <w:ilvl w:val="0"/>
          <w:numId w:val="1009"/>
        </w:numPr>
        <w:pStyle w:val="Compact"/>
      </w:pPr>
      <w:r>
        <w:t xml:space="preserve">Upstream Transport (Inbound to China): (0.9 kg / 1000) t * 2000 km * 0.08 kg CO2e/tkm = 0.144 kg CO2e</w:t>
      </w:r>
    </w:p>
    <w:p>
      <w:pPr>
        <w:pStyle w:val="FirstParagraph"/>
      </w:pPr>
      <w:r>
        <w:rPr>
          <w:bCs/>
          <w:b/>
        </w:rPr>
        <w:t xml:space="preserve">Total Upstream Transport Emissions: 0.144 kg CO2e</w:t>
      </w:r>
    </w:p>
    <w:bookmarkEnd w:id="32"/>
    <w:bookmarkStart w:id="33" w:name="Xa53610184189dd21b9fb40a068dadc7a843213b"/>
    <w:p>
      <w:pPr>
        <w:pStyle w:val="Heading4"/>
      </w:pPr>
      <w:r>
        <w:t xml:space="preserve">4. Downstream Transportation &amp; Distribution Emissions (Scope 3, Category 4 - Downstream Transportation &amp; Distribution)</w:t>
      </w:r>
    </w:p>
    <w:p>
      <w:pPr>
        <w:numPr>
          <w:ilvl w:val="0"/>
          <w:numId w:val="1010"/>
        </w:numPr>
        <w:pStyle w:val="Compact"/>
      </w:pPr>
      <w:r>
        <w:t xml:space="preserve">Product Weight: 0.9 kg</w:t>
      </w:r>
    </w:p>
    <w:p>
      <w:pPr>
        <w:numPr>
          <w:ilvl w:val="0"/>
          <w:numId w:val="1010"/>
        </w:numPr>
        <w:pStyle w:val="Compact"/>
      </w:pPr>
      <w:r>
        <w:t xml:space="preserve">Primary Distribution (Factory to Europe Hub): (0.9 kg / 1000) t * 10000 km * 0.08 kg CO2e/tkm = 0.72 kg CO2e</w:t>
      </w:r>
    </w:p>
    <w:p>
      <w:pPr>
        <w:numPr>
          <w:ilvl w:val="0"/>
          <w:numId w:val="1010"/>
        </w:numPr>
        <w:pStyle w:val="Compact"/>
      </w:pPr>
      <w:r>
        <w:t xml:space="preserve">Last-Mile Delivery (within Europe): 150 km * 0.25 kg CO2e/km = 37.5 kg CO2e</w:t>
      </w:r>
    </w:p>
    <w:p>
      <w:pPr>
        <w:pStyle w:val="FirstParagraph"/>
      </w:pPr>
      <w:r>
        <w:rPr>
          <w:bCs/>
          <w:b/>
        </w:rPr>
        <w:t xml:space="preserve">Total Downstream Transport Emissions: 0.72 + 37.5 = 38.22 kg CO2e</w:t>
      </w:r>
    </w:p>
    <w:bookmarkEnd w:id="33"/>
    <w:bookmarkStart w:id="34" w:name="X6421c938dd7e5cb731724b1ba3c67e4f5efecf9"/>
    <w:p>
      <w:pPr>
        <w:pStyle w:val="Heading4"/>
      </w:pPr>
      <w:r>
        <w:t xml:space="preserve">5. Use Phase Emissions (Scope 3, Category 11 - Use of Sold Products)</w:t>
      </w:r>
    </w:p>
    <w:p>
      <w:pPr>
        <w:numPr>
          <w:ilvl w:val="0"/>
          <w:numId w:val="1011"/>
        </w:numPr>
        <w:pStyle w:val="Compact"/>
      </w:pPr>
      <w:r>
        <w:t xml:space="preserve">Annual Energy Consumption: 10 kWh/year</w:t>
      </w:r>
    </w:p>
    <w:p>
      <w:pPr>
        <w:numPr>
          <w:ilvl w:val="0"/>
          <w:numId w:val="1011"/>
        </w:numPr>
        <w:pStyle w:val="Compact"/>
      </w:pPr>
      <w:r>
        <w:t xml:space="preserve">Product Lifespan: 5 years</w:t>
      </w:r>
    </w:p>
    <w:p>
      <w:pPr>
        <w:numPr>
          <w:ilvl w:val="0"/>
          <w:numId w:val="1011"/>
        </w:numPr>
        <w:pStyle w:val="Compact"/>
      </w:pPr>
      <w:r>
        <w:t xml:space="preserve">Total Energy in Use: 10 kWh/year * 5 years = 50 kWh</w:t>
      </w:r>
    </w:p>
    <w:p>
      <w:pPr>
        <w:numPr>
          <w:ilvl w:val="0"/>
          <w:numId w:val="1011"/>
        </w:numPr>
        <w:pStyle w:val="Compact"/>
      </w:pPr>
      <w:r>
        <w:t xml:space="preserve">Emissions from Use Phase: 50 kWh * 0.238 kg CO2e/kWh (Europe Grid EF) = 11.90 kg CO2e</w:t>
      </w:r>
    </w:p>
    <w:p>
      <w:pPr>
        <w:pStyle w:val="FirstParagraph"/>
      </w:pPr>
      <w:r>
        <w:rPr>
          <w:bCs/>
          <w:b/>
        </w:rPr>
        <w:t xml:space="preserve">Total Use Phase Emissions: 11.90 kg CO2e</w:t>
      </w:r>
    </w:p>
    <w:bookmarkEnd w:id="34"/>
    <w:bookmarkStart w:id="35" w:name="Xe2e13a8f65c17e1ac66b0d841462be7a19c1c25"/>
    <w:p>
      <w:pPr>
        <w:pStyle w:val="Heading4"/>
      </w:pPr>
      <w:r>
        <w:t xml:space="preserve">6. End-of-Life (EoL) Emissions (Scope 3, Category 12 - End-of-Life Treatment of Sold Products)</w:t>
      </w:r>
    </w:p>
    <w:p>
      <w:pPr>
        <w:numPr>
          <w:ilvl w:val="0"/>
          <w:numId w:val="1012"/>
        </w:numPr>
        <w:pStyle w:val="Compact"/>
      </w:pPr>
      <w:r>
        <w:t xml:space="preserve">Total Product Mass: 0.9 kg</w:t>
      </w:r>
    </w:p>
    <w:p>
      <w:pPr>
        <w:numPr>
          <w:ilvl w:val="0"/>
          <w:numId w:val="1012"/>
        </w:numPr>
        <w:pStyle w:val="Compact"/>
      </w:pPr>
      <w:r>
        <w:t xml:space="preserve">Recycled Portion: 0.9 kg * 60% = 0.54 kg</w:t>
      </w:r>
    </w:p>
    <w:p>
      <w:pPr>
        <w:numPr>
          <w:ilvl w:val="0"/>
          <w:numId w:val="1012"/>
        </w:numPr>
        <w:pStyle w:val="Compact"/>
      </w:pPr>
      <w:r>
        <w:t xml:space="preserve">Disposed Portion: 0.9 kg * (1 - 60%) = 0.36 kg</w:t>
      </w:r>
    </w:p>
    <w:p>
      <w:pPr>
        <w:numPr>
          <w:ilvl w:val="0"/>
          <w:numId w:val="1012"/>
        </w:numPr>
        <w:pStyle w:val="Compact"/>
      </w:pPr>
      <w:r>
        <w:t xml:space="preserve">Recycling Credit: - (0.54 kg * (Average Material EF, e.g., 6.7+3.2+45/3 = 18.3 kgCO2e/kg) * 50% credit factor) = - (0.54 * 18.3 * 0.5) = -4.94 kg CO2e (Illustrative)</w:t>
      </w:r>
    </w:p>
    <w:p>
      <w:pPr>
        <w:numPr>
          <w:ilvl w:val="0"/>
          <w:numId w:val="1012"/>
        </w:numPr>
        <w:pStyle w:val="Compact"/>
      </w:pPr>
      <w:r>
        <w:t xml:space="preserve">Disposal Emissions: 0.36 kg * 0.1 kg CO2e/kg = 0.036 kg CO2e</w:t>
      </w:r>
    </w:p>
    <w:p>
      <w:pPr>
        <w:pStyle w:val="FirstParagraph"/>
      </w:pPr>
      <w:r>
        <w:rPr>
          <w:bCs/>
          <w:b/>
        </w:rPr>
        <w:t xml:space="preserve">Total End-of-Life Emissions: -4.94 + 0.036 = -4.904 kg CO2e</w:t>
      </w:r>
      <w:r>
        <w:t xml:space="preserve"> </w:t>
      </w:r>
      <w:r>
        <w:t xml:space="preserve">(Net credit due to high recycling efficiency)</w:t>
      </w:r>
    </w:p>
    <w:bookmarkEnd w:id="35"/>
    <w:bookmarkEnd w:id="36"/>
    <w:bookmarkStart w:id="37" w:name="X2cd39429c737cab4e2d576afb470cdfa6150e98"/>
    <w:p>
      <w:pPr>
        <w:pStyle w:val="Heading3"/>
      </w:pPr>
      <w:r>
        <w:t xml:space="preserve">Total Product Carbon Footprint (PCF) for 1.0 unit of iyjtxynorq</w:t>
      </w:r>
    </w:p>
    <w:p>
      <w:pPr>
        <w:pStyle w:val="FirstParagraph"/>
      </w:pPr>
      <w:r>
        <w:t xml:space="preserve">The total PCF is the sum of emissions from all lifecycle stages:</w:t>
      </w:r>
    </w:p>
    <w:p>
      <w:pPr>
        <w:numPr>
          <w:ilvl w:val="0"/>
          <w:numId w:val="1013"/>
        </w:numPr>
        <w:pStyle w:val="Compact"/>
      </w:pPr>
      <w:r>
        <w:t xml:space="preserve">Material Acquisition: 8.81 kg CO2e</w:t>
      </w:r>
    </w:p>
    <w:p>
      <w:pPr>
        <w:numPr>
          <w:ilvl w:val="0"/>
          <w:numId w:val="1013"/>
        </w:numPr>
        <w:pStyle w:val="Compact"/>
      </w:pPr>
      <w:r>
        <w:t xml:space="preserve">Manufacturing Energy: 6.15 kg CO2e</w:t>
      </w:r>
    </w:p>
    <w:p>
      <w:pPr>
        <w:numPr>
          <w:ilvl w:val="0"/>
          <w:numId w:val="1013"/>
        </w:numPr>
        <w:pStyle w:val="Compact"/>
      </w:pPr>
      <w:r>
        <w:t xml:space="preserve">Upstream Transportation: 0.144 kg CO2e</w:t>
      </w:r>
    </w:p>
    <w:p>
      <w:pPr>
        <w:numPr>
          <w:ilvl w:val="0"/>
          <w:numId w:val="1013"/>
        </w:numPr>
        <w:pStyle w:val="Compact"/>
      </w:pPr>
      <w:r>
        <w:t xml:space="preserve">Downstream Transportation: 38.22 kg CO2e</w:t>
      </w:r>
    </w:p>
    <w:p>
      <w:pPr>
        <w:numPr>
          <w:ilvl w:val="0"/>
          <w:numId w:val="1013"/>
        </w:numPr>
        <w:pStyle w:val="Compact"/>
      </w:pPr>
      <w:r>
        <w:t xml:space="preserve">Use Phase: 11.90 kg CO2e</w:t>
      </w:r>
    </w:p>
    <w:p>
      <w:pPr>
        <w:numPr>
          <w:ilvl w:val="0"/>
          <w:numId w:val="1013"/>
        </w:numPr>
        <w:pStyle w:val="Compact"/>
      </w:pPr>
      <w:r>
        <w:t xml:space="preserve">End-of-Life: -4.904 kg CO2e</w:t>
      </w:r>
    </w:p>
    <w:p>
      <w:pPr>
        <w:pStyle w:val="FirstParagraph"/>
      </w:pPr>
      <w:r>
        <w:rPr>
          <w:bCs/>
          <w:b/>
        </w:rPr>
        <w:t xml:space="preserve">Total PCF (Cradle-to-Grave): 8.81 + 6.15 + 0.144 + 38.22 + 11.90 - 4.904 = 60.32 kg CO2e per functional unit</w:t>
      </w:r>
    </w:p>
    <w:p>
      <w:r>
        <w:pict>
          <v:rect style="width:0;height:1.5pt" o:hralign="center" o:hrstd="t" o:hr="t"/>
        </w:pict>
      </w:r>
    </w:p>
    <w:bookmarkEnd w:id="37"/>
    <w:bookmarkEnd w:id="38"/>
    <w:bookmarkStart w:id="40" w:name="ghg-protocol-scopes-categorization"/>
    <w:p>
      <w:pPr>
        <w:pStyle w:val="Heading2"/>
      </w:pPr>
      <w:r>
        <w:t xml:space="preserve">GHG Protocol Scopes Categorization</w:t>
      </w:r>
    </w:p>
    <w:p>
      <w:pPr>
        <w:pStyle w:val="FirstParagraph"/>
      </w:pPr>
      <w:r>
        <w:t xml:space="preserve">Emissions are categorized according to the GHG Protocol as follows:</w:t>
      </w:r>
    </w:p>
    <w:p>
      <w:pPr>
        <w:numPr>
          <w:ilvl w:val="0"/>
          <w:numId w:val="1014"/>
        </w:numPr>
        <w:pStyle w:val="Compact"/>
      </w:pPr>
      <w:r>
        <w:rPr>
          <w:bCs/>
          <w:b/>
        </w:rPr>
        <w:t xml:space="preserve">Scope 1 (Direct Emissions):</w:t>
      </w:r>
      <w:r>
        <w:t xml:space="preserve"> </w:t>
      </w:r>
      <w:r>
        <w:t xml:space="preserve">None identified as significant beyond what\'s captured by energy consumption. In a real scenario, this would include direct emissions from company-owned vehicles (if applicable to upstream/downstream transport and not outsourced) or manufacturing processes that release GHGs directly. For this illustrative report, Scope 1 is considered negligible as manufacturing energy is Scope 2.</w:t>
      </w:r>
    </w:p>
    <w:p>
      <w:pPr>
        <w:numPr>
          <w:ilvl w:val="0"/>
          <w:numId w:val="1014"/>
        </w:numPr>
        <w:pStyle w:val="Compact"/>
      </w:pPr>
      <w:r>
        <w:rPr>
          <w:bCs/>
          <w:b/>
        </w:rPr>
        <w:t xml:space="preserve">Scope 2 (Indirect Emissions from Purchased Energy):</w:t>
      </w:r>
      <w:r>
        <w:t xml:space="preserve"> </w:t>
      </w:r>
      <w:r>
        <w:t xml:space="preserve">Emissions from electricity consumed in the manufacturing facility.</w:t>
      </w:r>
    </w:p>
    <w:p>
      <w:pPr>
        <w:numPr>
          <w:ilvl w:val="1"/>
          <w:numId w:val="1015"/>
        </w:numPr>
        <w:pStyle w:val="Compact"/>
      </w:pPr>
      <w:r>
        <w:t xml:space="preserve">Manufacturing Electricity: 6.15 kg CO2e</w:t>
      </w:r>
    </w:p>
    <w:p>
      <w:pPr>
        <w:numPr>
          <w:ilvl w:val="0"/>
          <w:numId w:val="1014"/>
        </w:numPr>
        <w:pStyle w:val="Compact"/>
      </w:pPr>
      <w:r>
        <w:rPr>
          <w:bCs/>
          <w:b/>
        </w:rPr>
        <w:t xml:space="preserve">Scope 3 (Other Indirect Emissions in the Value Chain):</w:t>
      </w:r>
      <w:r>
        <w:t xml:space="preserve"> </w:t>
      </w:r>
      <w:r>
        <w:t xml:space="preserve">Covers all other emissions not included in Scope 1 or 2. This analysis ensures at least 95% coverage for Scope 3.</w:t>
      </w:r>
    </w:p>
    <w:p>
      <w:pPr>
        <w:numPr>
          <w:ilvl w:val="1"/>
          <w:numId w:val="1016"/>
        </w:numPr>
        <w:pStyle w:val="Compact"/>
      </w:pPr>
      <w:r>
        <w:t xml:space="preserve">Category 1: Purchased Goods &amp; Services (Material Acquisition): 8.81 kg CO2e</w:t>
      </w:r>
    </w:p>
    <w:p>
      <w:pPr>
        <w:numPr>
          <w:ilvl w:val="1"/>
          <w:numId w:val="1016"/>
        </w:numPr>
        <w:pStyle w:val="Compact"/>
      </w:pPr>
      <w:r>
        <w:t xml:space="preserve">Category 4: Upstream Transportation &amp; Distribution (Inbound Logistics): 0.144 kg CO2e</w:t>
      </w:r>
    </w:p>
    <w:p>
      <w:pPr>
        <w:numPr>
          <w:ilvl w:val="1"/>
          <w:numId w:val="1016"/>
        </w:numPr>
        <w:pStyle w:val="Compact"/>
      </w:pPr>
      <w:r>
        <w:t xml:space="preserve">Category 4: Downstream Transportation &amp; Distribution (Outbound Logistics &amp; Last-Mile Delivery): 38.22 kg CO2e</w:t>
      </w:r>
    </w:p>
    <w:p>
      <w:pPr>
        <w:numPr>
          <w:ilvl w:val="1"/>
          <w:numId w:val="1016"/>
        </w:numPr>
        <w:pStyle w:val="Compact"/>
      </w:pPr>
      <w:r>
        <w:t xml:space="preserve">Category 11: Use of Sold Products: 11.90 kg CO2e</w:t>
      </w:r>
    </w:p>
    <w:p>
      <w:pPr>
        <w:numPr>
          <w:ilvl w:val="1"/>
          <w:numId w:val="1016"/>
        </w:numPr>
        <w:pStyle w:val="Compact"/>
      </w:pPr>
      <w:r>
        <w:t xml:space="preserve">Category 12: End-of-Life Treatment of Sold Products: -4.904 kg CO2e</w:t>
      </w:r>
    </w:p>
    <w:bookmarkStart w:id="39" w:name="summary-of-emissions-by-scope"/>
    <w:p>
      <w:pPr>
        <w:pStyle w:val="Heading3"/>
      </w:pPr>
      <w:r>
        <w:t xml:space="preserve">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(Manufacturing Electricity)</w:t>
            </w:r>
          </w:p>
        </w:tc>
        <w:tc>
          <w:tcPr/>
          <w:p>
            <w:pPr>
              <w:pStyle w:val="Compact"/>
              <w:jc w:val="left"/>
            </w:pPr>
            <w:r>
              <w:t xml:space="preserve">6.15</w:t>
            </w:r>
          </w:p>
        </w:tc>
        <w:tc>
          <w:tcPr/>
          <w:p>
            <w:pPr>
              <w:pStyle w:val="Compact"/>
              <w:jc w:val="left"/>
            </w:pPr>
            <w:r>
              <w:t xml:space="preserve">10.2%</w:t>
            </w:r>
          </w:p>
        </w:tc>
      </w:tr>
      <w:tr>
        <w:tc>
          <w:tcPr/>
          <w:p>
            <w:pPr>
              <w:pStyle w:val="Compact"/>
              <w:jc w:val="left"/>
            </w:pPr>
            <w:r>
              <w:t xml:space="preserve">Scope 3 (Materials)</w:t>
            </w:r>
          </w:p>
        </w:tc>
        <w:tc>
          <w:tcPr/>
          <w:p>
            <w:pPr>
              <w:pStyle w:val="Compact"/>
              <w:jc w:val="left"/>
            </w:pPr>
            <w:r>
              <w:t xml:space="preserve">8.81</w:t>
            </w:r>
          </w:p>
        </w:tc>
        <w:tc>
          <w:tcPr/>
          <w:p>
            <w:pPr>
              <w:pStyle w:val="Compact"/>
              <w:jc w:val="left"/>
            </w:pPr>
            <w:r>
              <w:t xml:space="preserve">14.6%</w:t>
            </w:r>
          </w:p>
        </w:tc>
      </w:tr>
      <w:tr>
        <w:tc>
          <w:tcPr/>
          <w:p>
            <w:pPr>
              <w:pStyle w:val="Compact"/>
              <w:jc w:val="left"/>
            </w:pPr>
            <w:r>
              <w:t xml:space="preserve">Scope 3 (Upstream Transport)</w:t>
            </w:r>
          </w:p>
        </w:tc>
        <w:tc>
          <w:tcPr/>
          <w:p>
            <w:pPr>
              <w:pStyle w:val="Compact"/>
              <w:jc w:val="left"/>
            </w:pPr>
            <w:r>
              <w:t xml:space="preserve">0.144</w:t>
            </w:r>
          </w:p>
        </w:tc>
        <w:tc>
          <w:tcPr/>
          <w:p>
            <w:pPr>
              <w:pStyle w:val="Compact"/>
              <w:jc w:val="left"/>
            </w:pPr>
            <w:r>
              <w:t xml:space="preserve">0.2%</w:t>
            </w:r>
          </w:p>
        </w:tc>
      </w:tr>
      <w:tr>
        <w:tc>
          <w:tcPr/>
          <w:p>
            <w:pPr>
              <w:pStyle w:val="Compact"/>
              <w:jc w:val="left"/>
            </w:pPr>
            <w:r>
              <w:t xml:space="preserve">Scope 3 (Downstream Transport)</w:t>
            </w:r>
          </w:p>
        </w:tc>
        <w:tc>
          <w:tcPr/>
          <w:p>
            <w:pPr>
              <w:pStyle w:val="Compact"/>
              <w:jc w:val="left"/>
            </w:pPr>
            <w:r>
              <w:t xml:space="preserve">38.22</w:t>
            </w:r>
          </w:p>
        </w:tc>
        <w:tc>
          <w:tcPr/>
          <w:p>
            <w:pPr>
              <w:pStyle w:val="Compact"/>
              <w:jc w:val="left"/>
            </w:pPr>
            <w:r>
              <w:t xml:space="preserve">63.4%</w:t>
            </w:r>
          </w:p>
        </w:tc>
      </w:tr>
      <w:tr>
        <w:tc>
          <w:tcPr/>
          <w:p>
            <w:pPr>
              <w:pStyle w:val="Compact"/>
              <w:jc w:val="left"/>
            </w:pPr>
            <w:r>
              <w:t xml:space="preserve">Scope 3 (Use Phase)</w:t>
            </w:r>
          </w:p>
        </w:tc>
        <w:tc>
          <w:tcPr/>
          <w:p>
            <w:pPr>
              <w:pStyle w:val="Compact"/>
              <w:jc w:val="left"/>
            </w:pPr>
            <w:r>
              <w:t xml:space="preserve">11.90</w:t>
            </w:r>
          </w:p>
        </w:tc>
        <w:tc>
          <w:tcPr/>
          <w:p>
            <w:pPr>
              <w:pStyle w:val="Compact"/>
              <w:jc w:val="left"/>
            </w:pPr>
            <w:r>
              <w:t xml:space="preserve">19.7%</w:t>
            </w:r>
          </w:p>
        </w:tc>
      </w:tr>
      <w:tr>
        <w:tc>
          <w:tcPr/>
          <w:p>
            <w:pPr>
              <w:pStyle w:val="Compact"/>
              <w:jc w:val="left"/>
            </w:pPr>
            <w:r>
              <w:t xml:space="preserve">Scope 3 (End-of-Life)</w:t>
            </w:r>
          </w:p>
        </w:tc>
        <w:tc>
          <w:tcPr/>
          <w:p>
            <w:pPr>
              <w:pStyle w:val="Compact"/>
              <w:jc w:val="left"/>
            </w:pPr>
            <w:r>
              <w:t xml:space="preserve">-4.904</w:t>
            </w:r>
          </w:p>
        </w:tc>
        <w:tc>
          <w:tcPr/>
          <w:p>
            <w:pPr>
              <w:pStyle w:val="Compact"/>
              <w:jc w:val="left"/>
            </w:pPr>
            <w:r>
              <w:t xml:space="preserve">-8.1%</w:t>
            </w:r>
          </w:p>
        </w:tc>
      </w:tr>
      <w:tr>
        <w:tc>
          <w:tcPr/>
          <w:p>
            <w:pPr>
              <w:pStyle w:val="Compact"/>
              <w:jc w:val="left"/>
            </w:pPr>
            <w:r>
              <w:rPr>
                <w:bCs/>
                <w:b/>
              </w:rPr>
              <w:t xml:space="preserve">Total PCF (Cradle-to-Grave)</w:t>
            </w:r>
          </w:p>
        </w:tc>
        <w:tc>
          <w:tcPr/>
          <w:p>
            <w:pPr>
              <w:pStyle w:val="Compact"/>
              <w:jc w:val="left"/>
            </w:pPr>
            <w:r>
              <w:rPr>
                <w:bCs/>
                <w:b/>
              </w:rPr>
              <w:t xml:space="preserve">60.32</w:t>
            </w:r>
          </w:p>
        </w:tc>
        <w:tc>
          <w:tcPr/>
          <w:p>
            <w:pPr>
              <w:pStyle w:val="Compact"/>
              <w:jc w:val="left"/>
            </w:pPr>
            <w:r>
              <w:rPr>
                <w:bCs/>
                <w:b/>
              </w:rPr>
              <w:t xml:space="preserve">100.0%</w:t>
            </w:r>
          </w:p>
        </w:tc>
      </w:tr>
    </w:tbl>
    <w:p>
      <w:r>
        <w:pict>
          <v:rect style="width:0;height:1.5pt" o:hralign="center" o:hrstd="t" o:hr="t"/>
        </w:pict>
      </w:r>
    </w:p>
    <w:bookmarkEnd w:id="39"/>
    <w:bookmarkEnd w:id="40"/>
    <w:bookmarkStart w:id="44" w:name="review-report"/>
    <w:p>
      <w:pPr>
        <w:pStyle w:val="Heading2"/>
      </w:pPr>
      <w:r>
        <w:t xml:space="preserve">5. Review &amp; Report</w:t>
      </w:r>
    </w:p>
    <w:bookmarkStart w:id="41" w:name="hotspot-analysis"/>
    <w:p>
      <w:pPr>
        <w:pStyle w:val="Heading3"/>
      </w:pPr>
      <w:r>
        <w:t xml:space="preserve">Hotspot Analysis</w:t>
      </w:r>
    </w:p>
    <w:p>
      <w:pPr>
        <w:pStyle w:val="FirstParagraph"/>
      </w:pPr>
      <w:r>
        <w:t xml:space="preserve">The analysis of \'iyjtxynorq\' reveals several key emission hotspots:</w:t>
      </w:r>
    </w:p>
    <w:p>
      <w:pPr>
        <w:numPr>
          <w:ilvl w:val="0"/>
          <w:numId w:val="1017"/>
        </w:numPr>
        <w:pStyle w:val="Compact"/>
      </w:pPr>
      <w:r>
        <w:rPr>
          <w:bCs/>
          <w:b/>
        </w:rPr>
        <w:t xml:space="preserve">Downstream Transportation (63.4%):</w:t>
      </w:r>
      <w:r>
        <w:t xml:space="preserve"> </w:t>
      </w:r>
      <w:r>
        <w:t xml:space="preserve">This is by far the largest contributor, primarily due to the long-distance shipping from China to Europe and the last-mile delivery. The assumed 10,000 km distance for primary distribution, coupled with the last-mile delivery, dominates the footprint. Optimizing logistics, shifting to lower-emission transport modes (e.g., rail or sea where feasible for bulk, electric vans for last-mile), and localizing production or distribution centers could significantly reduce this impact.</w:t>
      </w:r>
    </w:p>
    <w:p>
      <w:pPr>
        <w:numPr>
          <w:ilvl w:val="0"/>
          <w:numId w:val="1017"/>
        </w:numPr>
        <w:pStyle w:val="Compact"/>
      </w:pPr>
      <w:r>
        <w:rPr>
          <w:bCs/>
          <w:b/>
        </w:rPr>
        <w:t xml:space="preserve">Use Phase (19.7%):</w:t>
      </w:r>
      <w:r>
        <w:t xml:space="preserve"> </w:t>
      </w:r>
      <w:r>
        <w:t xml:space="preserve">The energy consumption during the 5-year product lifespan contributes substantially. Improving product energy efficiency and encouraging the use of renewable energy sources by end-users in Europe would mitigate these emissions.</w:t>
      </w:r>
    </w:p>
    <w:p>
      <w:pPr>
        <w:numPr>
          <w:ilvl w:val="0"/>
          <w:numId w:val="1017"/>
        </w:numPr>
        <w:pStyle w:val="Compact"/>
      </w:pPr>
      <w:r>
        <w:rPr>
          <w:bCs/>
          <w:b/>
        </w:rPr>
        <w:t xml:space="preserve">Material Acquisition (14.6%):</w:t>
      </w:r>
      <w:r>
        <w:t xml:space="preserve"> </w:t>
      </w:r>
      <w:r>
        <w:t xml:space="preserve">The choice of materials, particularly the Printed Circuit Board, has a notable impact. Investigating alternative materials with lower embodied carbon, increasing recycled content, or optimizing design to reduce material usage are important strategies.</w:t>
      </w:r>
    </w:p>
    <w:p>
      <w:pPr>
        <w:numPr>
          <w:ilvl w:val="0"/>
          <w:numId w:val="1017"/>
        </w:numPr>
        <w:pStyle w:val="Compact"/>
      </w:pPr>
      <w:r>
        <w:rPr>
          <w:bCs/>
          <w:b/>
        </w:rPr>
        <w:t xml:space="preserve">Manufacturing Energy (10.2%):</w:t>
      </w:r>
      <w:r>
        <w:t xml:space="preserve"> </w:t>
      </w:r>
      <w:r>
        <w:t xml:space="preserve">While teonhyggrh utilizes 40% renewable energy, the remaining reliance on the Chinese grid, which has a higher carbon intensity compared to many European grids, is a significant factor. Increasing renewable energy procurement or on-site generation in China is crucial.</w:t>
      </w:r>
    </w:p>
    <w:bookmarkEnd w:id="41"/>
    <w:bookmarkStart w:id="42" w:name="reliability-and-limitations"/>
    <w:p>
      <w:pPr>
        <w:pStyle w:val="Heading3"/>
      </w:pPr>
      <w:r>
        <w:t xml:space="preserve">Reliability and Limitations</w:t>
      </w:r>
    </w:p>
    <w:p>
      <w:pPr>
        <w:pStyle w:val="FirstParagraph"/>
      </w:pPr>
      <w:r>
        <w:t xml:space="preserve">This report provides a high-detail PCF analysis based on the parameters provided. However, its reliability is subject to the following limitations:</w:t>
      </w:r>
    </w:p>
    <w:p>
      <w:pPr>
        <w:numPr>
          <w:ilvl w:val="0"/>
          <w:numId w:val="1018"/>
        </w:numPr>
        <w:pStyle w:val="Compact"/>
      </w:pPr>
      <w:r>
        <w:rPr>
          <w:bCs/>
          <w:b/>
        </w:rPr>
        <w:t xml:space="preserve">Placeholder Data:</w:t>
      </w:r>
      <w:r>
        <w:t xml:space="preserve"> </w:t>
      </w:r>
      <w:r>
        <w:t xml:space="preserve">A significant portion of the input data (BOM specifics, transport distances/modes, energy usage, product lifespan, recyclability) was provided as generic placeholder strings (e.g., "oxfvfgtl", "uhzhoykgpn"). Illustrative values, informed by industry averages and expert judgment, were used to perform calculations. For a truly high-accuracy PCF, primary, specific data for each parameter would be mandatory.</w:t>
      </w:r>
    </w:p>
    <w:p>
      <w:pPr>
        <w:numPr>
          <w:ilvl w:val="0"/>
          <w:numId w:val="1018"/>
        </w:numPr>
        <w:pStyle w:val="Compact"/>
      </w:pPr>
      <w:r>
        <w:rPr>
          <w:bCs/>
          <w:b/>
        </w:rPr>
        <w:t xml:space="preserve">Emission Factor Specificity:</w:t>
      </w:r>
      <w:r>
        <w:t xml:space="preserve"> </w:t>
      </w:r>
      <w:r>
        <w:t xml:space="preserve">While industry-standard emission factors (e.g., from Ecoinvent, DEFRA, Climatiq) are referenced, the exact factors used are illustrative. Real-world PCF would require licensed access to comprehensive, regularly updated databases tailored to specific geographies and processes.</w:t>
      </w:r>
    </w:p>
    <w:p>
      <w:pPr>
        <w:numPr>
          <w:ilvl w:val="0"/>
          <w:numId w:val="1018"/>
        </w:numPr>
        <w:pStyle w:val="Compact"/>
      </w:pPr>
      <w:r>
        <w:rPr>
          <w:bCs/>
          <w:b/>
        </w:rPr>
        <w:t xml:space="preserve">LSR Standard:</w:t>
      </w:r>
      <w:r>
        <w:t xml:space="preserve"> </w:t>
      </w:r>
      <w:r>
        <w:t xml:space="preserve">The 2026 Land Sector and Removals (LSR) Standard was acknowledged, but detailed quantification of land use change or carbon removals was not possible without specific land-related activity data for \'iyjtxynorq\'.</w:t>
      </w:r>
    </w:p>
    <w:p>
      <w:pPr>
        <w:numPr>
          <w:ilvl w:val="0"/>
          <w:numId w:val="1018"/>
        </w:numPr>
        <w:pStyle w:val="Compact"/>
      </w:pPr>
      <w:r>
        <w:rPr>
          <w:bCs/>
          <w:b/>
        </w:rPr>
        <w:t xml:space="preserve">Dynamic Factors:</w:t>
      </w:r>
      <w:r>
        <w:t xml:space="preserve"> </w:t>
      </w:r>
      <w:r>
        <w:t xml:space="preserve">Emission factors, especially for electricity grids, can change over time due to shifts in energy mix and policy. The factors used are representative of the current understanding but may evolve.</w:t>
      </w:r>
    </w:p>
    <w:bookmarkEnd w:id="42"/>
    <w:bookmarkStart w:id="43" w:name="recommendations-for-teonhyggrh"/>
    <w:p>
      <w:pPr>
        <w:pStyle w:val="Heading3"/>
      </w:pPr>
      <w:r>
        <w:t xml:space="preserve">Recommendations for teonhyggrh</w:t>
      </w:r>
    </w:p>
    <w:p>
      <w:pPr>
        <w:pStyle w:val="FirstParagraph"/>
      </w:pPr>
      <w:r>
        <w:t xml:space="preserve">Based on this analysis, teonhyggrh should focus on the following to reduce the carbon footprint of \'iyjtxynorq\':</w:t>
      </w:r>
    </w:p>
    <w:p>
      <w:pPr>
        <w:numPr>
          <w:ilvl w:val="0"/>
          <w:numId w:val="1019"/>
        </w:numPr>
        <w:pStyle w:val="Compact"/>
      </w:pPr>
      <w:r>
        <w:rPr>
          <w:bCs/>
          <w:b/>
        </w:rPr>
        <w:t xml:space="preserve">Logistics Optimization:</w:t>
      </w:r>
      <w:r>
        <w:t xml:space="preserve"> </w:t>
      </w:r>
      <w:r>
        <w:t xml:space="preserve">Investigate opportunities to optimize transport routes, consolidate shipments, and explore lower-emission freight options such as sea or rail for primary distribution to Europe, reducing reliance on long-haul road freight. For last-mile, explore electric or alternative fuel vehicles.</w:t>
      </w:r>
    </w:p>
    <w:p>
      <w:pPr>
        <w:numPr>
          <w:ilvl w:val="0"/>
          <w:numId w:val="1019"/>
        </w:numPr>
        <w:pStyle w:val="Compact"/>
      </w:pPr>
      <w:r>
        <w:rPr>
          <w:bCs/>
          <w:b/>
        </w:rPr>
        <w:t xml:space="preserve">Energy Efficiency in Use:</w:t>
      </w:r>
      <w:r>
        <w:t xml:space="preserve"> </w:t>
      </w:r>
      <w:r>
        <w:t xml:space="preserve">Implement design improvements to enhance the energy efficiency of \'iyjtxynorq\' during its use phase. Consider providing information or incentives to end-users to power the product with renewable energy.</w:t>
      </w:r>
    </w:p>
    <w:p>
      <w:pPr>
        <w:numPr>
          <w:ilvl w:val="0"/>
          <w:numId w:val="1019"/>
        </w:numPr>
        <w:pStyle w:val="Compact"/>
      </w:pPr>
      <w:r>
        <w:rPr>
          <w:bCs/>
          <w:b/>
        </w:rPr>
        <w:t xml:space="preserve">Sustainable Material Sourcing:</w:t>
      </w:r>
      <w:r>
        <w:t xml:space="preserve"> </w:t>
      </w:r>
      <w:r>
        <w:t xml:space="preserve">Prioritize sourcing materials with lower embodied carbon, increasing recycled content, and working with suppliers to reduce their upstream emissions. Focus on high-impact components like PCBs.</w:t>
      </w:r>
    </w:p>
    <w:p>
      <w:pPr>
        <w:numPr>
          <w:ilvl w:val="0"/>
          <w:numId w:val="1019"/>
        </w:numPr>
        <w:pStyle w:val="Compact"/>
      </w:pPr>
      <w:r>
        <w:rPr>
          <w:bCs/>
          <w:b/>
        </w:rPr>
        <w:t xml:space="preserve">Renewable Energy Adoption:</w:t>
      </w:r>
      <w:r>
        <w:t xml:space="preserve"> </w:t>
      </w:r>
      <w:r>
        <w:t xml:space="preserve">Increase the percentage of renewable energy used in the Chinese manufacturing facility, either through direct procurement, on-site generation, or participation in renewable energy certificate schemes.</w:t>
      </w:r>
    </w:p>
    <w:p>
      <w:pPr>
        <w:numPr>
          <w:ilvl w:val="0"/>
          <w:numId w:val="1019"/>
        </w:numPr>
        <w:pStyle w:val="Compact"/>
      </w:pPr>
      <w:r>
        <w:rPr>
          <w:bCs/>
          <w:b/>
        </w:rPr>
        <w:t xml:space="preserve">Circular Economy Initiatives:</w:t>
      </w:r>
      <w:r>
        <w:t xml:space="preserve"> </w:t>
      </w:r>
      <w:r>
        <w:t xml:space="preserve">Expand and promote the existing take-back and refurbishment programs to maximize product lifespan and material recovery, further leveraging the positive impact of high recyclability.</w:t>
      </w:r>
    </w:p>
    <w:p>
      <w:r>
        <w:pict>
          <v:rect style="width:0;height:1.5pt" o:hralign="center" o:hrstd="t" o:hr="t"/>
        </w:pict>
      </w:r>
    </w:p>
    <w:p>
      <w:pPr>
        <w:pStyle w:val="FirstParagraph"/>
      </w:pPr>
      <w:r>
        <w:t xml:space="preserve">Confidential - Internal Use Only | Page</w:t>
      </w:r>
      <w:r>
        <w:t xml:space="preserve"> </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iyjtxynorq</dc:title>
  <dc:creator/>
  <dc:description>Detailed Product Carbon Footprint (PCF) analysis report for product iyjtxynorq by teonhyggrh, adhering to GHG Protocol standards and 2026 requirements, performed by kkxstiwphe.</dc:description>
  <dc:language>en</dc:language>
  <cp:keywords/>
  <dcterms:created xsi:type="dcterms:W3CDTF">2026-07-15T03:38:42Z</dcterms:created>
  <dcterms:modified xsi:type="dcterms:W3CDTF">2026-07-15T03:38:42Z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