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itfmuyrlgq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itfmuyrlgq</w:t>
      </w:r>
    </w:p>
    <w:p>
      <w:pPr>
        <w:pStyle w:val="BodyText"/>
      </w:pPr>
      <w:r>
        <w:rPr>
          <w:bCs/>
          <w:b/>
        </w:rPr>
        <w:t xml:space="preserve">Company Name:</w:t>
      </w:r>
      <w:r>
        <w:t xml:space="preserve"> </w:t>
      </w:r>
      <w:r>
        <w:t xml:space="preserve">jgmpfkslvp</w:t>
      </w:r>
    </w:p>
    <w:p>
      <w:pPr>
        <w:pStyle w:val="BodyText"/>
      </w:pPr>
      <w:r>
        <w:rPr>
          <w:bCs/>
          <w:b/>
        </w:rPr>
        <w:t xml:space="preserve">Senior Sustainability Consultant:</w:t>
      </w:r>
      <w:r>
        <w:t xml:space="preserve"> </w:t>
      </w:r>
      <w:r>
        <w:t xml:space="preserve">qipkqdwzvy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presented are illustrative, relying on assumed values for specific parameters</w:t>
      </w:r>
      <w:r>
        <w:t xml:space="preserve"> </w:t>
      </w:r>
      <w:r>
        <w:t xml:space="preserve">where detailed primary data was not explicitly provided in the prompt.</w:t>
      </w:r>
      <w:r>
        <w:t xml:space="preserve"> </w:t>
      </w:r>
      <w:r>
        <w:t xml:space="preserve">Actual carbon footprint results may vary with precise, verified data inputs.</w:t>
      </w:r>
    </w:p>
    <w:bookmarkEnd w:id="20"/>
    <w:bookmarkStart w:id="41" w:name="Xb0815f20806ffdd4b6fbb171e55eb90fb0f76f2"/>
    <w:p>
      <w:pPr>
        <w:pStyle w:val="Heading1"/>
      </w:pPr>
      <w:r>
        <w:t xml:space="preserve">Product Carbon Footprint Analysis Report: itfmuyrlgq</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"itfmuyrlgq" manufactured by jgmpfkslvp.</w:t>
      </w:r>
      <w:r>
        <w:t xml:space="preserve"> </w:t>
      </w:r>
      <w:r>
        <w:t xml:space="preserve">Conducted by Senior Sustainability Consultant qipkqdwzvy, this analysis adheres strictly to the GHG Protocol,</w:t>
      </w:r>
      <w:r>
        <w:t xml:space="preserve"> </w:t>
      </w:r>
      <w:r>
        <w:t xml:space="preserve">including the 2026 Land Sector and Removals (LSR) Standard update, and ensures comprehensive Scope 3 coverage.</w:t>
      </w:r>
      <w:r>
        <w:t xml:space="preserve"> </w:t>
      </w:r>
      <w:r>
        <w:t xml:space="preserve">The PCF quantifies the total greenhouse gas (GHG) emissions associated with the product\'s entire lifecycle,</w:t>
      </w:r>
      <w:r>
        <w:t xml:space="preserve"> </w:t>
      </w:r>
      <w:r>
        <w:t xml:space="preserve">from raw material extraction to end-of-life, expressed in kilograms of carbon dioxide equivalent (kg CO2e) per functional unit.</w:t>
      </w:r>
      <w:r>
        <w:t xml:space="preserve"> </w:t>
      </w:r>
      <w:r>
        <w:t xml:space="preserve">The primary objective is to identify emission hotspots, support sustainability strategies, and inform product design and supply chain improvements.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step in any robust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The reference unit for this analysis is 1.0 unit of "itfmuyrlgq". All emissions are normalized to this functional unit.</w:t>
      </w:r>
    </w:p>
    <w:p>
      <w:pPr>
        <w:numPr>
          <w:ilvl w:val="0"/>
          <w:numId w:val="1001"/>
        </w:numPr>
        <w:pStyle w:val="Compact"/>
      </w:pPr>
      <w:r>
        <w:rPr>
          <w:bCs/>
          <w:b/>
        </w:rPr>
        <w:t xml:space="preserve">System Boundary:</w:t>
      </w:r>
      <w:r>
        <w:t xml:space="preserve"> </w:t>
      </w:r>
      <w:r>
        <w:t xml:space="preserve">A "factory_gate" system boundary has been applied. This typically includes raw material acquisition, manufacturing (Scope 1 and 2), and inbound logistics to the factory gate. However, for a comprehensive PCF, a "cradle-to-grave" approach is taken, extending the analysis beyond the factory gate to include outbound logistics, the use phase, and end-of-life scenarios, all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strictly follows the GHG Protocol Product Standard, ensuring categorization of emissions into Scope 1 (direct emissions), Scope 2 (purchased energy emissions), and Scope 3 (all other indirect emissions across the value chain).</w:t>
      </w:r>
    </w:p>
    <w:p>
      <w:pPr>
        <w:numPr>
          <w:ilvl w:val="0"/>
          <w:numId w:val="1001"/>
        </w:numPr>
        <w:pStyle w:val="Compact"/>
      </w:pPr>
      <w:r>
        <w:rPr>
          <w:bCs/>
          <w:b/>
        </w:rPr>
        <w:t xml:space="preserve">Allocation:</w:t>
      </w:r>
      <w:r>
        <w:t xml:space="preserve"> </w:t>
      </w:r>
      <w:r>
        <w:t xml:space="preserve">Where co-production or multi-functional processes occur, economic allocation has been prioritized, consistent with GHG Protocol guidance.</w:t>
      </w:r>
    </w:p>
    <w:p>
      <w:r>
        <w:pict>
          <v:rect style="width:0;height:1.5pt" o:hralign="center" o:hrstd="t" o:hr="t"/>
        </w:pict>
      </w:r>
    </w:p>
    <w:bookmarkEnd w:id="22"/>
    <w:bookmarkStart w:id="28" w:name="lifecycle-mapping-and-data-collection"/>
    <w:p>
      <w:pPr>
        <w:pStyle w:val="Heading2"/>
      </w:pPr>
      <w:r>
        <w:t xml:space="preserve">2. &amp; 3. Lifecycle Mapping and Data Collection</w:t>
      </w:r>
    </w:p>
    <w:p>
      <w:pPr>
        <w:pStyle w:val="FirstParagraph"/>
      </w:pPr>
      <w:r>
        <w:t xml:space="preserve">The lifecycle of "itfmuyrlgq" was mapped to identify all relevant stages contributing to its carbon footprint.</w:t>
      </w:r>
      <w:r>
        <w:t xml:space="preserve"> </w:t>
      </w:r>
      <w:r>
        <w:t xml:space="preserve">Data was collected from various sources, including provided parameters and industry-standard databases where specific data was not available.</w:t>
      </w:r>
    </w:p>
    <w:bookmarkStart w:id="23" w:name="detailed-bill-of-materials-bom"/>
    <w:p>
      <w:pPr>
        <w:pStyle w:val="Heading3"/>
      </w:pPr>
      <w:r>
        <w:t xml:space="preserve">Detailed Bill of Materials (BOM)</w:t>
      </w:r>
    </w:p>
    <w:p>
      <w:pPr>
        <w:pStyle w:val="FirstParagraph"/>
      </w:pPr>
      <w:r>
        <w:t xml:space="preserve">The Bill of Materials (BOM) for "itfmuyrlgq" (referenced as `ovgdgjlk`) is critical for accurately assessing the material impact.</w:t>
      </w:r>
      <w:r>
        <w:t xml:space="preserve"> </w:t>
      </w:r>
      <w:r>
        <w:t xml:space="preserve">For the purpose of this report, illustrative BOM data adhering to the specified format (ID, Description, Category, Process, Qty, Unit, Emission Factor, Total Carbon) has been utilized, as the literal string content for `ovgdgjlk` was not provided.</w:t>
      </w:r>
      <w:r>
        <w:t xml:space="preserve"> </w:t>
      </w:r>
      <w:r>
        <w:t xml:space="preserve">This table represents the material inputs and their associated carbon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t xml:space="preserve">Subtotal Material Emissions:</w:t>
            </w:r>
          </w:p>
        </w:tc>
        <w:tc>
          <w:tcPr/>
          <w:p>
            <w:pPr>
              <w:pStyle w:val="Compact"/>
              <w:jc w:val="left"/>
            </w:pPr>
            <w:r>
              <w:t xml:space="preserve">2.48</w:t>
            </w:r>
          </w:p>
        </w:tc>
      </w:tr>
    </w:tbl>
    <w:p>
      <w:pPr>
        <w:pStyle w:val="BodyText"/>
      </w:pPr>
      <w:r>
        <w:rPr>
          <w:iCs/>
          <w:i/>
        </w:rPr>
        <w:t xml:space="preserve">Note: The above BOM data is illustrative, reflecting the structure expected from the `ovgdgjlk` parameter.</w:t>
      </w:r>
    </w:p>
    <w:bookmarkEnd w:id="23"/>
    <w:bookmarkStart w:id="24" w:name="energy-inputs-for-production"/>
    <w:p>
      <w:pPr>
        <w:pStyle w:val="Heading3"/>
      </w:pPr>
      <w:r>
        <w:t xml:space="preserve">Energy Inputs for Production</w:t>
      </w:r>
    </w:p>
    <w:p>
      <w:pPr>
        <w:pStyle w:val="FirstParagraph"/>
      </w:pPr>
      <w:r>
        <w:t xml:space="preserve">Energy consumption during the production phase in China is a significant contributor to the PCF.</w:t>
      </w:r>
      <w:r>
        <w:t xml:space="preserve"> </w:t>
      </w:r>
      <w:r>
        <w:t xml:space="preserve">The analysis incorporates customized energy data:</w:t>
      </w:r>
    </w:p>
    <w:p>
      <w:pPr>
        <w:numPr>
          <w:ilvl w:val="0"/>
          <w:numId w:val="1003"/>
        </w:numPr>
        <w:pStyle w:val="Compact"/>
      </w:pPr>
      <w:r>
        <w:rPr>
          <w:bCs/>
          <w:b/>
        </w:rPr>
        <w:t xml:space="preserve">Renewable Energy Usage:</w:t>
      </w:r>
      <w:r>
        <w:t xml:space="preserve"> </w:t>
      </w:r>
      <w:r>
        <w:t xml:space="preserve">`iirywklzkq` (e.g., 50% renewable).</w:t>
      </w:r>
    </w:p>
    <w:p>
      <w:pPr>
        <w:numPr>
          <w:ilvl w:val="0"/>
          <w:numId w:val="1003"/>
        </w:numPr>
        <w:pStyle w:val="Compact"/>
      </w:pPr>
      <w:r>
        <w:rPr>
          <w:bCs/>
          <w:b/>
        </w:rPr>
        <w:t xml:space="preserve">Energy Intensity (kWh/unit):</w:t>
      </w:r>
      <w:r>
        <w:t xml:space="preserve"> </w:t>
      </w:r>
      <w:r>
        <w:t xml:space="preserve">`rwvgoopmhq` (e.g., 5 kWh/unit).</w:t>
      </w:r>
    </w:p>
    <w:bookmarkEnd w:id="24"/>
    <w:bookmarkStart w:id="25" w:name="logistics-data"/>
    <w:p>
      <w:pPr>
        <w:pStyle w:val="Heading3"/>
      </w:pPr>
      <w:r>
        <w:t xml:space="preserve">Logistics Data</w:t>
      </w:r>
    </w:p>
    <w:p>
      <w:pPr>
        <w:pStyle w:val="FirstParagraph"/>
      </w:pPr>
      <w:r>
        <w:t xml:space="preserve">Transportation of materials to the factory and the finished product to the customer constitutes a key part of the supply chain footprint.</w:t>
      </w:r>
      <w:r>
        <w:t xml:space="preserve"> </w:t>
      </w:r>
      <w:r>
        <w:t xml:space="preserve">Specific logistics parameters are incorporated:</w:t>
      </w:r>
    </w:p>
    <w:p>
      <w:pPr>
        <w:numPr>
          <w:ilvl w:val="0"/>
          <w:numId w:val="1004"/>
        </w:numPr>
        <w:pStyle w:val="Compact"/>
      </w:pPr>
      <w:r>
        <w:rPr>
          <w:bCs/>
          <w:b/>
        </w:rPr>
        <w:t xml:space="preserve">Transport Mode:</w:t>
      </w:r>
      <w:r>
        <w:t xml:space="preserve"> </w:t>
      </w:r>
      <w:r>
        <w:t xml:space="preserve">`Select Mode` (e.g., Road Freight - HGV &gt; 16t).</w:t>
      </w:r>
    </w:p>
    <w:p>
      <w:pPr>
        <w:numPr>
          <w:ilvl w:val="0"/>
          <w:numId w:val="1004"/>
        </w:numPr>
        <w:pStyle w:val="Compact"/>
      </w:pPr>
      <w:r>
        <w:rPr>
          <w:bCs/>
          <w:b/>
        </w:rPr>
        <w:t xml:space="preserve">Transport Distance:</w:t>
      </w:r>
      <w:r>
        <w:t xml:space="preserve"> </w:t>
      </w:r>
      <w:r>
        <w:t xml:space="preserve">`pemsokwjni` (e.g., 1000 km for inbound, 500 km for outbound to distribution hub).</w:t>
      </w:r>
    </w:p>
    <w:p>
      <w:pPr>
        <w:numPr>
          <w:ilvl w:val="0"/>
          <w:numId w:val="1004"/>
        </w:numPr>
        <w:pStyle w:val="Compact"/>
      </w:pPr>
      <w:r>
        <w:rPr>
          <w:bCs/>
          <w:b/>
        </w:rPr>
        <w:t xml:space="preserve">Last-Mile Delivery Channel:</w:t>
      </w:r>
      <w:r>
        <w:t xml:space="preserve"> </w:t>
      </w:r>
      <w:r>
        <w:t xml:space="preserve">`Delivery Type` (e.g., Parcel Van, 50 km).</w:t>
      </w:r>
    </w:p>
    <w:bookmarkEnd w:id="25"/>
    <w:bookmarkStart w:id="26" w:name="use-phase-data"/>
    <w:p>
      <w:pPr>
        <w:pStyle w:val="Heading3"/>
      </w:pPr>
      <w:r>
        <w:t xml:space="preserve">Use Phase Data</w:t>
      </w:r>
    </w:p>
    <w:p>
      <w:pPr>
        <w:pStyle w:val="FirstParagraph"/>
      </w:pPr>
      <w:r>
        <w:t xml:space="preserve">The energy consumed during the product\'s operational lifetime is a critical factor, especially for electronic goods.</w:t>
      </w:r>
    </w:p>
    <w:p>
      <w:pPr>
        <w:numPr>
          <w:ilvl w:val="0"/>
          <w:numId w:val="1005"/>
        </w:numPr>
        <w:pStyle w:val="Compact"/>
      </w:pPr>
      <w:r>
        <w:rPr>
          <w:bCs/>
          <w:b/>
        </w:rPr>
        <w:t xml:space="preserve">Product Lifespan:</w:t>
      </w:r>
      <w:r>
        <w:t xml:space="preserve"> </w:t>
      </w:r>
      <w:r>
        <w:t xml:space="preserve">`xgqxoxrdno` (e.g., 5 years).</w:t>
      </w:r>
    </w:p>
    <w:p>
      <w:pPr>
        <w:numPr>
          <w:ilvl w:val="0"/>
          <w:numId w:val="1005"/>
        </w:numPr>
        <w:pStyle w:val="Compact"/>
      </w:pPr>
      <w:r>
        <w:rPr>
          <w:bCs/>
          <w:b/>
        </w:rPr>
        <w:t xml:space="preserve">Energy Consumption in Use:</w:t>
      </w:r>
      <w:r>
        <w:t xml:space="preserve"> </w:t>
      </w:r>
      <w:r>
        <w:t xml:space="preserve">`ejjfegxmlu` (e.g., 10 kWh/year).</w:t>
      </w:r>
    </w:p>
    <w:bookmarkEnd w:id="26"/>
    <w:bookmarkStart w:id="27" w:name="end-of-life-eol-scenarios"/>
    <w:p>
      <w:pPr>
        <w:pStyle w:val="Heading3"/>
      </w:pPr>
      <w:r>
        <w:t xml:space="preserve">End-of-Life (EoL) Scenarios</w:t>
      </w:r>
    </w:p>
    <w:p>
      <w:pPr>
        <w:pStyle w:val="FirstParagraph"/>
      </w:pPr>
      <w:r>
        <w:t xml:space="preserve">The product\'s end-of-life treatment impacts its overall environmental footprint, with circular economy initiatives playing a vital role.</w:t>
      </w:r>
    </w:p>
    <w:p>
      <w:pPr>
        <w:numPr>
          <w:ilvl w:val="0"/>
          <w:numId w:val="1006"/>
        </w:numPr>
        <w:pStyle w:val="Compact"/>
      </w:pPr>
      <w:r>
        <w:rPr>
          <w:bCs/>
          <w:b/>
        </w:rPr>
        <w:t xml:space="preserve">Recyclability Percentage:</w:t>
      </w:r>
      <w:r>
        <w:t xml:space="preserve"> </w:t>
      </w:r>
      <w:r>
        <w:t xml:space="preserve">`ypqujufzs` (e.g., 70%).</w:t>
      </w:r>
    </w:p>
    <w:p>
      <w:pPr>
        <w:numPr>
          <w:ilvl w:val="0"/>
          <w:numId w:val="1006"/>
        </w:numPr>
        <w:pStyle w:val="Compact"/>
      </w:pPr>
      <w:r>
        <w:rPr>
          <w:bCs/>
          <w:b/>
        </w:rPr>
        <w:t xml:space="preserve">Circular/Take-back Programs:</w:t>
      </w:r>
      <w:r>
        <w:t xml:space="preserve"> </w:t>
      </w:r>
      <w:r>
        <w:t xml:space="preserve">`kggxokvofg` (e.g., Active take-back program).</w:t>
      </w:r>
    </w:p>
    <w:p>
      <w:r>
        <w:pict>
          <v:rect style="width:0;height:1.5pt" o:hralign="center" o:hrstd="t" o:hr="t"/>
        </w:pict>
      </w:r>
    </w:p>
    <w:bookmarkEnd w:id="27"/>
    <w:bookmarkEnd w:id="28"/>
    <w:bookmarkStart w:id="36" w:name="emission-calculation"/>
    <w:p>
      <w:pPr>
        <w:pStyle w:val="Heading2"/>
      </w:pPr>
      <w:r>
        <w:t xml:space="preserve">4. Emission Calculation</w:t>
      </w:r>
    </w:p>
    <w:p>
      <w:pPr>
        <w:pStyle w:val="FirstParagraph"/>
      </w:pPr>
      <w:r>
        <w:t xml:space="preserve">Emissions are calculated by multiplying activity data (e.g., material quantity, energy consumption, transport distance) by relevant industry-standard emission factors.</w:t>
      </w:r>
      <w:r>
        <w:t xml:space="preserve"> </w:t>
      </w:r>
      <w:r>
        <w:t xml:space="preserve">Illustrative emission factors, generally aligned with databases like Ecoinvent or DEFRA, are used for this report given the absence of direct database access.</w:t>
      </w:r>
    </w:p>
    <w:p>
      <w:pPr>
        <w:pStyle w:val="BodyText"/>
      </w:pPr>
      <w:r>
        <w:t xml:space="preserve">The total Product Carbon Footprint for "itfmuyrlgq" is calculated to be approximately</w:t>
      </w:r>
      <w:r>
        <w:t xml:space="preserve"> </w:t>
      </w:r>
      <w:r>
        <w:rPr>
          <w:bCs/>
          <w:b/>
        </w:rPr>
        <w:t xml:space="preserve">17.62 kg CO2e</w:t>
      </w:r>
      <w:r>
        <w:t xml:space="preserve"> </w:t>
      </w:r>
      <w:r>
        <w:t xml:space="preserve">per functional unit.</w:t>
      </w:r>
    </w:p>
    <w:bookmarkStart w:id="32" w:name="ghg-protocol-scope-categorization"/>
    <w:p>
      <w:pPr>
        <w:pStyle w:val="Heading3"/>
      </w:pPr>
      <w:r>
        <w:t xml:space="preserve">GHG Protocol Scope Categorization</w:t>
      </w:r>
    </w:p>
    <w:p>
      <w:pPr>
        <w:pStyle w:val="FirstParagraph"/>
      </w:pPr>
      <w:r>
        <w:t xml:space="preserve">Emissions are categorized according to the GHG Protocol\'s Scope 1, 2, and 3 definitions.</w:t>
      </w:r>
    </w:p>
    <w:bookmarkStart w:id="29" w:name="X163bc405f809eb03aa542b238f27695a47a5e19"/>
    <w:p>
      <w:pPr>
        <w:pStyle w:val="Heading4"/>
      </w:pPr>
      <w:r>
        <w:t xml:space="preserve">Scope 1: Direct Emissions (jgmpfkslvp Operations)</w:t>
      </w:r>
    </w:p>
    <w:p>
      <w:pPr>
        <w:pStyle w:val="FirstParagraph"/>
      </w:pPr>
      <w:r>
        <w:t xml:space="preserve">These are direct GHG emissions from sources owned or controlled by jgmpfkslvp within the factory_gate boundary. For this analysis, direct fuel combustion for heating or processes is assumed to be minimal or captured in other scopes for simplicity in this illustrative report.</w:t>
      </w:r>
    </w:p>
    <w:p>
      <w:pPr>
        <w:numPr>
          <w:ilvl w:val="0"/>
          <w:numId w:val="1007"/>
        </w:numPr>
        <w:pStyle w:val="Compact"/>
      </w:pPr>
      <w:r>
        <w:rPr>
          <w:bCs/>
          <w:b/>
        </w:rPr>
        <w:t xml:space="preserve">Estimated Scope 1 Emissions:</w:t>
      </w:r>
      <w:r>
        <w:t xml:space="preserve"> </w:t>
      </w:r>
      <w:r>
        <w:t xml:space="preserve">0.10 kg CO2e (Illustrative, e.g., from minor on-site fuel combustion).</w:t>
      </w:r>
    </w:p>
    <w:bookmarkEnd w:id="29"/>
    <w:bookmarkStart w:id="30" w:name="Xe578209a49eabfde2edaf977ad2b592c314c527"/>
    <w:p>
      <w:pPr>
        <w:pStyle w:val="Heading4"/>
      </w:pPr>
      <w:r>
        <w:t xml:space="preserve">Scope 2: Energy Indirect Emissions (Purchased Electricity)</w:t>
      </w:r>
    </w:p>
    <w:p>
      <w:pPr>
        <w:pStyle w:val="FirstParagraph"/>
      </w:pPr>
      <w:r>
        <w:t xml:space="preserve">These are GHG emissions from the generation of purchased electricity consumed by jgmpfkslvp\'s facilities (e.g., the manufacturing plant in China).</w:t>
      </w:r>
    </w:p>
    <w:p>
      <w:pPr>
        <w:numPr>
          <w:ilvl w:val="0"/>
          <w:numId w:val="1008"/>
        </w:numPr>
        <w:pStyle w:val="Compact"/>
      </w:pPr>
      <w:r>
        <w:t xml:space="preserve">Energy Intensity (`rwvgoopmhq`): 5 kWh/unit.</w:t>
      </w:r>
    </w:p>
    <w:p>
      <w:pPr>
        <w:numPr>
          <w:ilvl w:val="0"/>
          <w:numId w:val="1008"/>
        </w:numPr>
        <w:pStyle w:val="Compact"/>
      </w:pPr>
      <w:r>
        <w:t xml:space="preserve">Renewable Energy Usage (`iirywklzkq`): 50% renewable.</w:t>
      </w:r>
    </w:p>
    <w:p>
      <w:pPr>
        <w:numPr>
          <w:ilvl w:val="0"/>
          <w:numId w:val="1008"/>
        </w:numPr>
        <w:pStyle w:val="Compact"/>
      </w:pPr>
      <w:r>
        <w:t xml:space="preserve">Assumed Grid Emission Factor (China): 0.4 kg CO2e/kWh (non-renewable).</w:t>
      </w:r>
    </w:p>
    <w:p>
      <w:pPr>
        <w:numPr>
          <w:ilvl w:val="0"/>
          <w:numId w:val="1008"/>
        </w:numPr>
        <w:pStyle w:val="Compact"/>
      </w:pPr>
      <w:r>
        <w:t xml:space="preserve">Assumed Renewable Emission Factor: 0.05 kg CO2e/kWh (residual).</w:t>
      </w:r>
    </w:p>
    <w:p>
      <w:pPr>
        <w:numPr>
          <w:ilvl w:val="0"/>
          <w:numId w:val="1008"/>
        </w:numPr>
        <w:pStyle w:val="Compact"/>
      </w:pPr>
      <w:r>
        <w:rPr>
          <w:bCs/>
          <w:b/>
        </w:rPr>
        <w:t xml:space="preserve">Calculation:</w:t>
      </w:r>
      <w:r>
        <w:t xml:space="preserve"> </w:t>
      </w:r>
      <w:r>
        <w:t xml:space="preserve">(5 kWh * 0.5 * 0.4 kg CO2e/kWh) + (5 kWh * 0.5 * 0.05 kg CO2e/kWh) = 1.00 + 0.125 = 1.125 kg CO2e.</w:t>
      </w:r>
    </w:p>
    <w:p>
      <w:pPr>
        <w:numPr>
          <w:ilvl w:val="0"/>
          <w:numId w:val="1008"/>
        </w:numPr>
        <w:pStyle w:val="Compact"/>
      </w:pPr>
      <w:r>
        <w:rPr>
          <w:bCs/>
          <w:b/>
        </w:rPr>
        <w:t xml:space="preserve">Estimated Scope 2 Emissions:</w:t>
      </w:r>
      <w:r>
        <w:t xml:space="preserve"> </w:t>
      </w:r>
      <w:r>
        <w:t xml:space="preserve">1.13 kg CO2e.</w:t>
      </w:r>
    </w:p>
    <w:bookmarkEnd w:id="30"/>
    <w:bookmarkStart w:id="31" w:name="Xd1c2b652bc5876514f180a21f002993b8de8e83"/>
    <w:p>
      <w:pPr>
        <w:pStyle w:val="Heading4"/>
      </w:pPr>
      <w:r>
        <w:t xml:space="preserve">Scope 3: Other Indirect Emissions (Value Chain)</w:t>
      </w:r>
    </w:p>
    <w:p>
      <w:pPr>
        <w:pStyle w:val="FirstParagraph"/>
      </w:pPr>
      <w:r>
        <w:t xml:space="preserve">Scope 3 encompasses all other indirect emissions that occur in the value chain of jgmpfkslvp, both upstream and downstream. This is typically the largest portion of a product\'s footprint.</w:t>
      </w:r>
    </w:p>
    <w:p>
      <w:pPr>
        <w:numPr>
          <w:ilvl w:val="0"/>
          <w:numId w:val="1009"/>
        </w:numPr>
        <w:pStyle w:val="Compact"/>
      </w:pPr>
      <w:r>
        <w:rPr>
          <w:bCs/>
          <w:b/>
        </w:rPr>
        <w:t xml:space="preserve">Category 1: Purchased Goods and Services (Materials):</w:t>
      </w:r>
    </w:p>
    <w:p>
      <w:pPr>
        <w:numPr>
          <w:ilvl w:val="1"/>
          <w:numId w:val="1010"/>
        </w:numPr>
        <w:pStyle w:val="Compact"/>
      </w:pPr>
      <w:r>
        <w:t xml:space="preserve">Emissions from the extraction, production, and processing of raw materials (from BOM).</w:t>
      </w:r>
    </w:p>
    <w:p>
      <w:pPr>
        <w:numPr>
          <w:ilvl w:val="1"/>
          <w:numId w:val="1010"/>
        </w:numPr>
        <w:pStyle w:val="Compact"/>
      </w:pPr>
      <w:r>
        <w:rPr>
          <w:bCs/>
          <w:b/>
        </w:rPr>
        <w:t xml:space="preserve">Calculated:</w:t>
      </w:r>
      <w:r>
        <w:t xml:space="preserve"> </w:t>
      </w:r>
      <w:r>
        <w:t xml:space="preserve">2.48 kg CO2e.</w:t>
      </w:r>
    </w:p>
    <w:p>
      <w:pPr>
        <w:numPr>
          <w:ilvl w:val="0"/>
          <w:numId w:val="1009"/>
        </w:numPr>
        <w:pStyle w:val="Compact"/>
      </w:pPr>
      <w:r>
        <w:rPr>
          <w:bCs/>
          <w:b/>
        </w:rPr>
        <w:t xml:space="preserve">Category 4: Upstream Transportation and Distribution:</w:t>
      </w:r>
    </w:p>
    <w:p>
      <w:pPr>
        <w:numPr>
          <w:ilvl w:val="1"/>
          <w:numId w:val="1011"/>
        </w:numPr>
        <w:pStyle w:val="Compact"/>
      </w:pPr>
      <w:r>
        <w:t xml:space="preserve">Emissions from transportation of purchased materials to jgmpfkslvp\'s manufacturing facility.</w:t>
      </w:r>
    </w:p>
    <w:p>
      <w:pPr>
        <w:numPr>
          <w:ilvl w:val="1"/>
          <w:numId w:val="1011"/>
        </w:numPr>
        <w:pStyle w:val="Compact"/>
      </w:pPr>
      <w:r>
        <w:t xml:space="preserve">Assumed Inbound Distance (`pemsokwjni`): 1000 km (HGV &gt; 16t).</w:t>
      </w:r>
    </w:p>
    <w:p>
      <w:pPr>
        <w:numPr>
          <w:ilvl w:val="1"/>
          <w:numId w:val="1011"/>
        </w:numPr>
        <w:pStyle w:val="Compact"/>
      </w:pPr>
      <w:r>
        <w:t xml:space="preserve">Assumed Emission Factor: 0.09 kg CO2e/tkm.</w:t>
      </w:r>
    </w:p>
    <w:p>
      <w:pPr>
        <w:numPr>
          <w:ilvl w:val="1"/>
          <w:numId w:val="1011"/>
        </w:numPr>
        <w:pStyle w:val="Compact"/>
      </w:pPr>
      <w:r>
        <w:t xml:space="preserve">Total Material Weight (from BOM): 0.86 kg.</w:t>
      </w:r>
    </w:p>
    <w:p>
      <w:pPr>
        <w:numPr>
          <w:ilvl w:val="1"/>
          <w:numId w:val="1011"/>
        </w:numPr>
        <w:pStyle w:val="Compact"/>
      </w:pPr>
      <w:r>
        <w:rPr>
          <w:bCs/>
          <w:b/>
        </w:rPr>
        <w:t xml:space="preserve">Calculation:</w:t>
      </w:r>
      <w:r>
        <w:t xml:space="preserve"> </w:t>
      </w:r>
      <w:r>
        <w:t xml:space="preserve">(0.86 kg / 1000) * 1000 km * 0.09 kg CO2e/tkm = 0.0774 kg CO2e.</w:t>
      </w:r>
    </w:p>
    <w:p>
      <w:pPr>
        <w:numPr>
          <w:ilvl w:val="1"/>
          <w:numId w:val="1011"/>
        </w:numPr>
        <w:pStyle w:val="Compact"/>
      </w:pPr>
      <w:r>
        <w:rPr>
          <w:bCs/>
          <w:b/>
        </w:rPr>
        <w:t xml:space="preserve">Calculated:</w:t>
      </w:r>
      <w:r>
        <w:t xml:space="preserve"> </w:t>
      </w:r>
      <w:r>
        <w:t xml:space="preserve">0.08 kg CO2e.</w:t>
      </w:r>
    </w:p>
    <w:p>
      <w:pPr>
        <w:numPr>
          <w:ilvl w:val="0"/>
          <w:numId w:val="1009"/>
        </w:numPr>
        <w:pStyle w:val="Compact"/>
      </w:pPr>
      <w:r>
        <w:rPr>
          <w:bCs/>
          <w:b/>
        </w:rPr>
        <w:t xml:space="preserve">Category 9: Downstream Transportation and Distribution:</w:t>
      </w:r>
    </w:p>
    <w:p>
      <w:pPr>
        <w:numPr>
          <w:ilvl w:val="1"/>
          <w:numId w:val="1012"/>
        </w:numPr>
        <w:pStyle w:val="Compact"/>
      </w:pPr>
      <w:r>
        <w:t xml:space="preserve">Emissions from transporting finished products from jgmpfkslvp\'s factory to end-consumers.</w:t>
      </w:r>
    </w:p>
    <w:p>
      <w:pPr>
        <w:numPr>
          <w:ilvl w:val="1"/>
          <w:numId w:val="1012"/>
        </w:numPr>
        <w:pStyle w:val="Compact"/>
      </w:pPr>
      <w:r>
        <w:t xml:space="preserve">Assumed Outbound Distance (`pemsokwjni`): 500 km (HGV &gt; 16t).</w:t>
      </w:r>
    </w:p>
    <w:p>
      <w:pPr>
        <w:numPr>
          <w:ilvl w:val="1"/>
          <w:numId w:val="1012"/>
        </w:numPr>
        <w:pStyle w:val="Compact"/>
      </w:pPr>
      <w:r>
        <w:t xml:space="preserve">Assumed Emission Factor: 0.09 kg CO2e/tkm.</w:t>
      </w:r>
    </w:p>
    <w:p>
      <w:pPr>
        <w:numPr>
          <w:ilvl w:val="1"/>
          <w:numId w:val="1012"/>
        </w:numPr>
        <w:pStyle w:val="Compact"/>
      </w:pPr>
      <w:r>
        <w:t xml:space="preserve">Assumed Last-Mile Delivery (`Delivery Type`): Parcel Van, 50 km.</w:t>
      </w:r>
    </w:p>
    <w:p>
      <w:pPr>
        <w:numPr>
          <w:ilvl w:val="1"/>
          <w:numId w:val="1012"/>
        </w:numPr>
        <w:pStyle w:val="Compact"/>
      </w:pPr>
      <w:r>
        <w:t xml:space="preserve">Assumed Last-Mile Emission: 0.15 kg CO2e/unit (illustrative).</w:t>
      </w:r>
    </w:p>
    <w:p>
      <w:pPr>
        <w:numPr>
          <w:ilvl w:val="1"/>
          <w:numId w:val="1012"/>
        </w:numPr>
        <w:pStyle w:val="Compact"/>
      </w:pPr>
      <w:r>
        <w:rPr>
          <w:bCs/>
          <w:b/>
        </w:rPr>
        <w:t xml:space="preserve">Calculation:</w:t>
      </w:r>
      <w:r>
        <w:t xml:space="preserve"> </w:t>
      </w:r>
      <w:r>
        <w:t xml:space="preserve">(1 kg / 1000) * 500 km * 0.09 kg CO2e/tkm (outbound) + 0.15 kg CO2e (last-mile) = 0.045 + 0.15 = 0.195 kg CO2e.</w:t>
      </w:r>
    </w:p>
    <w:p>
      <w:pPr>
        <w:numPr>
          <w:ilvl w:val="1"/>
          <w:numId w:val="1012"/>
        </w:numPr>
        <w:pStyle w:val="Compact"/>
      </w:pPr>
      <w:r>
        <w:rPr>
          <w:bCs/>
          <w:b/>
        </w:rPr>
        <w:t xml:space="preserve">Calculated:</w:t>
      </w:r>
      <w:r>
        <w:t xml:space="preserve"> </w:t>
      </w:r>
      <w:r>
        <w:t xml:space="preserve">0.20 kg CO2e.</w:t>
      </w:r>
    </w:p>
    <w:p>
      <w:pPr>
        <w:numPr>
          <w:ilvl w:val="0"/>
          <w:numId w:val="1009"/>
        </w:numPr>
        <w:pStyle w:val="Compact"/>
      </w:pPr>
      <w:r>
        <w:rPr>
          <w:bCs/>
          <w:b/>
        </w:rPr>
        <w:t xml:space="preserve">Category 11: Use of Sold Products:</w:t>
      </w:r>
    </w:p>
    <w:p>
      <w:pPr>
        <w:numPr>
          <w:ilvl w:val="1"/>
          <w:numId w:val="1013"/>
        </w:numPr>
        <w:pStyle w:val="Compact"/>
      </w:pPr>
      <w:r>
        <w:t xml:space="preserve">Emissions from the energy consumed by "itfmuyrlgq" during its operational life.</w:t>
      </w:r>
    </w:p>
    <w:p>
      <w:pPr>
        <w:numPr>
          <w:ilvl w:val="1"/>
          <w:numId w:val="1013"/>
        </w:numPr>
        <w:pStyle w:val="Compact"/>
      </w:pPr>
      <w:r>
        <w:t xml:space="preserve">Product Lifespan (`xgqxoxrdno`): 5 years.</w:t>
      </w:r>
    </w:p>
    <w:p>
      <w:pPr>
        <w:numPr>
          <w:ilvl w:val="1"/>
          <w:numId w:val="1013"/>
        </w:numPr>
        <w:pStyle w:val="Compact"/>
      </w:pPr>
      <w:r>
        <w:t xml:space="preserve">Energy Consumption in Use (`ejjfegxmlu`): 10 kWh/year.</w:t>
      </w:r>
    </w:p>
    <w:p>
      <w:pPr>
        <w:numPr>
          <w:ilvl w:val="1"/>
          <w:numId w:val="1013"/>
        </w:numPr>
        <w:pStyle w:val="Compact"/>
      </w:pPr>
      <w:r>
        <w:t xml:space="preserve">Assumed Average Grid Mix Emission Factor (Global): 0.3 kg CO2e/kWh.</w:t>
      </w:r>
    </w:p>
    <w:p>
      <w:pPr>
        <w:numPr>
          <w:ilvl w:val="1"/>
          <w:numId w:val="1013"/>
        </w:numPr>
        <w:pStyle w:val="Compact"/>
      </w:pPr>
      <w:r>
        <w:rPr>
          <w:bCs/>
          <w:b/>
        </w:rPr>
        <w:t xml:space="preserve">Calculation:</w:t>
      </w:r>
      <w:r>
        <w:t xml:space="preserve"> </w:t>
      </w:r>
      <w:r>
        <w:t xml:space="preserve">(10 kWh/year * 5 years) * 0.3 kg CO2e/kWh = 50 kWh * 0.3 kg CO2e/kWh = 15.00 kg CO2e.</w:t>
      </w:r>
    </w:p>
    <w:p>
      <w:pPr>
        <w:numPr>
          <w:ilvl w:val="1"/>
          <w:numId w:val="1013"/>
        </w:numPr>
        <w:pStyle w:val="Compact"/>
      </w:pPr>
      <w:r>
        <w:rPr>
          <w:bCs/>
          <w:b/>
        </w:rPr>
        <w:t xml:space="preserve">Calculated:</w:t>
      </w:r>
      <w:r>
        <w:t xml:space="preserve"> </w:t>
      </w:r>
      <w:r>
        <w:t xml:space="preserve">15.00 kg CO2e.</w:t>
      </w:r>
    </w:p>
    <w:p>
      <w:pPr>
        <w:numPr>
          <w:ilvl w:val="0"/>
          <w:numId w:val="1009"/>
        </w:numPr>
        <w:pStyle w:val="Compact"/>
      </w:pPr>
      <w:r>
        <w:rPr>
          <w:bCs/>
          <w:b/>
        </w:rPr>
        <w:t xml:space="preserve">Category 12: End-of-Life Treatment of Sold Products:</w:t>
      </w:r>
    </w:p>
    <w:p>
      <w:pPr>
        <w:numPr>
          <w:ilvl w:val="1"/>
          <w:numId w:val="1014"/>
        </w:numPr>
        <w:pStyle w:val="Compact"/>
      </w:pPr>
      <w:r>
        <w:t xml:space="preserve">Emissions and avoided emissions from disposal and recycling.</w:t>
      </w:r>
    </w:p>
    <w:p>
      <w:pPr>
        <w:numPr>
          <w:ilvl w:val="1"/>
          <w:numId w:val="1014"/>
        </w:numPr>
        <w:pStyle w:val="Compact"/>
      </w:pPr>
      <w:r>
        <w:t xml:space="preserve">Recyclability Percentage (`ypqujufzs`): 70%.</w:t>
      </w:r>
    </w:p>
    <w:p>
      <w:pPr>
        <w:numPr>
          <w:ilvl w:val="1"/>
          <w:numId w:val="1014"/>
        </w:numPr>
        <w:pStyle w:val="Compact"/>
      </w:pPr>
      <w:r>
        <w:t xml:space="preserve">Circular/Take-back Programs (`kggxokvofg`): Active.</w:t>
      </w:r>
    </w:p>
    <w:p>
      <w:pPr>
        <w:numPr>
          <w:ilvl w:val="1"/>
          <w:numId w:val="1014"/>
        </w:numPr>
        <w:pStyle w:val="Compact"/>
      </w:pPr>
      <w:r>
        <w:t xml:space="preserve">Assumed Material Production Emissions (Total BOM): 2.48 kg CO2e.</w:t>
      </w:r>
    </w:p>
    <w:p>
      <w:pPr>
        <w:numPr>
          <w:ilvl w:val="1"/>
          <w:numId w:val="1014"/>
        </w:numPr>
        <w:pStyle w:val="Compact"/>
      </w:pPr>
      <w:r>
        <w:t xml:space="preserve">Avoided Emissions from Recycling: 2.48 kg * 0.70 * 0.8 (credit factor) = 1.39 kg CO2e.</w:t>
      </w:r>
    </w:p>
    <w:p>
      <w:pPr>
        <w:numPr>
          <w:ilvl w:val="1"/>
          <w:numId w:val="1014"/>
        </w:numPr>
        <w:pStyle w:val="Compact"/>
      </w:pPr>
      <w:r>
        <w:t xml:space="preserve">Disposal Emissions (30% landfill): (0.86 kg * 0.30) * 0.5 kg CO2e/kg (landfill factor) = 0.13 kg CO2e.</w:t>
      </w:r>
    </w:p>
    <w:p>
      <w:pPr>
        <w:numPr>
          <w:ilvl w:val="1"/>
          <w:numId w:val="1014"/>
        </w:numPr>
        <w:pStyle w:val="Compact"/>
      </w:pPr>
      <w:r>
        <w:rPr>
          <w:bCs/>
          <w:b/>
        </w:rPr>
        <w:t xml:space="preserve">Calculation:</w:t>
      </w:r>
      <w:r>
        <w:t xml:space="preserve"> </w:t>
      </w:r>
      <w:r>
        <w:t xml:space="preserve">0.13 kg CO2e (disposal) - 1.39 kg CO2e (avoided) = -1.26 kg CO2e.</w:t>
      </w:r>
    </w:p>
    <w:p>
      <w:pPr>
        <w:numPr>
          <w:ilvl w:val="1"/>
          <w:numId w:val="1014"/>
        </w:numPr>
        <w:pStyle w:val="Compact"/>
      </w:pPr>
      <w:r>
        <w:rPr>
          <w:bCs/>
          <w:b/>
        </w:rPr>
        <w:t xml:space="preserve">Calculated:</w:t>
      </w:r>
      <w:r>
        <w:t xml:space="preserve"> </w:t>
      </w:r>
      <w:r>
        <w:t xml:space="preserve">-1.26 kg CO2e (net removal/avoidance).</w:t>
      </w:r>
    </w:p>
    <w:bookmarkEnd w:id="31"/>
    <w:bookmarkEnd w:id="32"/>
    <w:bookmarkStart w:id="33" w:name="X641ccb4652c038ceac0302942053b2292a3d462"/>
    <w:p>
      <w:pPr>
        <w:pStyle w:val="Heading3"/>
      </w:pPr>
      <w:r>
        <w:t xml:space="preserve">Summary of Emissions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0.10</w:t>
            </w:r>
          </w:p>
        </w:tc>
        <w:tc>
          <w:tcPr/>
          <w:p>
            <w:pPr>
              <w:pStyle w:val="Compact"/>
              <w:jc w:val="left"/>
            </w:pPr>
            <w:r>
              <w:t xml:space="preserve">0.57%</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1.13</w:t>
            </w:r>
          </w:p>
        </w:tc>
        <w:tc>
          <w:tcPr/>
          <w:p>
            <w:pPr>
              <w:pStyle w:val="Compact"/>
              <w:jc w:val="left"/>
            </w:pPr>
            <w:r>
              <w:t xml:space="preserve">6.41%</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2.48</w:t>
            </w:r>
          </w:p>
        </w:tc>
        <w:tc>
          <w:tcPr/>
          <w:p>
            <w:pPr>
              <w:pStyle w:val="Compact"/>
              <w:jc w:val="left"/>
            </w:pPr>
            <w:r>
              <w:t xml:space="preserve">14.07%</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0.08</w:t>
            </w:r>
          </w:p>
        </w:tc>
        <w:tc>
          <w:tcPr/>
          <w:p>
            <w:pPr>
              <w:pStyle w:val="Compact"/>
              <w:jc w:val="left"/>
            </w:pPr>
            <w:r>
              <w:t xml:space="preserve">0.45%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0.20</w:t>
            </w:r>
          </w:p>
        </w:tc>
        <w:tc>
          <w:tcPr/>
          <w:p>
            <w:pPr>
              <w:pStyle w:val="Compact"/>
              <w:jc w:val="left"/>
            </w:pPr>
            <w:r>
              <w:t xml:space="preserve">1.14%</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15.00</w:t>
            </w:r>
          </w:p>
        </w:tc>
        <w:tc>
          <w:tcPr/>
          <w:p>
            <w:pPr>
              <w:pStyle w:val="Compact"/>
              <w:jc w:val="left"/>
            </w:pPr>
            <w:r>
              <w:t xml:space="preserve">85.17%</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-1.26</w:t>
            </w:r>
          </w:p>
        </w:tc>
        <w:tc>
          <w:tcPr/>
          <w:p>
            <w:pPr>
              <w:pStyle w:val="Compact"/>
              <w:jc w:val="left"/>
            </w:pPr>
            <w:r>
              <w:t xml:space="preserve">-7.15%</w:t>
            </w:r>
          </w:p>
        </w:tc>
      </w:tr>
      <w:tr>
        <w:tc>
          <w:tcPr>
            <w:gridSpan w:val="2"/>
          </w:tcPr>
          <w:p>
            <w:pPr>
              <w:pStyle w:val="Compact"/>
              <w:jc w:val="right"/>
            </w:pPr>
            <w:r>
              <w:t xml:space="preserve">TOTAL PRODUCT CARBON FOOTPRINT:</w:t>
            </w:r>
          </w:p>
        </w:tc>
        <w:tc>
          <w:tcPr/>
          <w:p>
            <w:pPr>
              <w:pStyle w:val="Compact"/>
              <w:jc w:val="left"/>
            </w:pPr>
            <w:r>
              <w:t xml:space="preserve">17.73</w:t>
            </w:r>
          </w:p>
        </w:tc>
        <w:tc>
          <w:tcPr/>
          <w:p>
            <w:pPr>
              <w:pStyle w:val="Compact"/>
              <w:jc w:val="left"/>
            </w:pPr>
            <w:r>
              <w:t xml:space="preserve">100.00%</w:t>
            </w:r>
          </w:p>
        </w:tc>
      </w:tr>
    </w:tbl>
    <w:p>
      <w:pPr>
        <w:pStyle w:val="BodyText"/>
      </w:pPr>
      <w:r>
        <w:rPr>
          <w:iCs/>
          <w:i/>
        </w:rPr>
        <w:t xml:space="preserve">Note: Sum of individual percentage values may slightly differ from 100% due to rounding. The calculated total is 17.73 kg CO2e (0.10 + 1.13 + 2.48 + 0.08 + 0.20 + 15.00 - 1.26).</w:t>
      </w:r>
    </w:p>
    <w:bookmarkEnd w:id="33"/>
    <w:bookmarkStart w:id="34" w:name="X7ef73fe3d39a8d84fae696b42f814aa0d860ec0"/>
    <w:p>
      <w:pPr>
        <w:pStyle w:val="Heading3"/>
      </w:pPr>
      <w:r>
        <w:t xml:space="preserve">2026 LSR Update: Land Sector and Removals Standard</w:t>
      </w:r>
    </w:p>
    <w:p>
      <w:pPr>
        <w:pStyle w:val="FirstParagraph"/>
      </w:pPr>
      <w:r>
        <w:t xml:space="preserve">In line with the 2026 GHG Protocol Land Sector and Removals (LSR) Standard update, this analysis considers the impacts and benefits from land use and carbon removals.</w:t>
      </w:r>
      <w:r>
        <w:t xml:space="preserve"> </w:t>
      </w:r>
      <w:r>
        <w:t xml:space="preserve">While detailed land use change data was not provided for specific processes, the methodology allows for the inclusion of avoided emissions from recycling at End-of-Life (Category 12), which can be considered a form of carbon removal through resource efficiency.</w:t>
      </w:r>
      <w:r>
        <w:t xml:space="preserve"> </w:t>
      </w:r>
      <w:r>
        <w:t xml:space="preserve">Future analyses would integrate more granular data on bio-based materials and direct land-use change.</w:t>
      </w:r>
    </w:p>
    <w:bookmarkEnd w:id="34"/>
    <w:bookmarkStart w:id="35" w:name="scope-3-compliance"/>
    <w:p>
      <w:pPr>
        <w:pStyle w:val="Heading3"/>
      </w:pPr>
      <w:r>
        <w:t xml:space="preserve">Scope 3 Compliance</w:t>
      </w:r>
    </w:p>
    <w:p>
      <w:pPr>
        <w:pStyle w:val="FirstParagraph"/>
      </w:pPr>
      <w:r>
        <w:t xml:space="preserve">The comprehensive nature of this analysis, covering key upstream (materials, inbound transport) and downstream (outbound transport, use phase, end-of-life) activities, aims to ensure at least 95% coverage for Scope 3 reporting, consistent with 2026 GHG Protocol requirements. The detailed breakdown highlights the significant contributions from the Use Phase and Purchased Goods and Services.</w:t>
      </w:r>
    </w:p>
    <w:p>
      <w:r>
        <w:pict>
          <v:rect style="width:0;height:1.5pt" o:hralign="center" o:hrstd="t" o:hr="t"/>
        </w:pict>
      </w:r>
    </w:p>
    <w:bookmarkEnd w:id="35"/>
    <w:bookmarkEnd w:id="36"/>
    <w:bookmarkStart w:id="40" w:name="review-report"/>
    <w:p>
      <w:pPr>
        <w:pStyle w:val="Heading2"/>
      </w:pPr>
      <w:r>
        <w:t xml:space="preserve">5. Review &amp; Report</w:t>
      </w:r>
    </w:p>
    <w:bookmarkStart w:id="37" w:name="key-findings-and-hotspots"/>
    <w:p>
      <w:pPr>
        <w:pStyle w:val="Heading3"/>
      </w:pPr>
      <w:r>
        <w:t xml:space="preserve">Key Findings and Hotspots</w:t>
      </w:r>
    </w:p>
    <w:p>
      <w:pPr>
        <w:pStyle w:val="FirstParagraph"/>
      </w:pPr>
      <w:r>
        <w:t xml:space="preserve">The PCF analysis for "itfmuyrlgq" reveals the following key insights:</w:t>
      </w:r>
    </w:p>
    <w:p>
      <w:pPr>
        <w:numPr>
          <w:ilvl w:val="0"/>
          <w:numId w:val="1015"/>
        </w:numPr>
        <w:pStyle w:val="Compact"/>
      </w:pPr>
      <w:r>
        <w:rPr>
          <w:bCs/>
          <w:b/>
        </w:rPr>
        <w:t xml:space="preserve">Use Phase Dominance:</w:t>
      </w:r>
      <w:r>
        <w:t xml:space="preserve"> </w:t>
      </w:r>
      <w:r>
        <w:t xml:space="preserve">The most significant hotspot is the product\'s Use Phase (15.00 kg CO2e, 85.17% of total), driven by its energy consumption over its lifespan. This suggests that energy efficiency during product operation is paramount for reducing the overall footprint.</w:t>
      </w:r>
    </w:p>
    <w:p>
      <w:pPr>
        <w:numPr>
          <w:ilvl w:val="0"/>
          <w:numId w:val="1015"/>
        </w:numPr>
        <w:pStyle w:val="Compact"/>
      </w:pPr>
      <w:r>
        <w:rPr>
          <w:bCs/>
          <w:b/>
        </w:rPr>
        <w:t xml:space="preserve">Material Impact:</w:t>
      </w:r>
      <w:r>
        <w:t xml:space="preserve"> </w:t>
      </w:r>
      <w:r>
        <w:t xml:space="preserve">Purchased Goods and Services (materials, 2.48 kg CO2e, 14.07%) represent the second largest contributor, indicating that material selection and design for lightweighting or lower-impact alternatives are crucial.</w:t>
      </w:r>
    </w:p>
    <w:p>
      <w:pPr>
        <w:numPr>
          <w:ilvl w:val="0"/>
          <w:numId w:val="1015"/>
        </w:numPr>
        <w:pStyle w:val="Compact"/>
      </w:pPr>
      <w:r>
        <w:rPr>
          <w:bCs/>
          <w:b/>
        </w:rPr>
        <w:t xml:space="preserve">End-of-Life Benefits:</w:t>
      </w:r>
      <w:r>
        <w:t xml:space="preserve"> </w:t>
      </w:r>
      <w:r>
        <w:t xml:space="preserve">The incorporation of high recyclability (`ypqujufzs`) and active circular/take-back programs (`kggxokvofg`) results in a net negative contribution (-1.26 kg CO2e) for the End-of-Life stage, highlighting the positive impact of circular economy initiatives.</w:t>
      </w:r>
    </w:p>
    <w:p>
      <w:pPr>
        <w:numPr>
          <w:ilvl w:val="0"/>
          <w:numId w:val="1015"/>
        </w:numPr>
        <w:pStyle w:val="Compact"/>
      </w:pPr>
      <w:r>
        <w:rPr>
          <w:bCs/>
          <w:b/>
        </w:rPr>
        <w:t xml:space="preserve">Scope 2 Emissions:</w:t>
      </w:r>
      <w:r>
        <w:t xml:space="preserve"> </w:t>
      </w:r>
      <w:r>
        <w:t xml:space="preserve">Production energy, even with assumed renewable energy usage (`iirywklzkq`), contributes a notable 1.13 kg CO2e, emphasizing the need for continued decarbonization of manufacturing operations.</w:t>
      </w:r>
    </w:p>
    <w:bookmarkEnd w:id="37"/>
    <w:bookmarkStart w:id="38" w:name="reliability-and-limitations"/>
    <w:p>
      <w:pPr>
        <w:pStyle w:val="Heading3"/>
      </w:pPr>
      <w:r>
        <w:t xml:space="preserve">Reliability and Limitations</w:t>
      </w:r>
    </w:p>
    <w:p>
      <w:pPr>
        <w:pStyle w:val="FirstParagraph"/>
      </w:pPr>
      <w:r>
        <w:t xml:space="preserve">The reliability of this report is directly tied to the quality and specificity of the input data.</w:t>
      </w:r>
    </w:p>
    <w:p>
      <w:pPr>
        <w:numPr>
          <w:ilvl w:val="0"/>
          <w:numId w:val="1016"/>
        </w:numPr>
        <w:pStyle w:val="Compact"/>
      </w:pPr>
      <w:r>
        <w:rPr>
          <w:bCs/>
          <w:b/>
        </w:rPr>
        <w:t xml:space="preserve">Data Assumptions:</w:t>
      </w:r>
      <w:r>
        <w:t xml:space="preserve"> </w:t>
      </w:r>
      <w:r>
        <w:t xml:space="preserve">Where specific primary data (e.g., exact BOM details, precise transport logistics for `pemsokwjni`, `Select Mode`, `Delivery Type`, specific energy mix for `iirywklzkq`, actual energy consumption in use `ejjfegxmlu`, or robust circular program data `kggxokvofg`) was not explicitly provided but rather indicated by placeholders, illustrative industry-average values and plausible assumptions have been used for calculations. This introduces a degree of uncertainty.</w:t>
      </w:r>
    </w:p>
    <w:p>
      <w:pPr>
        <w:numPr>
          <w:ilvl w:val="0"/>
          <w:numId w:val="1016"/>
        </w:numPr>
        <w:pStyle w:val="Compact"/>
      </w:pPr>
      <w:r>
        <w:rPr>
          <w:bCs/>
          <w:b/>
        </w:rPr>
        <w:t xml:space="preserve">Emission Factors:</w:t>
      </w:r>
      <w:r>
        <w:t xml:space="preserve"> </w:t>
      </w:r>
      <w:r>
        <w:t xml:space="preserve">Generic industry-standard emission factors were used, as direct access to specific database versions (e.g., Ecoinvent, DEFRA) was not available. Using product-specific or supplier-specific emission factors would enhance accuracy.</w:t>
      </w:r>
    </w:p>
    <w:p>
      <w:pPr>
        <w:numPr>
          <w:ilvl w:val="0"/>
          <w:numId w:val="1016"/>
        </w:numPr>
        <w:pStyle w:val="Compact"/>
      </w:pPr>
      <w:r>
        <w:rPr>
          <w:bCs/>
          <w:b/>
        </w:rPr>
        <w:t xml:space="preserve">Boundary Conditions:</w:t>
      </w:r>
      <w:r>
        <w:t xml:space="preserve"> </w:t>
      </w:r>
      <w:r>
        <w:t xml:space="preserve">The "factory_gate" boundary for Scope 1 &amp; 2 is extended for a full PCF (cradle-to-grave) via Scope 3, but precise upstream and downstream boundary setting details can always be further refined.</w:t>
      </w:r>
    </w:p>
    <w:bookmarkEnd w:id="38"/>
    <w:bookmarkStart w:id="39" w:name="recommendations"/>
    <w:p>
      <w:pPr>
        <w:pStyle w:val="Heading3"/>
      </w:pPr>
      <w:r>
        <w:t xml:space="preserve">Recommendations</w:t>
      </w:r>
    </w:p>
    <w:p>
      <w:pPr>
        <w:pStyle w:val="FirstParagraph"/>
      </w:pPr>
      <w:r>
        <w:t xml:space="preserve">Based on these findings, the following recommendations are put forth for jgmpfkslvp to further reduce the PCF of "itfmuyrlgq":</w:t>
      </w:r>
    </w:p>
    <w:p>
      <w:pPr>
        <w:numPr>
          <w:ilvl w:val="0"/>
          <w:numId w:val="1017"/>
        </w:numPr>
        <w:pStyle w:val="Compact"/>
      </w:pPr>
      <w:r>
        <w:rPr>
          <w:bCs/>
          <w:b/>
        </w:rPr>
        <w:t xml:space="preserve">Optimize Use Phase Energy:</w:t>
      </w:r>
      <w:r>
        <w:t xml:space="preserve"> </w:t>
      </w:r>
      <w:r>
        <w:t xml:space="preserve">Invest in R&amp;D to significantly improve the energy efficiency of "itfmuyrlgq" during its operational life. Explore low-power modes, smart energy management, and user education for responsible energy consumption.</w:t>
      </w:r>
    </w:p>
    <w:p>
      <w:pPr>
        <w:numPr>
          <w:ilvl w:val="0"/>
          <w:numId w:val="1017"/>
        </w:numPr>
        <w:pStyle w:val="Compact"/>
      </w:pPr>
      <w:r>
        <w:rPr>
          <w:bCs/>
          <w:b/>
        </w:rPr>
        <w:t xml:space="preserve">Sustainable Material Sourcing:</w:t>
      </w:r>
      <w:r>
        <w:t xml:space="preserve"> </w:t>
      </w:r>
      <w:r>
        <w:t xml:space="preserve">Investigate alternative materials with lower embodied carbon, increase the use of recycled content beyond current levels, and collaborate with suppliers to reduce their upstream emissions (Category 1).</w:t>
      </w:r>
    </w:p>
    <w:p>
      <w:pPr>
        <w:numPr>
          <w:ilvl w:val="0"/>
          <w:numId w:val="1017"/>
        </w:numPr>
        <w:pStyle w:val="Compact"/>
      </w:pPr>
      <w:r>
        <w:rPr>
          <w:bCs/>
          <w:b/>
        </w:rPr>
        <w:t xml:space="preserve">Enhance Circularity:</w:t>
      </w:r>
      <w:r>
        <w:t xml:space="preserve"> </w:t>
      </w:r>
      <w:r>
        <w:t xml:space="preserve">Continue to strengthen circular/take-back programs (`kggxokvofg`) and explore design for disassembly to maximize recyclability (`ypqujufzs`) and material recovery rates.</w:t>
      </w:r>
    </w:p>
    <w:p>
      <w:pPr>
        <w:numPr>
          <w:ilvl w:val="0"/>
          <w:numId w:val="1017"/>
        </w:numPr>
        <w:pStyle w:val="Compact"/>
      </w:pPr>
      <w:r>
        <w:rPr>
          <w:bCs/>
          <w:b/>
        </w:rPr>
        <w:t xml:space="preserve">Decarbonize Production:</w:t>
      </w:r>
      <w:r>
        <w:t xml:space="preserve"> </w:t>
      </w:r>
      <w:r>
        <w:t xml:space="preserve">Increase the proportion of renewable energy used in manufacturing (`iirywklzkq`) and explore energy efficiency measures within the production facility in China to reduce Scope 2 emissions.</w:t>
      </w:r>
    </w:p>
    <w:p>
      <w:pPr>
        <w:numPr>
          <w:ilvl w:val="0"/>
          <w:numId w:val="1017"/>
        </w:numPr>
        <w:pStyle w:val="Compact"/>
      </w:pPr>
      <w:r>
        <w:rPr>
          <w:bCs/>
          <w:b/>
        </w:rPr>
        <w:t xml:space="preserve">Logistics Optimization:</w:t>
      </w:r>
      <w:r>
        <w:t xml:space="preserve"> </w:t>
      </w:r>
      <w:r>
        <w:t xml:space="preserve">Optimize transport routes, explore lower-emission transport modes where feasible (`Select Mode`), and consolidate shipments to reduce emissions from Category 4 and 9.</w:t>
      </w:r>
    </w:p>
    <w:p>
      <w:pPr>
        <w:numPr>
          <w:ilvl w:val="0"/>
          <w:numId w:val="1017"/>
        </w:numPr>
        <w:pStyle w:val="Compact"/>
      </w:pPr>
      <w:r>
        <w:rPr>
          <w:bCs/>
          <w:b/>
        </w:rPr>
        <w:t xml:space="preserve">Data Improvement:</w:t>
      </w:r>
      <w:r>
        <w:t xml:space="preserve"> </w:t>
      </w:r>
      <w:r>
        <w:t xml:space="preserve">Implement a robust system for collecting primary data for BOM, energy consumption, and logistics to reduce reliance on assumptions and enhance the accuracy of future PCF analyses.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itfmuyrlgq</dc:title>
  <dc:creator/>
  <dc:description>Detailed Product Carbon Footprint (PCF) analysis report for \'itfmuyrlgq\' by jgmpfkslvp, adhering to GHG Protocol standards and 2026 LSR updates.</dc:description>
  <dc:language>en</dc:language>
  <cp:keywords/>
  <dcterms:created xsi:type="dcterms:W3CDTF">2026-07-15T11:37:00Z</dcterms:created>
  <dcterms:modified xsi:type="dcterms:W3CDTF">2026-07-15T11:37:00Z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