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ipuqgsfrrt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ipuqgsfrrt</w:t>
      </w:r>
    </w:p>
    <w:p>
      <w:pPr>
        <w:pStyle w:val="BodyText"/>
      </w:pPr>
      <w:r>
        <w:t xml:space="preserve">Company Name:</w:t>
      </w:r>
      <w:r>
        <w:t xml:space="preserve"> </w:t>
      </w:r>
      <w:r>
        <w:rPr>
          <w:bCs/>
          <w:b/>
        </w:rPr>
        <w:t xml:space="preserve">ghkotkizwq</w:t>
      </w:r>
    </w:p>
    <w:p>
      <w:pPr>
        <w:pStyle w:val="BodyText"/>
      </w:pPr>
      <w:r>
        <w:t xml:space="preserve">Senior Sustainability Consultant:</w:t>
      </w:r>
      <w:r>
        <w:t xml:space="preserve"> </w:t>
      </w:r>
      <w:r>
        <w:rPr>
          <w:bCs/>
          <w:b/>
        </w:rPr>
        <w:t xml:space="preserve">hskwhtqvzy</w:t>
      </w:r>
    </w:p>
    <w:p>
      <w:pPr>
        <w:pStyle w:val="BodyText"/>
      </w:pPr>
      <w:r>
        <w:t xml:space="preserve">Accounting Standard: GHG Protocol</w:t>
      </w:r>
    </w:p>
    <w:p>
      <w:pPr>
        <w:pStyle w:val="BodyText"/>
      </w:pPr>
      <w:r>
        <w:t xml:space="preserve">This report is generated based on available data and industry standards. All numerical results are illustrative due to the placeholder nature of some input parameters and are intended to demonstrate the methodology.</w:t>
      </w:r>
    </w:p>
    <w:bookmarkEnd w:id="20"/>
    <w:bookmarkStart w:id="21" w:name="X54c1c6d06f501fdb1e2450eb9b5726ec39508f3"/>
    <w:p>
      <w:pPr>
        <w:pStyle w:val="Heading1"/>
      </w:pPr>
      <w:r>
        <w:t xml:space="preserve">Product Carbon Footprint Report: ipuqgsfrrt</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ipuqgsfrrt</w:t>
      </w:r>
      <w:r>
        <w:t xml:space="preserve">, manufactured by</w:t>
      </w:r>
      <w:r>
        <w:t xml:space="preserve"> </w:t>
      </w:r>
      <w:r>
        <w:rPr>
          <w:bCs/>
          <w:b/>
        </w:rPr>
        <w:t xml:space="preserve">ghkotkizwq</w:t>
      </w:r>
      <w:r>
        <w:t xml:space="preserve">. The analysis was conducted by Senior Sustainability Consultant</w:t>
      </w:r>
      <w:r>
        <w:t xml:space="preserve"> </w:t>
      </w:r>
      <w:r>
        <w:rPr>
          <w:bCs/>
          <w:b/>
        </w:rPr>
        <w:t xml:space="preserve">hskwhtqvzy</w:t>
      </w:r>
      <w:r>
        <w:t xml:space="preserve">, adhering strictly to the GHG Protocol accounting standard, including the 2026 Land Sector and Removals (LSR) update, and ensuring comprehensive Scope 3 coverage. The primary goal is to quantify the greenhouse gas (GHG) emissions across the product\'s lifecycle, identify key emission hotspots, and provide a foundation for targeted sustainability improvements. Due to the placeholder nature of some input data, all quantitative results presented are illustrative, demonstrating the methodology and potential impact areas rather than providing exact figures.</w:t>
      </w:r>
    </w:p>
    <w:p>
      <w:r>
        <w:pict>
          <v:rect style="width:0;height:1.5pt" o:hralign="center" o:hrstd="t" o:hr="t"/>
        </w:pict>
      </w:r>
    </w:p>
    <w:bookmarkEnd w:id="22"/>
    <w:bookmarkStart w:id="24" w:name="methodology-and-scope-definition"/>
    <w:p>
      <w:pPr>
        <w:pStyle w:val="Heading2"/>
      </w:pPr>
      <w:r>
        <w:t xml:space="preserve">2. Methodology and Scope Definition</w:t>
      </w:r>
    </w:p>
    <w:p>
      <w:pPr>
        <w:pStyle w:val="FirstParagraph"/>
      </w:pPr>
      <w:r>
        <w:t xml:space="preserve">The Product Carbon Footprint (PCF) analysis for</w:t>
      </w:r>
      <w:r>
        <w:t xml:space="preserve"> </w:t>
      </w:r>
      <w:r>
        <w:rPr>
          <w:bCs/>
          <w:b/>
        </w:rPr>
        <w:t xml:space="preserve">ipuqgsfrrt</w:t>
      </w:r>
      <w:r>
        <w:t xml:space="preserve"> </w:t>
      </w:r>
      <w:r>
        <w:t xml:space="preserve">follows a systematic five-step approach in line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reference flow for this analysis is 1.0 unit of</w:t>
      </w:r>
      <w:r>
        <w:t xml:space="preserve"> </w:t>
      </w:r>
      <w:r>
        <w:rPr>
          <w:bCs/>
          <w:b/>
        </w:rPr>
        <w:t xml:space="preserve">ipuqgsfrrt</w:t>
      </w:r>
      <w:r>
        <w:t xml:space="preserve">. This unit forms the basis for all quantified environmental impacts.</w:t>
      </w:r>
    </w:p>
    <w:p>
      <w:pPr>
        <w:numPr>
          <w:ilvl w:val="0"/>
          <w:numId w:val="1001"/>
        </w:numPr>
        <w:pStyle w:val="Compact"/>
      </w:pPr>
      <w:r>
        <w:rPr>
          <w:bCs/>
          <w:b/>
        </w:rPr>
        <w:t xml:space="preserve">System Boundary:</w:t>
      </w:r>
      <w:r>
        <w:t xml:space="preserve"> </w:t>
      </w:r>
      <w:r>
        <w:t xml:space="preserve">A "factory_gate" system boundary has been applied. This means the analysis primarily focuses on emissions up to the point the product leaves the factory, including raw material acquisition, manufacturing, and upstream transport. However, per the requirements, downstream phases like use and end-of-life have also been addressed for a more holistic view.</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ipuqgsfrrt</w:t>
      </w:r>
      <w:r>
        <w:t xml:space="preserve"> </w:t>
      </w:r>
      <w:r>
        <w:t xml:space="preserve">is China, with a supply chain focus predominantly on Europe. This geographic consideration influences the selection of region-specific emission factors where available.</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This ensures consistency, transparency, and comparability of the PCF results.</w:t>
      </w:r>
    </w:p>
    <w:p>
      <w:pPr>
        <w:numPr>
          <w:ilvl w:val="0"/>
          <w:numId w:val="1001"/>
        </w:numPr>
        <w:pStyle w:val="Compact"/>
      </w:pPr>
      <w:r>
        <w:rPr>
          <w:bCs/>
          <w:b/>
        </w:rPr>
        <w:t xml:space="preserve">Allocation:</w:t>
      </w:r>
      <w:r>
        <w:t xml:space="preserve"> </w:t>
      </w:r>
      <w:r>
        <w:t xml:space="preserve">Where multi-functional processes or co-products exist, allocation methods are based on established GHG Protocol guidance, typically physical relationships or economic value, to attribute emissions appropriately to the functional unit.</w:t>
      </w:r>
    </w:p>
    <w:p>
      <w:r>
        <w:pict>
          <v:rect style="width:0;height:1.5pt" o:hralign="center" o:hrstd="t" o:hr="t"/>
        </w:pict>
      </w:r>
    </w:p>
    <w:bookmarkEnd w:id="23"/>
    <w:bookmarkEnd w:id="24"/>
    <w:bookmarkStart w:id="30" w:name="lifecycle-mapping-and-data-collection"/>
    <w:p>
      <w:pPr>
        <w:pStyle w:val="Heading2"/>
      </w:pPr>
      <w:r>
        <w:t xml:space="preserve">3. Lifecycle Mapping and Data Collection</w:t>
      </w:r>
    </w:p>
    <w:p>
      <w:pPr>
        <w:pStyle w:val="FirstParagraph"/>
      </w:pPr>
      <w:r>
        <w:t xml:space="preserve">This section outlines the lifecycle stages considered and the data points collected for the PCF analysis of</w:t>
      </w:r>
      <w:r>
        <w:t xml:space="preserve"> </w:t>
      </w:r>
      <w:r>
        <w:rPr>
          <w:bCs/>
          <w:b/>
        </w:rPr>
        <w:t xml:space="preserve">ipuqgsfrrt</w:t>
      </w:r>
      <w:r>
        <w:t xml:space="preserve">. Given the placeholder nature of the provided detailed input parameters, the tables below present an illustrative structure and assumed values to demonstrate the calculation methodology.</w:t>
      </w:r>
    </w:p>
    <w:bookmarkStart w:id="25" w:name="X1198c8af25dd1a2ebffa686809674f976343a37"/>
    <w:p>
      <w:pPr>
        <w:pStyle w:val="Heading3"/>
      </w:pPr>
      <w:r>
        <w:t xml:space="preserve">3.1. Material Acquisition &amp; Pre-processing (Scope 3 - Upstream)</w:t>
      </w:r>
    </w:p>
    <w:p>
      <w:pPr>
        <w:pStyle w:val="FirstParagraph"/>
      </w:pPr>
      <w:r>
        <w:t xml:space="preserve">The detailed Bill of Materials (BOM) provides a foundational input for calculating emissions from raw material extraction, processing, and component manufacturing. The following table illustrates the structure and assumed values based on the format provided (ID, Description, Category, Process, Qty, Unit, Emission Factor, Total Carbon). Actual calculations would sum the \'Total Carbon\' for each item to determine the overall material impact.</w:t>
      </w:r>
    </w:p>
    <w:p>
      <w:pPr>
        <w:pStyle w:val="BodyText"/>
      </w:pPr>
      <w:r>
        <w:rPr>
          <w:bCs/>
          <w:b/>
        </w:rPr>
        <w:t xml:space="preserve">Detailed Bill of Materials (Illustrative based on \'pqdylwip\'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r>
              <w:t xml:space="preserve"> </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 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 Insulating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r>
              <w:t xml:space="preserve"> </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w:t>
            </w:r>
            <w:r>
              <w:t xml:space="preserve"> </w:t>
            </w:r>
          </w:p>
        </w:tc>
        <w:tc>
          <w:tcPr/>
          <w:p>
            <w:pPr>
              <w:pStyle w:val="Compact"/>
              <w:jc w:val="left"/>
            </w:pPr>
            <w:r>
              <w:t xml:space="preserve">0.09</w:t>
            </w:r>
          </w:p>
        </w:tc>
      </w:tr>
      <w:tr>
        <w:tc>
          <w:tcPr>
            <w:gridSpan w:val="7"/>
          </w:tcPr>
          <w:p>
            <w:pPr>
              <w:pStyle w:val="Compact"/>
              <w:jc w:val="right"/>
            </w:pPr>
            <w:r>
              <w:t xml:space="preserve">Total Material Carbon Footprint (Illustrative)</w:t>
            </w:r>
          </w:p>
        </w:tc>
        <w:tc>
          <w:tcPr/>
          <w:p>
            <w:pPr>
              <w:pStyle w:val="Compact"/>
              <w:jc w:val="left"/>
            </w:pPr>
            <w:r>
              <w:t xml:space="preserve">6.99</w:t>
            </w:r>
          </w:p>
        </w:tc>
      </w:tr>
    </w:tbl>
    <w:p>
      <w:pPr>
        <w:pStyle w:val="BodyText"/>
      </w:pPr>
      <w:r>
        <w:rPr>
          <w:iCs/>
          <w:i/>
        </w:rPr>
        <w:t xml:space="preserve">Note: The "Total Carbon" values presented here are illustrative, derived from assumed quantities and emission factors, to demonstrate how data provided in the \'pqdylwip\' format would be utilized. Emission factors are representative of industry averages.</w:t>
      </w:r>
    </w:p>
    <w:bookmarkEnd w:id="25"/>
    <w:bookmarkStart w:id="26" w:name="production-phase-scope-1-2"/>
    <w:p>
      <w:pPr>
        <w:pStyle w:val="Heading3"/>
      </w:pPr>
      <w:r>
        <w:t xml:space="preserve">3.2. Production Phase (Scope 1 &amp; 2)</w:t>
      </w:r>
    </w:p>
    <w:p>
      <w:pPr>
        <w:pStyle w:val="FirstParagraph"/>
      </w:pPr>
      <w:r>
        <w:t xml:space="preserve">Emissions from the manufacturing process in the China-based factory for</w:t>
      </w:r>
      <w:r>
        <w:t xml:space="preserve"> </w:t>
      </w:r>
      <w:r>
        <w:rPr>
          <w:bCs/>
          <w:b/>
        </w:rPr>
        <w:t xml:space="preserve">ipuqgsfrrt</w:t>
      </w:r>
      <w:r>
        <w:t xml:space="preserve"> </w:t>
      </w:r>
      <w:r>
        <w:t xml:space="preserve">account for direct emissions (Scope 1) and purchased energy (Scope 2).</w:t>
      </w:r>
    </w:p>
    <w:p>
      <w:pPr>
        <w:numPr>
          <w:ilvl w:val="0"/>
          <w:numId w:val="1002"/>
        </w:numPr>
        <w:pStyle w:val="Compact"/>
      </w:pPr>
      <w:r>
        <w:rPr>
          <w:bCs/>
          <w:b/>
        </w:rPr>
        <w:t xml:space="preserve">Renewable Energy Usage:</w:t>
      </w:r>
      <w:r>
        <w:t xml:space="preserve"> </w:t>
      </w:r>
      <w:r>
        <w:t xml:space="preserve">The facility utilizes</w:t>
      </w:r>
      <w:r>
        <w:t xml:space="preserve"> </w:t>
      </w:r>
      <w:r>
        <w:rPr>
          <w:bCs/>
          <w:b/>
        </w:rPr>
        <w:t xml:space="preserve">xjhvwzrxhh</w:t>
      </w:r>
      <w:r>
        <w:t xml:space="preserve"> </w:t>
      </w:r>
      <w:r>
        <w:t xml:space="preserve">percentage of renewable energy. This directly impacts the grid electricity emission factor, reducing Scope 2 emissions. For illustrative purposes, we assume a specific percentage translates to a lower effective grid factor.</w:t>
      </w:r>
    </w:p>
    <w:p>
      <w:pPr>
        <w:numPr>
          <w:ilvl w:val="0"/>
          <w:numId w:val="1002"/>
        </w:numPr>
        <w:pStyle w:val="Compact"/>
      </w:pPr>
      <w:r>
        <w:rPr>
          <w:bCs/>
          <w:b/>
        </w:rPr>
        <w:t xml:space="preserve">Energy Intensity (kWh/unit):</w:t>
      </w:r>
      <w:r>
        <w:t xml:space="preserve"> </w:t>
      </w:r>
      <w:r>
        <w:t xml:space="preserve">Production of one unit of</w:t>
      </w:r>
      <w:r>
        <w:t xml:space="preserve"> </w:t>
      </w:r>
      <w:r>
        <w:rPr>
          <w:bCs/>
          <w:b/>
        </w:rPr>
        <w:t xml:space="preserve">ipuqgsfrrt</w:t>
      </w:r>
      <w:r>
        <w:t xml:space="preserve"> </w:t>
      </w:r>
      <w:r>
        <w:t xml:space="preserve">consumes</w:t>
      </w:r>
      <w:r>
        <w:t xml:space="preserve"> </w:t>
      </w:r>
      <w:r>
        <w:rPr>
          <w:bCs/>
          <w:b/>
        </w:rPr>
        <w:t xml:space="preserve">dstixlddpi</w:t>
      </w:r>
      <w:r>
        <w:t xml:space="preserve"> </w:t>
      </w:r>
      <w:r>
        <w:t xml:space="preserve">kWh/unit. This is a critical factor for calculating Scope 2 electricity emissions.</w:t>
      </w:r>
    </w:p>
    <w:p>
      <w:pPr>
        <w:numPr>
          <w:ilvl w:val="0"/>
          <w:numId w:val="1002"/>
        </w:numPr>
        <w:pStyle w:val="Compact"/>
      </w:pPr>
      <w:r>
        <w:rPr>
          <w:bCs/>
          <w:b/>
        </w:rPr>
        <w:t xml:space="preserve">Illustrative Production Energy Data:</w:t>
      </w:r>
    </w:p>
    <w:p>
      <w:pPr>
        <w:numPr>
          <w:ilvl w:val="1"/>
          <w:numId w:val="1003"/>
        </w:numPr>
        <w:pStyle w:val="Compact"/>
      </w:pPr>
      <w:r>
        <w:t xml:space="preserve">Energy Intensity per unit:</w:t>
      </w:r>
      <w:r>
        <w:t xml:space="preserve"> </w:t>
      </w:r>
      <w:r>
        <w:rPr>
          <w:bCs/>
          <w:b/>
        </w:rPr>
        <w:t xml:space="preserve">[Illustrative: 10.0]</w:t>
      </w:r>
      <w:r>
        <w:t xml:space="preserve"> </w:t>
      </w:r>
      <w:r>
        <w:t xml:space="preserve">kWh/unit (based on `dstixlddpi`)</w:t>
      </w:r>
    </w:p>
    <w:p>
      <w:pPr>
        <w:numPr>
          <w:ilvl w:val="1"/>
          <w:numId w:val="1003"/>
        </w:numPr>
        <w:pStyle w:val="Compact"/>
      </w:pPr>
      <w:r>
        <w:t xml:space="preserve">Renewable Energy Share:</w:t>
      </w:r>
      <w:r>
        <w:t xml:space="preserve"> </w:t>
      </w:r>
      <w:r>
        <w:rPr>
          <w:bCs/>
          <w:b/>
        </w:rPr>
        <w:t xml:space="preserve">[Illustrative: 70%]</w:t>
      </w:r>
      <w:r>
        <w:t xml:space="preserve"> </w:t>
      </w:r>
      <w:r>
        <w:t xml:space="preserve">(based on `xjhvwzrxhh`)</w:t>
      </w:r>
    </w:p>
    <w:p>
      <w:pPr>
        <w:numPr>
          <w:ilvl w:val="1"/>
          <w:numId w:val="1003"/>
        </w:numPr>
        <w:pStyle w:val="Compact"/>
      </w:pPr>
      <w:r>
        <w:t xml:space="preserve">Grid Emission Factor (China, illustrative): 0.60 kg CO2e/kWh</w:t>
      </w:r>
      <w:r>
        <w:t xml:space="preserve"> </w:t>
      </w:r>
    </w:p>
    <w:p>
      <w:pPr>
        <w:numPr>
          <w:ilvl w:val="1"/>
          <w:numId w:val="1003"/>
        </w:numPr>
        <w:pStyle w:val="Compact"/>
      </w:pPr>
      <w:r>
        <w:t xml:space="preserve">Effective Grid Emission Factor (with 70% renewable): 0.60 * (1 - 0.70) = 0.18 kg CO2e/kWh</w:t>
      </w:r>
    </w:p>
    <w:p>
      <w:pPr>
        <w:numPr>
          <w:ilvl w:val="1"/>
          <w:numId w:val="1003"/>
        </w:numPr>
        <w:pStyle w:val="Compact"/>
      </w:pPr>
      <w:r>
        <w:rPr>
          <w:bCs/>
          <w:b/>
        </w:rPr>
        <w:t xml:space="preserve">Illustrative Scope 2 Emissions:</w:t>
      </w:r>
      <w:r>
        <w:t xml:space="preserve"> </w:t>
      </w:r>
      <w:r>
        <w:t xml:space="preserve">10.0 kWh/unit * 0.18 kg CO2e/kWh = 1.80 kg CO2e/unit</w:t>
      </w:r>
    </w:p>
    <w:p>
      <w:pPr>
        <w:numPr>
          <w:ilvl w:val="0"/>
          <w:numId w:val="1002"/>
        </w:numPr>
        <w:pStyle w:val="Compact"/>
      </w:pPr>
      <w:r>
        <w:rPr>
          <w:bCs/>
          <w:b/>
        </w:rPr>
        <w:t xml:space="preserve">Scope 1 Emissions (Direct):</w:t>
      </w:r>
      <w:r>
        <w:t xml:space="preserve"> </w:t>
      </w:r>
      <w:r>
        <w:t xml:space="preserve">Assumed to be negligible or accounted for within material processing for this illustrative report, unless specific on-site fuel combustion data were provided. For example, direct fuel combustion for heating or machinery. For this analysis, an illustrative 0.10 kg CO2e/unit is included.</w:t>
      </w:r>
    </w:p>
    <w:bookmarkEnd w:id="26"/>
    <w:bookmarkStart w:id="27" w:name="transport-scope-3---upstream-downstream"/>
    <w:p>
      <w:pPr>
        <w:pStyle w:val="Heading3"/>
      </w:pPr>
      <w:r>
        <w:t xml:space="preserve">3.3. Transport (Scope 3 - Upstream &amp; Downstream)</w:t>
      </w:r>
    </w:p>
    <w:p>
      <w:pPr>
        <w:pStyle w:val="FirstParagraph"/>
      </w:pPr>
      <w:r>
        <w:t xml:space="preserve">Logistics data for the supply chain (Europe Focused) and last-mile delivery are incorporated.</w:t>
      </w:r>
    </w:p>
    <w:p>
      <w:pPr>
        <w:numPr>
          <w:ilvl w:val="0"/>
          <w:numId w:val="1004"/>
        </w:numPr>
        <w:pStyle w:val="Compact"/>
      </w:pPr>
      <w:r>
        <w:rPr>
          <w:bCs/>
          <w:b/>
        </w:rPr>
        <w:t xml:space="preserve">Transport Mode:</w:t>
      </w:r>
      <w:r>
        <w:t xml:space="preserve"> </w:t>
      </w:r>
      <w:r>
        <w:rPr>
          <w:bCs/>
          <w:b/>
        </w:rPr>
        <w:t xml:space="preserve">Select Mode</w:t>
      </w:r>
      <w:r>
        <w:t xml:space="preserve"> </w:t>
      </w:r>
      <w:r>
        <w:t xml:space="preserve">(e.g., Ocean Freight, Road Freight)</w:t>
      </w:r>
    </w:p>
    <w:p>
      <w:pPr>
        <w:numPr>
          <w:ilvl w:val="0"/>
          <w:numId w:val="1004"/>
        </w:numPr>
        <w:pStyle w:val="Compact"/>
      </w:pPr>
      <w:r>
        <w:rPr>
          <w:bCs/>
          <w:b/>
        </w:rPr>
        <w:t xml:space="preserve">Transport Distance:</w:t>
      </w:r>
      <w:r>
        <w:t xml:space="preserve"> </w:t>
      </w:r>
      <w:r>
        <w:rPr>
          <w:bCs/>
          <w:b/>
        </w:rPr>
        <w:t xml:space="preserve">yfrepgmlqm</w:t>
      </w:r>
      <w:r>
        <w:t xml:space="preserve"> </w:t>
      </w:r>
      <w:r>
        <w:t xml:space="preserve">km (e.g., 5000 km)</w:t>
      </w:r>
    </w:p>
    <w:p>
      <w:pPr>
        <w:numPr>
          <w:ilvl w:val="0"/>
          <w:numId w:val="1004"/>
        </w:numPr>
        <w:pStyle w:val="Compact"/>
      </w:pPr>
      <w:r>
        <w:rPr>
          <w:bCs/>
          <w:b/>
        </w:rPr>
        <w:t xml:space="preserve">Last-Mile Delivery Channel:</w:t>
      </w:r>
      <w:r>
        <w:t xml:space="preserve"> </w:t>
      </w:r>
      <w:r>
        <w:rPr>
          <w:bCs/>
          <w:b/>
        </w:rPr>
        <w:t xml:space="preserve">Delivery Type</w:t>
      </w:r>
      <w:r>
        <w:t xml:space="preserve"> </w:t>
      </w:r>
      <w:r>
        <w:t xml:space="preserve">(e.g., Parcel Service, Retail Store Pickup)</w:t>
      </w:r>
    </w:p>
    <w:p>
      <w:pPr>
        <w:numPr>
          <w:ilvl w:val="0"/>
          <w:numId w:val="1004"/>
        </w:numPr>
        <w:pStyle w:val="Compact"/>
      </w:pPr>
      <w:r>
        <w:rPr>
          <w:bCs/>
          <w:b/>
        </w:rPr>
        <w:t xml:space="preserve">Illustrative Transport Data:</w:t>
      </w:r>
    </w:p>
    <w:p>
      <w:pPr>
        <w:numPr>
          <w:ilvl w:val="1"/>
          <w:numId w:val="1005"/>
        </w:numPr>
        <w:pStyle w:val="Compact"/>
      </w:pPr>
      <w:r>
        <w:t xml:space="preserve">Supply Chain Transport (e.g., components from Europe to China, finished goods to Europe):</w:t>
      </w:r>
    </w:p>
    <w:p>
      <w:pPr>
        <w:numPr>
          <w:ilvl w:val="2"/>
          <w:numId w:val="1006"/>
        </w:numPr>
        <w:pStyle w:val="Compact"/>
      </w:pPr>
      <w:r>
        <w:t xml:space="preserve">Mode: Ocean Freight (Illustrative for `Select Mode`)</w:t>
      </w:r>
    </w:p>
    <w:p>
      <w:pPr>
        <w:numPr>
          <w:ilvl w:val="2"/>
          <w:numId w:val="1006"/>
        </w:numPr>
        <w:pStyle w:val="Compact"/>
      </w:pPr>
      <w:r>
        <w:t xml:space="preserve">Distance: 15,000 km (Illustrative for `yfrepgmlqm`)</w:t>
      </w:r>
    </w:p>
    <w:p>
      <w:pPr>
        <w:numPr>
          <w:ilvl w:val="2"/>
          <w:numId w:val="1006"/>
        </w:numPr>
        <w:pStyle w:val="Compact"/>
      </w:pPr>
      <w:r>
        <w:t xml:space="preserve">Emission Factor (Ocean Freight, illustrative): 0.016 kg CO2e/tonne-km</w:t>
      </w:r>
      <w:r>
        <w:t xml:space="preserve"> </w:t>
      </w:r>
    </w:p>
    <w:p>
      <w:pPr>
        <w:numPr>
          <w:ilvl w:val="2"/>
          <w:numId w:val="1006"/>
        </w:numPr>
        <w:pStyle w:val="Compact"/>
      </w:pPr>
      <w:r>
        <w:t xml:space="preserve">Product Weight: 1.0 kg (assumed for 1 unit)</w:t>
      </w:r>
    </w:p>
    <w:p>
      <w:pPr>
        <w:numPr>
          <w:ilvl w:val="2"/>
          <w:numId w:val="1006"/>
        </w:numPr>
        <w:pStyle w:val="Compact"/>
      </w:pPr>
      <w:r>
        <w:rPr>
          <w:bCs/>
          <w:b/>
        </w:rPr>
        <w:t xml:space="preserve">Illustrative Upstream Transport Emissions:</w:t>
      </w:r>
      <w:r>
        <w:t xml:space="preserve"> </w:t>
      </w:r>
      <w:r>
        <w:t xml:space="preserve">(1.0 kg * 15000 km * 0.016 kg CO2e/tonne-km) / 1000 kg/tonne = 0.24 kg CO2e/unit</w:t>
      </w:r>
    </w:p>
    <w:p>
      <w:pPr>
        <w:numPr>
          <w:ilvl w:val="1"/>
          <w:numId w:val="1005"/>
        </w:numPr>
        <w:pStyle w:val="Compact"/>
      </w:pPr>
      <w:r>
        <w:t xml:space="preserve">Last-Mile Delivery:</w:t>
      </w:r>
    </w:p>
    <w:p>
      <w:pPr>
        <w:numPr>
          <w:ilvl w:val="2"/>
          <w:numId w:val="1007"/>
        </w:numPr>
        <w:pStyle w:val="Compact"/>
      </w:pPr>
      <w:r>
        <w:t xml:space="preserve">Channel: Parcel Service (Illustrative for `Delivery Type`)</w:t>
      </w:r>
    </w:p>
    <w:p>
      <w:pPr>
        <w:numPr>
          <w:ilvl w:val="2"/>
          <w:numId w:val="1007"/>
        </w:numPr>
        <w:pStyle w:val="Compact"/>
      </w:pPr>
      <w:r>
        <w:t xml:space="preserve">Distance: 50 km (average last-mile)</w:t>
      </w:r>
    </w:p>
    <w:p>
      <w:pPr>
        <w:numPr>
          <w:ilvl w:val="2"/>
          <w:numId w:val="1007"/>
        </w:numPr>
        <w:pStyle w:val="Compact"/>
      </w:pPr>
      <w:r>
        <w:t xml:space="preserve">Emission Factor (Parcel Van, illustrative for shared delivery): 0.20 kg CO2e/km for the van</w:t>
      </w:r>
      <w:r>
        <w:t xml:space="preserve"> </w:t>
      </w:r>
    </w:p>
    <w:p>
      <w:pPr>
        <w:numPr>
          <w:ilvl w:val="2"/>
          <w:numId w:val="1007"/>
        </w:numPr>
        <w:pStyle w:val="Compact"/>
      </w:pPr>
      <w:r>
        <w:t xml:space="preserve">Apportionment: Assuming the 1.0 kg unit takes 1/20th of the van\'s effective capacity/load for the last mile.</w:t>
      </w:r>
    </w:p>
    <w:p>
      <w:pPr>
        <w:numPr>
          <w:ilvl w:val="2"/>
          <w:numId w:val="1007"/>
        </w:numPr>
        <w:pStyle w:val="Compact"/>
      </w:pPr>
      <w:r>
        <w:rPr>
          <w:bCs/>
          <w:b/>
        </w:rPr>
        <w:t xml:space="preserve">Illustrative Last-Mile Emissions:</w:t>
      </w:r>
      <w:r>
        <w:t xml:space="preserve"> </w:t>
      </w:r>
      <w:r>
        <w:t xml:space="preserve">(0.20 kg CO2e/km * 50 km) / 20 = 0.50 kg CO2e/unit</w:t>
      </w:r>
    </w:p>
    <w:bookmarkEnd w:id="27"/>
    <w:bookmarkStart w:id="28" w:name="use-phase-scope-3---downstream"/>
    <w:p>
      <w:pPr>
        <w:pStyle w:val="Heading3"/>
      </w:pPr>
      <w:r>
        <w:t xml:space="preserve">3.4. Use Phase (Scope 3 - Downstream)</w:t>
      </w:r>
    </w:p>
    <w:p>
      <w:pPr>
        <w:pStyle w:val="FirstParagraph"/>
      </w:pPr>
      <w:r>
        <w:t xml:space="preserve">Emissions during the product\'s lifespan are critical for many products, especially electronics or appliances.</w:t>
      </w:r>
    </w:p>
    <w:p>
      <w:pPr>
        <w:numPr>
          <w:ilvl w:val="0"/>
          <w:numId w:val="1008"/>
        </w:numPr>
        <w:pStyle w:val="Compact"/>
      </w:pPr>
      <w:r>
        <w:rPr>
          <w:bCs/>
          <w:b/>
        </w:rPr>
        <w:t xml:space="preserve">Product Lifespan:</w:t>
      </w:r>
      <w:r>
        <w:t xml:space="preserve"> </w:t>
      </w:r>
      <w:r>
        <w:rPr>
          <w:bCs/>
          <w:b/>
        </w:rPr>
        <w:t xml:space="preserve">feleeydqwt</w:t>
      </w:r>
      <w:r>
        <w:t xml:space="preserve"> </w:t>
      </w:r>
      <w:r>
        <w:t xml:space="preserve">years (e.g., 5 years)</w:t>
      </w:r>
    </w:p>
    <w:p>
      <w:pPr>
        <w:numPr>
          <w:ilvl w:val="0"/>
          <w:numId w:val="1008"/>
        </w:numPr>
        <w:pStyle w:val="Compact"/>
      </w:pPr>
      <w:r>
        <w:rPr>
          <w:bCs/>
          <w:b/>
        </w:rPr>
        <w:t xml:space="preserve">Energy Consumption in Use:</w:t>
      </w:r>
      <w:r>
        <w:t xml:space="preserve"> </w:t>
      </w:r>
      <w:r>
        <w:rPr>
          <w:bCs/>
          <w:b/>
        </w:rPr>
        <w:t xml:space="preserve">kwrfhvuder</w:t>
      </w:r>
      <w:r>
        <w:t xml:space="preserve"> </w:t>
      </w:r>
      <w:r>
        <w:t xml:space="preserve">kWh/year (e.g., 10 kWh/year)</w:t>
      </w:r>
    </w:p>
    <w:p>
      <w:pPr>
        <w:numPr>
          <w:ilvl w:val="0"/>
          <w:numId w:val="1008"/>
        </w:numPr>
        <w:pStyle w:val="Compact"/>
      </w:pPr>
      <w:r>
        <w:rPr>
          <w:bCs/>
          <w:b/>
        </w:rPr>
        <w:t xml:space="preserve">Illustrative Use Phase Data:</w:t>
      </w:r>
    </w:p>
    <w:p>
      <w:pPr>
        <w:numPr>
          <w:ilvl w:val="1"/>
          <w:numId w:val="1009"/>
        </w:numPr>
        <w:pStyle w:val="Compact"/>
      </w:pPr>
      <w:r>
        <w:t xml:space="preserve">Lifespan:</w:t>
      </w:r>
      <w:r>
        <w:t xml:space="preserve"> </w:t>
      </w:r>
      <w:r>
        <w:rPr>
          <w:bCs/>
          <w:b/>
        </w:rPr>
        <w:t xml:space="preserve">[Illustrative: 5]</w:t>
      </w:r>
      <w:r>
        <w:t xml:space="preserve"> </w:t>
      </w:r>
      <w:r>
        <w:t xml:space="preserve">years (based on `feleeydqwt`)</w:t>
      </w:r>
    </w:p>
    <w:p>
      <w:pPr>
        <w:numPr>
          <w:ilvl w:val="1"/>
          <w:numId w:val="1009"/>
        </w:numPr>
        <w:pStyle w:val="Compact"/>
      </w:pPr>
      <w:r>
        <w:t xml:space="preserve">Annual Energy Consumption:</w:t>
      </w:r>
      <w:r>
        <w:t xml:space="preserve"> </w:t>
      </w:r>
      <w:r>
        <w:rPr>
          <w:bCs/>
          <w:b/>
        </w:rPr>
        <w:t xml:space="preserve">[Illustrative: 10]</w:t>
      </w:r>
      <w:r>
        <w:t xml:space="preserve"> </w:t>
      </w:r>
      <w:r>
        <w:t xml:space="preserve">kWh/year (based on `kwrfhvuder`)</w:t>
      </w:r>
    </w:p>
    <w:p>
      <w:pPr>
        <w:numPr>
          <w:ilvl w:val="1"/>
          <w:numId w:val="1009"/>
        </w:numPr>
        <w:pStyle w:val="Compact"/>
      </w:pPr>
      <w:r>
        <w:t xml:space="preserve">Average Grid Emission Factor (Europe, illustrative): 0.181 kg CO2e/kWh</w:t>
      </w:r>
      <w:r>
        <w:t xml:space="preserve"> </w:t>
      </w:r>
    </w:p>
    <w:p>
      <w:pPr>
        <w:numPr>
          <w:ilvl w:val="1"/>
          <w:numId w:val="1009"/>
        </w:numPr>
        <w:pStyle w:val="Compact"/>
      </w:pPr>
      <w:r>
        <w:rPr>
          <w:bCs/>
          <w:b/>
        </w:rPr>
        <w:t xml:space="preserve">Illustrative Use Phase Emissions:</w:t>
      </w:r>
      <w:r>
        <w:t xml:space="preserve"> </w:t>
      </w:r>
      <w:r>
        <w:t xml:space="preserve">5 years * 10 kWh/year * 0.181 kg CO2e/kWh = 9.05 kg CO2e/unit</w:t>
      </w:r>
    </w:p>
    <w:bookmarkEnd w:id="28"/>
    <w:bookmarkStart w:id="29" w:name="X2449e76f36fce2c9fec3c701a472f020b80894d"/>
    <w:p>
      <w:pPr>
        <w:pStyle w:val="Heading3"/>
      </w:pPr>
      <w:r>
        <w:t xml:space="preserve">3.5. End-of-Life (EoL) Scenarios (Scope 3 - Downstream)</w:t>
      </w:r>
    </w:p>
    <w:p>
      <w:pPr>
        <w:pStyle w:val="FirstParagraph"/>
      </w:pPr>
      <w:r>
        <w:t xml:space="preserve">The fate of the product at the end of its life cycle influences its overall footprint.</w:t>
      </w:r>
    </w:p>
    <w:p>
      <w:pPr>
        <w:numPr>
          <w:ilvl w:val="0"/>
          <w:numId w:val="1010"/>
        </w:numPr>
        <w:pStyle w:val="Compact"/>
      </w:pPr>
      <w:r>
        <w:rPr>
          <w:bCs/>
          <w:b/>
        </w:rPr>
        <w:t xml:space="preserve">Product Weight:</w:t>
      </w:r>
      <w:r>
        <w:t xml:space="preserve"> </w:t>
      </w:r>
      <w:r>
        <w:t xml:space="preserve">1.0 kg (assumed)</w:t>
      </w:r>
    </w:p>
    <w:p>
      <w:pPr>
        <w:numPr>
          <w:ilvl w:val="0"/>
          <w:numId w:val="1010"/>
        </w:numPr>
        <w:pStyle w:val="Compact"/>
      </w:pPr>
      <w:r>
        <w:rPr>
          <w:bCs/>
          <w:b/>
        </w:rPr>
        <w:t xml:space="preserve">Recyclability Percentage:</w:t>
      </w:r>
      <w:r>
        <w:t xml:space="preserve"> </w:t>
      </w:r>
      <w:r>
        <w:rPr>
          <w:bCs/>
          <w:b/>
        </w:rPr>
        <w:t xml:space="preserve">igvovjeoev</w:t>
      </w:r>
      <w:r>
        <w:t xml:space="preserve"> </w:t>
      </w:r>
      <w:r>
        <w:t xml:space="preserve">(e.g., 70%)</w:t>
      </w:r>
    </w:p>
    <w:p>
      <w:pPr>
        <w:numPr>
          <w:ilvl w:val="0"/>
          <w:numId w:val="1010"/>
        </w:numPr>
        <w:pStyle w:val="Compact"/>
      </w:pPr>
      <w:r>
        <w:rPr>
          <w:bCs/>
          <w:b/>
        </w:rPr>
        <w:t xml:space="preserve">Circular/Take-back Programs:</w:t>
      </w:r>
      <w:r>
        <w:t xml:space="preserve"> </w:t>
      </w:r>
      <w:r>
        <w:rPr>
          <w:bCs/>
          <w:b/>
        </w:rPr>
        <w:t xml:space="preserve">rkhvoukoqf</w:t>
      </w:r>
      <w:r>
        <w:t xml:space="preserve"> </w:t>
      </w:r>
      <w:r>
        <w:t xml:space="preserve">(e.g., Active take-back program for key components)</w:t>
      </w:r>
    </w:p>
    <w:p>
      <w:pPr>
        <w:numPr>
          <w:ilvl w:val="0"/>
          <w:numId w:val="1010"/>
        </w:numPr>
        <w:pStyle w:val="Compact"/>
      </w:pPr>
      <w:r>
        <w:rPr>
          <w:bCs/>
          <w:b/>
        </w:rPr>
        <w:t xml:space="preserve">Illustrative End-of-Life Data:</w:t>
      </w:r>
    </w:p>
    <w:p>
      <w:pPr>
        <w:numPr>
          <w:ilvl w:val="1"/>
          <w:numId w:val="1011"/>
        </w:numPr>
        <w:pStyle w:val="Compact"/>
      </w:pPr>
      <w:r>
        <w:t xml:space="preserve">Recyclability:</w:t>
      </w:r>
      <w:r>
        <w:t xml:space="preserve"> </w:t>
      </w:r>
      <w:r>
        <w:rPr>
          <w:bCs/>
          <w:b/>
        </w:rPr>
        <w:t xml:space="preserve">[Illustrative: 70%]</w:t>
      </w:r>
      <w:r>
        <w:t xml:space="preserve"> </w:t>
      </w:r>
      <w:r>
        <w:t xml:space="preserve">(based on `igvovjeoev`)</w:t>
      </w:r>
    </w:p>
    <w:p>
      <w:pPr>
        <w:numPr>
          <w:ilvl w:val="1"/>
          <w:numId w:val="1011"/>
        </w:numPr>
        <w:pStyle w:val="Compact"/>
      </w:pPr>
      <w:r>
        <w:t xml:space="preserve">Landfilling Rate (Assumed for non-recycled/non-incinerated): 20%</w:t>
      </w:r>
    </w:p>
    <w:p>
      <w:pPr>
        <w:numPr>
          <w:ilvl w:val="1"/>
          <w:numId w:val="1011"/>
        </w:numPr>
        <w:pStyle w:val="Compact"/>
      </w:pPr>
      <w:r>
        <w:t xml:space="preserve">Incineration Rate (Assumed for non-recycled/non-landfilled): 10%</w:t>
      </w:r>
    </w:p>
    <w:p>
      <w:pPr>
        <w:numPr>
          <w:ilvl w:val="1"/>
          <w:numId w:val="1011"/>
        </w:numPr>
        <w:pStyle w:val="Compact"/>
      </w:pPr>
      <w:r>
        <w:t xml:space="preserve">Avoided Emissions from Recycling (Illustrative for mixed materials): -1.0 kg CO2e/kg</w:t>
      </w:r>
      <w:r>
        <w:t xml:space="preserve"> </w:t>
      </w:r>
    </w:p>
    <w:p>
      <w:pPr>
        <w:numPr>
          <w:ilvl w:val="1"/>
          <w:numId w:val="1011"/>
        </w:numPr>
        <w:pStyle w:val="Compact"/>
      </w:pPr>
      <w:r>
        <w:t xml:space="preserve">Emissions from Landfilling (Illustrative for mixed waste): 0.2 kg CO2e/kg</w:t>
      </w:r>
      <w:r>
        <w:t xml:space="preserve"> </w:t>
      </w:r>
    </w:p>
    <w:p>
      <w:pPr>
        <w:numPr>
          <w:ilvl w:val="1"/>
          <w:numId w:val="1011"/>
        </w:numPr>
        <w:pStyle w:val="Compact"/>
      </w:pPr>
      <w:r>
        <w:t xml:space="preserve">Emissions from Incineration (Illustrative for mixed waste, fossil fraction): 1.0 kg CO2e/kg</w:t>
      </w:r>
      <w:r>
        <w:t xml:space="preserve"> </w:t>
      </w:r>
    </w:p>
    <w:p>
      <w:pPr>
        <w:numPr>
          <w:ilvl w:val="1"/>
          <w:numId w:val="1011"/>
        </w:numPr>
        <w:pStyle w:val="Compact"/>
      </w:pPr>
      <w:r>
        <w:rPr>
          <w:bCs/>
          <w:b/>
        </w:rPr>
        <w:t xml:space="preserve">Illustrative EoL Emissions (Net):</w:t>
      </w:r>
      <w:r>
        <w:t xml:space="preserve"> </w:t>
      </w:r>
      <w:r>
        <w:t xml:space="preserve">(0.7 kg * -1.0 kg CO2e/kg) + (0.2 kg * 0.2 kg CO2e/kg) + (0.1 kg * 1.0 kg CO2e/kg) = -0.7 + 0.04 + 0.10 = -0.56 kg CO2e/unit (Net benefit from recycling and EoL scenario)</w:t>
      </w:r>
    </w:p>
    <w:p>
      <w:pPr>
        <w:numPr>
          <w:ilvl w:val="0"/>
          <w:numId w:val="1010"/>
        </w:numPr>
        <w:pStyle w:val="Compact"/>
      </w:pPr>
      <w:r>
        <w:rPr>
          <w:bCs/>
          <w:b/>
        </w:rPr>
        <w:t xml:space="preserve">Circular/Take-back Programs:</w:t>
      </w:r>
      <w:r>
        <w:t xml:space="preserve"> </w:t>
      </w:r>
      <w:r>
        <w:t xml:space="preserve">The existence of</w:t>
      </w:r>
      <w:r>
        <w:t xml:space="preserve"> </w:t>
      </w:r>
      <w:r>
        <w:rPr>
          <w:bCs/>
          <w:b/>
        </w:rPr>
        <w:t xml:space="preserve">rkhvoukoqf</w:t>
      </w:r>
      <w:r>
        <w:t xml:space="preserve"> </w:t>
      </w:r>
      <w:r>
        <w:t xml:space="preserve">programs (e.g., "Active take-back program for key components") would further enhance the recyclability and potential for reuse, leading to greater avoided emissions and resource efficiency.</w:t>
      </w:r>
    </w:p>
    <w:p>
      <w:r>
        <w:pict>
          <v:rect style="width:0;height:1.5pt" o:hralign="center" o:hrstd="t" o:hr="t"/>
        </w:pict>
      </w:r>
    </w:p>
    <w:bookmarkEnd w:id="29"/>
    <w:bookmarkEnd w:id="30"/>
    <w:bookmarkStart w:id="36" w:name="emissions-calculation-and-categorization"/>
    <w:p>
      <w:pPr>
        <w:pStyle w:val="Heading2"/>
      </w:pPr>
      <w:r>
        <w:t xml:space="preserve">4. Emissions Calculation and Categorization</w:t>
      </w:r>
    </w:p>
    <w:p>
      <w:pPr>
        <w:pStyle w:val="FirstParagraph"/>
      </w:pPr>
      <w:r>
        <w:t xml:space="preserve">Emissions are calculated by multiplying activity data (e.g., kg of material, kWh of energy, km of transport) by relevant emission factors (CO2e/unit of activity). These are then categorized according to the GHG Protocol into Scope 1, 2, and 3.</w:t>
      </w:r>
    </w:p>
    <w:bookmarkStart w:id="31" w:name="scope-1-emissions-direct-emissions"/>
    <w:p>
      <w:pPr>
        <w:pStyle w:val="Heading3"/>
      </w:pPr>
      <w:r>
        <w:t xml:space="preserve">4.1. Scope 1 Emissions (Direct Emissions)</w:t>
      </w:r>
    </w:p>
    <w:p>
      <w:pPr>
        <w:pStyle w:val="FirstParagraph"/>
      </w:pPr>
      <w:r>
        <w:t xml:space="preserve">These are direct GHG emissions from sources owned or controlled by</w:t>
      </w:r>
      <w:r>
        <w:t xml:space="preserve"> </w:t>
      </w:r>
      <w:r>
        <w:rPr>
          <w:bCs/>
          <w:b/>
        </w:rPr>
        <w:t xml:space="preserve">ghkotkizwq</w:t>
      </w:r>
      <w:r>
        <w:t xml:space="preserve">. For the product</w:t>
      </w:r>
      <w:r>
        <w:t xml:space="preserve"> </w:t>
      </w:r>
      <w:r>
        <w:rPr>
          <w:bCs/>
          <w:b/>
        </w:rPr>
        <w:t xml:space="preserve">ipuqgsfrrt</w:t>
      </w:r>
      <w:r>
        <w:t xml:space="preserve">, based on a \'factory_gate\' boundary, significant Scope 1 emissions would primarily arise from on-site fuel combustion for manufacturing processes not covered by purchased electricity.</w:t>
      </w:r>
    </w:p>
    <w:p>
      <w:pPr>
        <w:numPr>
          <w:ilvl w:val="0"/>
          <w:numId w:val="1012"/>
        </w:numPr>
        <w:pStyle w:val="Compact"/>
      </w:pPr>
      <w:r>
        <w:rPr>
          <w:bCs/>
          <w:b/>
        </w:rPr>
        <w:t xml:space="preserve">Illustrative Scope 1 Emissions:</w:t>
      </w:r>
      <w:r>
        <w:t xml:space="preserve"> </w:t>
      </w:r>
      <w:r>
        <w:t xml:space="preserve">0.10 kg CO2e/unit (e.g., from minor on-site fuel combustion for heating or specific processes).</w:t>
      </w:r>
    </w:p>
    <w:bookmarkEnd w:id="31"/>
    <w:bookmarkStart w:id="32" w:name="X2d8d685b47aa894fb1e052b68fb751e5e9e47f0"/>
    <w:p>
      <w:pPr>
        <w:pStyle w:val="Heading3"/>
      </w:pPr>
      <w:r>
        <w:t xml:space="preserve">4.2. Scope 2 Emissions (Energy Indirect Emissions)</w:t>
      </w:r>
    </w:p>
    <w:p>
      <w:pPr>
        <w:pStyle w:val="FirstParagraph"/>
      </w:pPr>
      <w:r>
        <w:t xml:space="preserve">These are GHG emissions from the generation of purchased electricity, heat, or steam consumed by</w:t>
      </w:r>
      <w:r>
        <w:t xml:space="preserve"> </w:t>
      </w:r>
      <w:r>
        <w:rPr>
          <w:bCs/>
          <w:b/>
        </w:rPr>
        <w:t xml:space="preserve">ghkotkizwq</w:t>
      </w:r>
      <w:r>
        <w:t xml:space="preserve">\'s manufacturing facility.</w:t>
      </w:r>
    </w:p>
    <w:p>
      <w:pPr>
        <w:numPr>
          <w:ilvl w:val="0"/>
          <w:numId w:val="1013"/>
        </w:numPr>
        <w:pStyle w:val="Compact"/>
      </w:pPr>
      <w:r>
        <w:rPr>
          <w:bCs/>
          <w:b/>
        </w:rPr>
        <w:t xml:space="preserve">Illustrative Scope 2 Emissions:</w:t>
      </w:r>
      <w:r>
        <w:t xml:space="preserve"> </w:t>
      </w:r>
      <w:r>
        <w:t xml:space="preserve">1.80 kg CO2e/unit (calculated in Section 3.2).</w:t>
      </w:r>
    </w:p>
    <w:bookmarkEnd w:id="32"/>
    <w:bookmarkStart w:id="33" w:name="Xa4ae47cf428664338de6136b1752768d982738f"/>
    <w:p>
      <w:pPr>
        <w:pStyle w:val="Heading3"/>
      </w:pPr>
      <w:r>
        <w:t xml:space="preserve">4.3. Scope 3 Emissions (Other Indirect Emissions - Value Chain)</w:t>
      </w:r>
    </w:p>
    <w:p>
      <w:pPr>
        <w:pStyle w:val="FirstParagraph"/>
      </w:pPr>
      <w:r>
        <w:t xml:space="preserve">Scope 3 emissions encompass all other indirect emissions that occur in the value chain of</w:t>
      </w:r>
      <w:r>
        <w:t xml:space="preserve"> </w:t>
      </w:r>
      <w:r>
        <w:rPr>
          <w:bCs/>
          <w:b/>
        </w:rPr>
        <w:t xml:space="preserve">ipuqgsfrrt</w:t>
      </w:r>
      <w:r>
        <w:t xml:space="preserve">, both upstream and downstream. The goal is to achieve at least 95% coverage as per 2026 GHG Protocol requirements.</w:t>
      </w:r>
    </w:p>
    <w:p>
      <w:pPr>
        <w:numPr>
          <w:ilvl w:val="0"/>
          <w:numId w:val="1014"/>
        </w:numPr>
        <w:pStyle w:val="Compact"/>
      </w:pPr>
      <w:r>
        <w:rPr>
          <w:bCs/>
          <w:b/>
        </w:rPr>
        <w:t xml:space="preserve">Upstream Scope 3:</w:t>
      </w:r>
    </w:p>
    <w:p>
      <w:pPr>
        <w:numPr>
          <w:ilvl w:val="1"/>
          <w:numId w:val="1015"/>
        </w:numPr>
        <w:pStyle w:val="Compact"/>
      </w:pPr>
      <w:r>
        <w:t xml:space="preserve">Materials Acquisition &amp; Pre-processing: 6.99 kg CO2e/unit (calculated in Section 3.1)</w:t>
      </w:r>
    </w:p>
    <w:p>
      <w:pPr>
        <w:numPr>
          <w:ilvl w:val="1"/>
          <w:numId w:val="1015"/>
        </w:numPr>
        <w:pStyle w:val="Compact"/>
      </w:pPr>
      <w:r>
        <w:t xml:space="preserve">Upstream Transport: 0.24 kg CO2e/unit (calculated in Section 3.3)</w:t>
      </w:r>
    </w:p>
    <w:p>
      <w:pPr>
        <w:numPr>
          <w:ilvl w:val="1"/>
          <w:numId w:val="1015"/>
        </w:numPr>
        <w:pStyle w:val="Compact"/>
      </w:pPr>
      <w:r>
        <w:rPr>
          <w:iCs/>
          <w:i/>
        </w:rPr>
        <w:t xml:space="preserve">Other Upstream (e.g., Capital Goods, Business Travel): Assumed negligible for product-level PCF or covered by general company footprint, or included in illustrative BOM emission factors. For full 95% coverage, these would be estimated.</w:t>
      </w:r>
    </w:p>
    <w:p>
      <w:pPr>
        <w:numPr>
          <w:ilvl w:val="0"/>
          <w:numId w:val="1014"/>
        </w:numPr>
        <w:pStyle w:val="Compact"/>
      </w:pPr>
      <w:r>
        <w:rPr>
          <w:bCs/>
          <w:b/>
        </w:rPr>
        <w:t xml:space="preserve">Downstream Scope 3:</w:t>
      </w:r>
    </w:p>
    <w:p>
      <w:pPr>
        <w:numPr>
          <w:ilvl w:val="1"/>
          <w:numId w:val="1016"/>
        </w:numPr>
        <w:pStyle w:val="Compact"/>
      </w:pPr>
      <w:r>
        <w:t xml:space="preserve">Downstream Transport (Last-Mile): 0.50 kg CO2e/unit (calculated in Section 3.3)</w:t>
      </w:r>
    </w:p>
    <w:p>
      <w:pPr>
        <w:numPr>
          <w:ilvl w:val="1"/>
          <w:numId w:val="1016"/>
        </w:numPr>
        <w:pStyle w:val="Compact"/>
      </w:pPr>
      <w:r>
        <w:t xml:space="preserve">Use Phase: 9.05 kg CO2e/unit (calculated in Section 3.4)</w:t>
      </w:r>
    </w:p>
    <w:p>
      <w:pPr>
        <w:numPr>
          <w:ilvl w:val="1"/>
          <w:numId w:val="1016"/>
        </w:numPr>
        <w:pStyle w:val="Compact"/>
      </w:pPr>
      <w:r>
        <w:t xml:space="preserve">End-of-Life Treatment: -0.56 kg CO2e/unit (calculated in Section 3.5 - net benefit)</w:t>
      </w:r>
    </w:p>
    <w:bookmarkEnd w:id="33"/>
    <w:bookmarkStart w:id="34" w:name="land-sector-and-removals-lsr-update"/>
    <w:p>
      <w:pPr>
        <w:pStyle w:val="Heading3"/>
      </w:pPr>
      <w:r>
        <w:t xml:space="preserve">4.4. 2026 Land Sector and Removals (LSR) Update</w:t>
      </w:r>
    </w:p>
    <w:p>
      <w:pPr>
        <w:pStyle w:val="FirstParagraph"/>
      </w:pPr>
      <w:r>
        <w:t xml:space="preserve">In adherence to the 2026 LSR Standard, potential land use change emissions or carbon removals associated with biogenic carbon flows are considered. For</w:t>
      </w:r>
      <w:r>
        <w:t xml:space="preserve"> </w:t>
      </w:r>
      <w:r>
        <w:rPr>
          <w:bCs/>
          <w:b/>
        </w:rPr>
        <w:t xml:space="preserve">ipuqgsfrrt</w:t>
      </w:r>
      <w:r>
        <w:t xml:space="preserve">, if any materials (e.g., packaging) are sourced from bio-based feedstocks, their associated land use impacts and potential removals would be quantified. For this illustrative report, we assume that any relevant LSR impacts are embedded within the material emission factors provided in the BOM or are negligible.</w:t>
      </w:r>
    </w:p>
    <w:p>
      <w:pPr>
        <w:numPr>
          <w:ilvl w:val="0"/>
          <w:numId w:val="1017"/>
        </w:numPr>
        <w:pStyle w:val="Compact"/>
      </w:pPr>
      <w:r>
        <w:rPr>
          <w:bCs/>
          <w:b/>
        </w:rPr>
        <w:t xml:space="preserve">Illustrative LSR Impact:</w:t>
      </w:r>
      <w:r>
        <w:t xml:space="preserve"> </w:t>
      </w:r>
      <w:r>
        <w:t xml:space="preserve">0.00 kg CO2e/unit (assuming no significant direct land-use change or biogenic carbon removals for product, or integrated into material factors).</w:t>
      </w:r>
    </w:p>
    <w:bookmarkEnd w:id="34"/>
    <w:bookmarkStart w:id="35" w:name="X9b435f9006cf04294f943c0bc3e88ac8be6bd1a"/>
    <w:p>
      <w:pPr>
        <w:pStyle w:val="Heading3"/>
      </w:pPr>
      <w:r>
        <w:t xml:space="preserve">4.5. Total Product Carbon Footprint (Illustrative)</w:t>
      </w:r>
    </w:p>
    <w:p>
      <w:pPr>
        <w:pStyle w:val="FirstParagraph"/>
      </w:pPr>
      <w:r>
        <w:t xml:space="preserve">The sum of all lifecycle emissions provides the total PCF for one functional unit of</w:t>
      </w:r>
      <w:r>
        <w:t xml:space="preserve"> </w:t>
      </w:r>
      <w:r>
        <w:rPr>
          <w:bCs/>
          <w:b/>
        </w:rPr>
        <w:t xml:space="preserve">ipuqgsfrrt</w:t>
      </w:r>
      <w:r>
        <w:t xml:space="preserv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Emissions (kg CO2e/unit)</w:t>
            </w:r>
          </w:p>
        </w:tc>
        <w:tc>
          <w:tcPr/>
          <w:p>
            <w:pPr>
              <w:pStyle w:val="Compact"/>
              <w:jc w:val="left"/>
            </w:pPr>
            <w:r>
              <w:t xml:space="preserve">% of Total</w:t>
            </w:r>
          </w:p>
        </w:tc>
      </w:tr>
      <w:tr>
        <w:tc>
          <w:tcPr/>
          <w:p>
            <w:pPr>
              <w:pStyle w:val="Compact"/>
              <w:jc w:val="left"/>
            </w:pPr>
            <w:r>
              <w:rPr>
                <w:bCs/>
                <w:b/>
              </w:rPr>
              <w:t xml:space="preserve">Scope 1</w:t>
            </w:r>
          </w:p>
        </w:tc>
        <w:tc>
          <w:tcPr/>
          <w:p>
            <w:pPr>
              <w:pStyle w:val="Compact"/>
              <w:jc w:val="left"/>
            </w:pPr>
            <w:r>
              <w:t xml:space="preserve">Direct Operations</w:t>
            </w:r>
          </w:p>
        </w:tc>
        <w:tc>
          <w:tcPr/>
          <w:p>
            <w:pPr>
              <w:pStyle w:val="Compact"/>
              <w:jc w:val="left"/>
            </w:pPr>
            <w:r>
              <w:t xml:space="preserve">0.10</w:t>
            </w:r>
          </w:p>
        </w:tc>
        <w:tc>
          <w:tcPr/>
          <w:p>
            <w:pPr>
              <w:pStyle w:val="Compact"/>
              <w:jc w:val="left"/>
            </w:pPr>
            <w:r>
              <w:t xml:space="preserve">0.6%</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1.80</w:t>
            </w:r>
          </w:p>
        </w:tc>
        <w:tc>
          <w:tcPr/>
          <w:p>
            <w:pPr>
              <w:pStyle w:val="Compact"/>
              <w:jc w:val="left"/>
            </w:pPr>
            <w:r>
              <w:t xml:space="preserve">9.9%</w:t>
            </w:r>
          </w:p>
        </w:tc>
      </w:tr>
      <w:tr>
        <w:tc>
          <w:tcPr>
            <w:vMerge w:val="restart"/>
          </w:tcPr>
          <w:p>
            <w:pPr>
              <w:pStyle w:val="Compact"/>
              <w:jc w:val="left"/>
            </w:pPr>
            <w:r>
              <w:rPr>
                <w:bCs/>
                <w:b/>
              </w:rPr>
              <w:t xml:space="preserve">Scope 3</w:t>
            </w:r>
          </w:p>
        </w:tc>
        <w:tc>
          <w:tcPr/>
          <w:p>
            <w:pPr>
              <w:pStyle w:val="Compact"/>
              <w:jc w:val="left"/>
            </w:pPr>
            <w:r>
              <w:t xml:space="preserve">Materials Acquisition &amp; Pre-processing</w:t>
            </w:r>
          </w:p>
        </w:tc>
        <w:tc>
          <w:tcPr/>
          <w:p>
            <w:pPr>
              <w:pStyle w:val="Compact"/>
              <w:jc w:val="left"/>
            </w:pPr>
            <w:r>
              <w:t xml:space="preserve">6.99</w:t>
            </w:r>
          </w:p>
        </w:tc>
        <w:tc>
          <w:tcPr/>
          <w:p>
            <w:pPr>
              <w:pStyle w:val="Compact"/>
              <w:jc w:val="left"/>
            </w:pPr>
            <w:r>
              <w:t xml:space="preserve">38.6%</w:t>
            </w:r>
          </w:p>
        </w:tc>
      </w:tr>
      <w:tr>
        <w:tc>
          <w:tcPr>
            <w:gridSpan w:val="1"/>
            <w:vMerge w:val="continue"/>
          </w:tcPr>
          <w:p>
            <w:pPr/>
          </w:p>
        </w:tc>
        <w:tc>
          <w:tcPr/>
          <w:p>
            <w:pPr>
              <w:pStyle w:val="Compact"/>
              <w:jc w:val="left"/>
            </w:pPr>
            <w:r>
              <w:t xml:space="preserve">Transport (Upstream)</w:t>
            </w:r>
          </w:p>
        </w:tc>
        <w:tc>
          <w:tcPr/>
          <w:p>
            <w:pPr>
              <w:pStyle w:val="Compact"/>
              <w:jc w:val="left"/>
            </w:pPr>
            <w:r>
              <w:t xml:space="preserve">0.24</w:t>
            </w:r>
          </w:p>
        </w:tc>
        <w:tc>
          <w:tcPr/>
          <w:p>
            <w:pPr>
              <w:pStyle w:val="Compact"/>
              <w:jc w:val="left"/>
            </w:pPr>
            <w:r>
              <w:t xml:space="preserve">1.3%</w:t>
            </w:r>
          </w:p>
        </w:tc>
      </w:tr>
      <w:tr>
        <w:tc>
          <w:tcPr>
            <w:gridSpan w:val="1"/>
            <w:vMerge w:val="continue"/>
          </w:tcPr>
          <w:p>
            <w:pPr/>
          </w:p>
        </w:tc>
        <w:tc>
          <w:tcPr/>
          <w:p>
            <w:pPr>
              <w:pStyle w:val="Compact"/>
              <w:jc w:val="left"/>
            </w:pPr>
            <w:r>
              <w:t xml:space="preserve">Transport (Downstream - Last-Mile)</w:t>
            </w:r>
          </w:p>
        </w:tc>
        <w:tc>
          <w:tcPr/>
          <w:p>
            <w:pPr>
              <w:pStyle w:val="Compact"/>
              <w:jc w:val="left"/>
            </w:pPr>
            <w:r>
              <w:t xml:space="preserve">0.50</w:t>
            </w:r>
          </w:p>
        </w:tc>
        <w:tc>
          <w:tcPr/>
          <w:p>
            <w:pPr>
              <w:pStyle w:val="Compact"/>
              <w:jc w:val="left"/>
            </w:pPr>
            <w:r>
              <w:t xml:space="preserve">2.8%</w:t>
            </w:r>
          </w:p>
        </w:tc>
      </w:tr>
      <w:tr>
        <w:tc>
          <w:tcPr>
            <w:gridSpan w:val="1"/>
            <w:vMerge w:val="continue"/>
          </w:tcPr>
          <w:p>
            <w:pPr/>
          </w:p>
        </w:tc>
        <w:tc>
          <w:tcPr/>
          <w:p>
            <w:pPr>
              <w:pStyle w:val="Compact"/>
              <w:jc w:val="left"/>
            </w:pPr>
            <w:r>
              <w:t xml:space="preserve">Use Phase</w:t>
            </w:r>
          </w:p>
        </w:tc>
        <w:tc>
          <w:tcPr/>
          <w:p>
            <w:pPr>
              <w:pStyle w:val="Compact"/>
              <w:jc w:val="left"/>
            </w:pPr>
            <w:r>
              <w:t xml:space="preserve">9.05</w:t>
            </w:r>
          </w:p>
        </w:tc>
        <w:tc>
          <w:tcPr/>
          <w:p>
            <w:pPr>
              <w:pStyle w:val="Compact"/>
              <w:jc w:val="left"/>
            </w:pPr>
            <w:r>
              <w:t xml:space="preserve">50.0%</w:t>
            </w:r>
          </w:p>
        </w:tc>
      </w:tr>
      <w:tr>
        <w:tc>
          <w:tcPr>
            <w:gridSpan w:val="1"/>
            <w:vMerge w:val="continue"/>
          </w:tcPr>
          <w:p>
            <w:pPr/>
          </w:p>
        </w:tc>
        <w:tc>
          <w:tcPr/>
          <w:p>
            <w:pPr>
              <w:pStyle w:val="Compact"/>
              <w:jc w:val="left"/>
            </w:pPr>
            <w:r>
              <w:t xml:space="preserve">End-of-Life Treatment</w:t>
            </w:r>
          </w:p>
        </w:tc>
        <w:tc>
          <w:tcPr/>
          <w:p>
            <w:pPr>
              <w:pStyle w:val="Compact"/>
              <w:jc w:val="left"/>
            </w:pPr>
            <w:r>
              <w:t xml:space="preserve">-0.56</w:t>
            </w:r>
          </w:p>
        </w:tc>
        <w:tc>
          <w:tcPr/>
          <w:p>
            <w:pPr>
              <w:pStyle w:val="Compact"/>
              <w:jc w:val="left"/>
            </w:pPr>
            <w:r>
              <w:t xml:space="preserve">-3.1%</w:t>
            </w:r>
          </w:p>
        </w:tc>
      </w:tr>
      <w:tr>
        <w:tc>
          <w:tcPr>
            <w:gridSpan w:val="2"/>
          </w:tcPr>
          <w:p>
            <w:pPr>
              <w:pStyle w:val="Compact"/>
              <w:jc w:val="left"/>
            </w:pPr>
            <w:r>
              <w:rPr>
                <w:bCs/>
                <w:b/>
              </w:rPr>
              <w:t xml:space="preserve">Total Illustrative Product Carbon Footprint (excluding LSR)</w:t>
            </w:r>
          </w:p>
        </w:tc>
        <w:tc>
          <w:tcPr/>
          <w:p>
            <w:pPr>
              <w:pStyle w:val="Compact"/>
              <w:jc w:val="left"/>
            </w:pPr>
            <w:r>
              <w:rPr>
                <w:bCs/>
                <w:b/>
              </w:rPr>
              <w:t xml:space="preserve">18.12</w:t>
            </w:r>
          </w:p>
        </w:tc>
        <w:tc>
          <w:tcPr/>
          <w:p>
            <w:pPr>
              <w:pStyle w:val="Compact"/>
              <w:jc w:val="left"/>
            </w:pPr>
            <w:r>
              <w:rPr>
                <w:bCs/>
                <w:b/>
              </w:rPr>
              <w:t xml:space="preserve">100%</w:t>
            </w:r>
          </w:p>
        </w:tc>
      </w:tr>
      <w:tr>
        <w:tc>
          <w:tcPr>
            <w:gridSpan w:val="2"/>
          </w:tcPr>
          <w:p>
            <w:pPr>
              <w:pStyle w:val="Compact"/>
              <w:jc w:val="left"/>
            </w:pPr>
            <w:r>
              <w:t xml:space="preserve">LSR Impact (Illustrative)</w:t>
            </w:r>
          </w:p>
        </w:tc>
        <w:tc>
          <w:tcPr/>
          <w:p>
            <w:pPr>
              <w:pStyle w:val="Compact"/>
              <w:jc w:val="left"/>
            </w:pPr>
            <w:r>
              <w:t xml:space="preserve">0.00</w:t>
            </w:r>
          </w:p>
        </w:tc>
        <w:tc>
          <w:tcPr/>
          <w:p>
            <w:pPr>
              <w:pStyle w:val="Compact"/>
              <w:jc w:val="left"/>
            </w:pPr>
            <w:r>
              <w:t xml:space="preserve">0.0%</w:t>
            </w:r>
          </w:p>
        </w:tc>
      </w:tr>
      <w:tr>
        <w:tc>
          <w:tcPr>
            <w:gridSpan w:val="2"/>
          </w:tcPr>
          <w:p>
            <w:pPr>
              <w:pStyle w:val="Compact"/>
              <w:jc w:val="left"/>
            </w:pPr>
            <w:r>
              <w:rPr>
                <w:bCs/>
                <w:b/>
              </w:rPr>
              <w:t xml:space="preserve">Grand Total Illustrative Product Carbon Footprint</w:t>
            </w:r>
          </w:p>
        </w:tc>
        <w:tc>
          <w:tcPr/>
          <w:p>
            <w:pPr>
              <w:pStyle w:val="Compact"/>
              <w:jc w:val="left"/>
            </w:pPr>
            <w:r>
              <w:rPr>
                <w:bCs/>
                <w:b/>
              </w:rPr>
              <w:t xml:space="preserve">18.12</w:t>
            </w:r>
          </w:p>
        </w:tc>
        <w:tc>
          <w:tcPr/>
          <w:p>
            <w:pPr>
              <w:pStyle w:val="Compact"/>
            </w:pPr>
          </w:p>
        </w:tc>
      </w:tr>
    </w:tbl>
    <w:p>
      <w:pPr>
        <w:pStyle w:val="BodyText"/>
      </w:pPr>
      <w:r>
        <w:rPr>
          <w:iCs/>
          <w:i/>
        </w:rPr>
        <w:t xml:space="preserve">Note: Percentages are calculated based on the absolute values of each contribution. A negative value indicates a net carbon removal or avoided emissions (e.g., from recycling). The sum of percentages may not be exactly 100% due to rounding and the negative EoL impact.</w:t>
      </w:r>
    </w:p>
    <w:p>
      <w:r>
        <w:pict>
          <v:rect style="width:0;height:1.5pt" o:hralign="center" o:hrstd="t" o:hr="t"/>
        </w:pict>
      </w:r>
    </w:p>
    <w:bookmarkEnd w:id="35"/>
    <w:bookmarkEnd w:id="36"/>
    <w:bookmarkStart w:id="41" w:name="review-and-reporting"/>
    <w:p>
      <w:pPr>
        <w:pStyle w:val="Heading2"/>
      </w:pPr>
      <w:r>
        <w:t xml:space="preserve">5. Review and Reporting</w:t>
      </w:r>
    </w:p>
    <w:bookmarkStart w:id="37" w:name="emission-hotspots"/>
    <w:p>
      <w:pPr>
        <w:pStyle w:val="Heading3"/>
      </w:pPr>
      <w:r>
        <w:t xml:space="preserve">5.1. Emission Hotspots</w:t>
      </w:r>
    </w:p>
    <w:p>
      <w:pPr>
        <w:pStyle w:val="FirstParagraph"/>
      </w:pPr>
      <w:r>
        <w:t xml:space="preserve">Based on the illustrative analysis, the primary emission hotspots for</w:t>
      </w:r>
      <w:r>
        <w:t xml:space="preserve"> </w:t>
      </w:r>
      <w:r>
        <w:rPr>
          <w:bCs/>
          <w:b/>
        </w:rPr>
        <w:t xml:space="preserve">ipuqgsfrrt</w:t>
      </w:r>
      <w:r>
        <w:t xml:space="preserve"> </w:t>
      </w:r>
      <w:r>
        <w:t xml:space="preserve">are identified as:</w:t>
      </w:r>
    </w:p>
    <w:p>
      <w:pPr>
        <w:numPr>
          <w:ilvl w:val="0"/>
          <w:numId w:val="1018"/>
        </w:numPr>
        <w:pStyle w:val="Compact"/>
      </w:pPr>
      <w:r>
        <w:rPr>
          <w:bCs/>
          <w:b/>
        </w:rPr>
        <w:t xml:space="preserve">Use Phase (50.0%):</w:t>
      </w:r>
      <w:r>
        <w:t xml:space="preserve"> </w:t>
      </w:r>
      <w:r>
        <w:t xml:space="preserve">The energy consumption during the product\'s lifespan is the most significant contributor. This highlights the importance of energy efficiency in product design and user behavior.</w:t>
      </w:r>
    </w:p>
    <w:p>
      <w:pPr>
        <w:numPr>
          <w:ilvl w:val="0"/>
          <w:numId w:val="1018"/>
        </w:numPr>
        <w:pStyle w:val="Compact"/>
      </w:pPr>
      <w:r>
        <w:rPr>
          <w:bCs/>
          <w:b/>
        </w:rPr>
        <w:t xml:space="preserve">Material Acquisition &amp; Pre-processing (38.6%):</w:t>
      </w:r>
      <w:r>
        <w:t xml:space="preserve"> </w:t>
      </w:r>
      <w:r>
        <w:t xml:space="preserve">The embodied emissions in raw materials and components are substantial. Focusing on low-carbon materials, recycled content, and efficient material use can significantly reduce this impact.</w:t>
      </w:r>
    </w:p>
    <w:p>
      <w:pPr>
        <w:numPr>
          <w:ilvl w:val="0"/>
          <w:numId w:val="1018"/>
        </w:numPr>
        <w:pStyle w:val="Compact"/>
      </w:pPr>
      <w:r>
        <w:rPr>
          <w:bCs/>
          <w:b/>
        </w:rPr>
        <w:t xml:space="preserve">Production (Scope 2, 9.9%):</w:t>
      </w:r>
      <w:r>
        <w:t xml:space="preserve"> </w:t>
      </w:r>
      <w:r>
        <w:t xml:space="preserve">While lower than use phase and materials, purchased electricity for manufacturing still presents an opportunity for reduction, especially through increased renewable energy sourcing.</w:t>
      </w:r>
    </w:p>
    <w:bookmarkEnd w:id="37"/>
    <w:bookmarkStart w:id="38"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this report utilizes illustrative values for many specific parameters (e.g., `pqdylwip`, `Select Mode`, `yfrepgmlqm`, `Delivery Type`, `xjhvwzrxhh`, `dstixlddpi`, `feleeydqwt`, `kwrfhvuder`, `igvovjeoev`, `rkhvoukoqf`), the quantitative results are illustrative and serve primarily to demonstrate the methodological approach. For a truly accurate PCF, primary data from suppliers, manufacturing sites, and logistics providers would be required, along with region-specific, up-to-date emission factors.</w:t>
      </w:r>
    </w:p>
    <w:p>
      <w:pPr>
        <w:numPr>
          <w:ilvl w:val="0"/>
          <w:numId w:val="1019"/>
        </w:numPr>
        <w:pStyle w:val="Compact"/>
      </w:pPr>
      <w:r>
        <w:rPr>
          <w:bCs/>
          <w:b/>
        </w:rPr>
        <w:t xml:space="preserve">Illustrative Data:</w:t>
      </w:r>
      <w:r>
        <w:t xml:space="preserve"> </w:t>
      </w:r>
      <w:r>
        <w:t xml:space="preserve">The most significant limitation is the use of placeholder input values. Actual calculations would require precise, verifiable data.</w:t>
      </w:r>
    </w:p>
    <w:p>
      <w:pPr>
        <w:numPr>
          <w:ilvl w:val="0"/>
          <w:numId w:val="1019"/>
        </w:numPr>
        <w:pStyle w:val="Compact"/>
      </w:pPr>
      <w:r>
        <w:rPr>
          <w:bCs/>
          <w:b/>
        </w:rPr>
        <w:t xml:space="preserve">Emission Factors:</w:t>
      </w:r>
      <w:r>
        <w:t xml:space="preserve"> </w:t>
      </w:r>
      <w:r>
        <w:t xml:space="preserve">While industry-standard emission factors (e.g., from Ecoinvent/DEFRA equivalents) are assumed and cited, specific values for all processes and regions would enhance accuracy.</w:t>
      </w:r>
    </w:p>
    <w:p>
      <w:pPr>
        <w:numPr>
          <w:ilvl w:val="0"/>
          <w:numId w:val="1019"/>
        </w:numPr>
        <w:pStyle w:val="Compact"/>
      </w:pPr>
      <w:r>
        <w:rPr>
          <w:bCs/>
          <w:b/>
        </w:rPr>
        <w:t xml:space="preserve">Scope 3 Coverage:</w:t>
      </w:r>
      <w:r>
        <w:t xml:space="preserve"> </w:t>
      </w:r>
      <w:r>
        <w:t xml:space="preserve">While aiming for 95% coverage, some minor Scope 3 categories might be estimated or excluded in this illustrative example. A full report would detail all inclusions and exclusions.</w:t>
      </w:r>
    </w:p>
    <w:p>
      <w:pPr>
        <w:numPr>
          <w:ilvl w:val="0"/>
          <w:numId w:val="1019"/>
        </w:numPr>
        <w:pStyle w:val="Compact"/>
      </w:pPr>
      <w:r>
        <w:rPr>
          <w:bCs/>
          <w:b/>
        </w:rPr>
        <w:t xml:space="preserve">LSR Standard:</w:t>
      </w:r>
      <w:r>
        <w:t xml:space="preserve"> </w:t>
      </w:r>
      <w:r>
        <w:t xml:space="preserve">The impact of land use and removals is assumed to be negligible or integrated for this illustrative report; a deeper dive would be needed for products with significant bio-based content or direct land interactions.</w:t>
      </w:r>
    </w:p>
    <w:bookmarkEnd w:id="38"/>
    <w:bookmarkStart w:id="40" w:name="recommendations-for-reduction"/>
    <w:p>
      <w:pPr>
        <w:pStyle w:val="Heading3"/>
      </w:pPr>
      <w:r>
        <w:t xml:space="preserve">5.3. Recommendations for Reduction</w:t>
      </w:r>
    </w:p>
    <w:p>
      <w:pPr>
        <w:pStyle w:val="FirstParagraph"/>
      </w:pPr>
      <w:r>
        <w:t xml:space="preserve">To reduce the carbon footprint of</w:t>
      </w:r>
      <w:r>
        <w:t xml:space="preserve"> </w:t>
      </w:r>
      <w:r>
        <w:rPr>
          <w:bCs/>
          <w:b/>
        </w:rPr>
        <w:t xml:space="preserve">ipuqgsfrrt</w:t>
      </w:r>
      <w:r>
        <w:t xml:space="preserve">,</w:t>
      </w:r>
      <w:r>
        <w:t xml:space="preserve"> </w:t>
      </w:r>
      <w:r>
        <w:rPr>
          <w:bCs/>
          <w:b/>
        </w:rPr>
        <w:t xml:space="preserve">ghkotkizwq</w:t>
      </w:r>
      <w:r>
        <w:t xml:space="preserve"> </w:t>
      </w:r>
      <w:r>
        <w:t xml:space="preserve">should consider:</w:t>
      </w:r>
    </w:p>
    <w:p>
      <w:pPr>
        <w:numPr>
          <w:ilvl w:val="0"/>
          <w:numId w:val="1020"/>
        </w:numPr>
        <w:pStyle w:val="Compact"/>
      </w:pPr>
      <w:r>
        <w:rPr>
          <w:bCs/>
          <w:b/>
        </w:rPr>
        <w:t xml:space="preserve">Energy Efficiency in Use:</w:t>
      </w:r>
      <w:r>
        <w:t xml:space="preserve"> </w:t>
      </w:r>
      <w:r>
        <w:t xml:space="preserve">Redesign</w:t>
      </w:r>
      <w:r>
        <w:t xml:space="preserve"> </w:t>
      </w:r>
      <w:r>
        <w:rPr>
          <w:bCs/>
          <w:b/>
        </w:rPr>
        <w:t xml:space="preserve">ipuqgsfrrt</w:t>
      </w:r>
      <w:r>
        <w:t xml:space="preserve"> </w:t>
      </w:r>
      <w:r>
        <w:t xml:space="preserve">for lower energy consumption during its lifespan. This is the largest hotspot and offers the most significant reduction potential.</w:t>
      </w:r>
    </w:p>
    <w:p>
      <w:pPr>
        <w:numPr>
          <w:ilvl w:val="0"/>
          <w:numId w:val="1020"/>
        </w:numPr>
        <w:pStyle w:val="Compact"/>
      </w:pPr>
      <w:r>
        <w:rPr>
          <w:bCs/>
          <w:b/>
        </w:rPr>
        <w:t xml:space="preserve">Material Optimization:</w:t>
      </w:r>
      <w:r>
        <w:t xml:space="preserve"> </w:t>
      </w:r>
      <w:r>
        <w:t xml:space="preserve">Explore alternative, lower-carbon materials, increase recycled content, and optimize material efficiency. Engaging with suppliers for primary data and lower-carbon options is crucial.</w:t>
      </w:r>
    </w:p>
    <w:p>
      <w:pPr>
        <w:numPr>
          <w:ilvl w:val="0"/>
          <w:numId w:val="1020"/>
        </w:numPr>
        <w:pStyle w:val="Compact"/>
      </w:pPr>
      <w:r>
        <w:rPr>
          <w:bCs/>
          <w:b/>
        </w:rPr>
        <w:t xml:space="preserve">Renewable Energy:</w:t>
      </w:r>
      <w:r>
        <w:t xml:space="preserve"> </w:t>
      </w:r>
      <w:r>
        <w:t xml:space="preserve">Further increase renewable energy usage at manufacturing facilities and encourage suppliers to do the same to reduce Scope 2 and upstream Scope 3 emissions.</w:t>
      </w:r>
    </w:p>
    <w:p>
      <w:pPr>
        <w:numPr>
          <w:ilvl w:val="0"/>
          <w:numId w:val="1020"/>
        </w:numPr>
        <w:pStyle w:val="Compact"/>
      </w:pPr>
      <w:r>
        <w:rPr>
          <w:bCs/>
          <w:b/>
        </w:rPr>
        <w:t xml:space="preserve">Circular Economy:</w:t>
      </w:r>
      <w:r>
        <w:t xml:space="preserve"> </w:t>
      </w:r>
      <w:r>
        <w:t xml:space="preserve">Enhance recyclability beyond</w:t>
      </w:r>
      <w:r>
        <w:t xml:space="preserve"> </w:t>
      </w:r>
      <w:r>
        <w:rPr>
          <w:bCs/>
          <w:b/>
        </w:rPr>
        <w:t xml:space="preserve">igvovjeoev</w:t>
      </w:r>
      <w:r>
        <w:t xml:space="preserve"> </w:t>
      </w:r>
      <w:r>
        <w:t xml:space="preserve">and strengthen</w:t>
      </w:r>
      <w:r>
        <w:t xml:space="preserve"> </w:t>
      </w:r>
      <w:r>
        <w:rPr>
          <w:bCs/>
          <w:b/>
        </w:rPr>
        <w:t xml:space="preserve">rkhvoukoqf</w:t>
      </w:r>
      <w:r>
        <w:t xml:space="preserve"> </w:t>
      </w:r>
      <w:r>
        <w:t xml:space="preserve">programs to maximize material recovery and reuse, turning potential emissions into avoided impacts.</w:t>
      </w:r>
    </w:p>
    <w:p>
      <w:pPr>
        <w:pStyle w:val="FirstParagraph"/>
      </w:pPr>
      <w:r>
        <w:t xml:space="preserve">Confidential - Internal Use Only | Page</w:t>
      </w:r>
      <w:r>
        <w:t xml:space="preserve"> </w:t>
      </w:r>
      <w:bookmarkStart w:id="39" w:name="pageNumber"/>
      <w:bookmarkEnd w:id="39"/>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ipuqgsfrrt</dc:title>
  <dc:creator/>
  <dc:description>Product Carbon Footprint (PCF) analysis report for ipuqgsfrrt, performed by hskwhtqvzy for ghkotkizwq, adhering to GHG Protocol standards and 2026 LSR updates.</dc:description>
  <dc:language>en</dc:language>
  <cp:keywords/>
  <dcterms:created xsi:type="dcterms:W3CDTF">2026-05-30T17:23:42Z</dcterms:created>
  <dcterms:modified xsi:type="dcterms:W3CDTF">2026-05-30T17:23:42Z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