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invhhlxdrg</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rPr>
          <w:bCs/>
          <w:b/>
        </w:rPr>
        <w:t xml:space="preserve">Product:</w:t>
      </w:r>
      <w:r>
        <w:t xml:space="preserve"> </w:t>
      </w:r>
      <w:r>
        <w:t xml:space="preserve">invhhlxdrg</w:t>
      </w:r>
    </w:p>
    <w:p>
      <w:pPr>
        <w:pStyle w:val="BodyText"/>
      </w:pPr>
      <w:r>
        <w:rPr>
          <w:bCs/>
          <w:b/>
        </w:rPr>
        <w:t xml:space="preserve">Company:</w:t>
      </w:r>
      <w:r>
        <w:t xml:space="preserve"> </w:t>
      </w:r>
      <w:r>
        <w:t xml:space="preserve">qsukxsxrge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eofjqwsldr</w:t>
      </w:r>
    </w:p>
    <w:p>
      <w:pPr>
        <w:pStyle w:val="BodyText"/>
      </w:pPr>
      <w:r>
        <w:t xml:space="preserve">This report is generated based on available data and industry standards. While every effort has been made to ensure accuracy, precise calculations may vary with primary data availability and specific operational details.</w:t>
      </w:r>
    </w:p>
    <w:bookmarkEnd w:id="20"/>
    <w:bookmarkStart w:id="44" w:name="Xb9e8667fc149c7917c74289e7a9d0c1a3c6bfc2"/>
    <w:p>
      <w:pPr>
        <w:pStyle w:val="Heading1"/>
      </w:pPr>
      <w:r>
        <w:t xml:space="preserve">Product Carbon Footprint Analysis for invhhlxdrg</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"invhhlxdrg" manufactured by qsukxsxrge. The analysis was conducted by eofjqwsldr, a Senior Sustainability Consultant specializing in the GHG Protocol. The PCF quantifies the total greenhouse gas (GHG) emissions associated with the product across its entire lifecycle, from raw material extraction to end-of-life, adhering strictly to the GHG Protocol Product Life Cycle Accounting and Reporting Standard. Key emissions hotspots have been identified to guide strategic emission reduction efforts.</w:t>
      </w:r>
    </w:p>
    <w:p>
      <w:r>
        <w:pict>
          <v:rect style="width:0;height:1.5pt" o:hralign="center" o:hrstd="t" o:hr="t"/>
        </w:pict>
      </w:r>
    </w:p>
    <w:bookmarkEnd w:id="21"/>
    <w:bookmarkStart w:id="22" w:name="methodology-adherence"/>
    <w:p>
      <w:pPr>
        <w:pStyle w:val="Heading2"/>
      </w:pPr>
      <w:r>
        <w:t xml:space="preserve">2. Methodology Adherence</w:t>
      </w:r>
    </w:p>
    <w:p>
      <w:pPr>
        <w:pStyle w:val="FirstParagraph"/>
      </w:pPr>
      <w:r>
        <w:t xml:space="preserve">The analysis rigorously follows the GHG Protocol Product Life Cycle Accounting and Reporting Standard, categorizing emissions into Scope 1 (direct), Scope 2 (purchased energy), and Scope 3 (value chain). Special attention has been paid to the latest 2026 requirements, including the application of the Land Sector and Removals (LSR) Standard and ensuring at least 95% coverage for Scope 3 reporting.</w:t>
      </w:r>
    </w:p>
    <w:p>
      <w:pPr>
        <w:numPr>
          <w:ilvl w:val="0"/>
          <w:numId w:val="1001"/>
        </w:numPr>
        <w:pStyle w:val="Compact"/>
      </w:pPr>
      <w:r>
        <w:rPr>
          <w:bCs/>
          <w:b/>
        </w:rPr>
        <w:t xml:space="preserve">GHG Protocol Categorization:</w:t>
      </w:r>
      <w:r>
        <w:t xml:space="preserve"> </w:t>
      </w:r>
      <w:r>
        <w:t xml:space="preserve">Emissions are distinctly categorized into Scope 1, Scope 2, and Scope 3 to provide a clear understanding of direct, energy-related indirect, and value chain emissions, respectively.</w:t>
      </w:r>
    </w:p>
    <w:p>
      <w:pPr>
        <w:numPr>
          <w:ilvl w:val="0"/>
          <w:numId w:val="1001"/>
        </w:numPr>
        <w:pStyle w:val="Compact"/>
      </w:pPr>
      <w:r>
        <w:rPr>
          <w:bCs/>
          <w:b/>
        </w:rPr>
        <w:t xml:space="preserve">2026 LSR Update:</w:t>
      </w:r>
      <w:r>
        <w:t xml:space="preserve"> </w:t>
      </w:r>
      <w:r>
        <w:t xml:space="preserve">The Land Sector and Removals (LSR) Standard for land use and carbon removals has been considered. For \'invhhlxdrg\', a manufactured electronic device, direct land use change emissions or active carbon removals are generally not significant unless specific bio-based materials with documented land-use impacts are present, which are not identified in the provided BOM.</w:t>
      </w:r>
    </w:p>
    <w:p>
      <w:pPr>
        <w:numPr>
          <w:ilvl w:val="0"/>
          <w:numId w:val="1001"/>
        </w:numPr>
        <w:pStyle w:val="Compact"/>
      </w:pPr>
      <w:r>
        <w:rPr>
          <w:bCs/>
          <w:b/>
        </w:rPr>
        <w:t xml:space="preserve">Scope 3 Compliance:</w:t>
      </w:r>
      <w:r>
        <w:t xml:space="preserve"> </w:t>
      </w:r>
      <w:r>
        <w:t xml:space="preserve">The analysis ensures comprehensive coverage of Scope 3 emissions, including upstream material acquisition, manufacturing, transportation, use-phase energy consumption, and end-of-life scenarios, aiming for well over 95% coverage as per 2026 requirements.</w:t>
      </w:r>
    </w:p>
    <w:p>
      <w:r>
        <w:pict>
          <v:rect style="width:0;height:1.5pt" o:hralign="center" o:hrstd="t" o:hr="t"/>
        </w:pict>
      </w:r>
    </w:p>
    <w:bookmarkEnd w:id="22"/>
    <w:bookmarkStart w:id="23"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The functional unit for this PCF analysis is defined as 1.0 unit of \'invhhlxdrg\'.</w:t>
      </w:r>
    </w:p>
    <w:p>
      <w:pPr>
        <w:numPr>
          <w:ilvl w:val="0"/>
          <w:numId w:val="1002"/>
        </w:numPr>
        <w:pStyle w:val="Compact"/>
      </w:pPr>
      <w:r>
        <w:rPr>
          <w:bCs/>
          <w:b/>
        </w:rPr>
        <w:t xml:space="preserve">System Boundary:</w:t>
      </w:r>
      <w:r>
        <w:t xml:space="preserve"> </w:t>
      </w:r>
      <w:r>
        <w:t xml:space="preserve">The system boundary for the PCF is \'factory_gate\', meaning all emissions up to the point the finished product leaves the manufacturing facility are included, along with downstream use and end-of-life phases. This is a "cradle-to-grave" assessment.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material sourcing and some logistics originate from Europe before final assembly in China, and potentially distribution within Europe).</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Where co-products or recycling are involved, mass-based allocation and/or avoided burden approach (for end-of-life) have been applied as appropriate, consistent with GHG Protocol guidelines.</w:t>
      </w:r>
    </w:p>
    <w:p>
      <w:r>
        <w:pict>
          <v:rect style="width:0;height:1.5pt" o:hralign="center" o:hrstd="t" o:hr="t"/>
        </w:pict>
      </w:r>
    </w:p>
    <w:bookmarkEnd w:id="23"/>
    <w:bookmarkStart w:id="29" w:name="X07446f1d75e7f4027df09f2492f7984d920c3e2"/>
    <w:p>
      <w:pPr>
        <w:pStyle w:val="Heading2"/>
      </w:pPr>
      <w:r>
        <w:t xml:space="preserve">4. Lifecycle Mapping &amp; Data Collection (LCI Inventory Stages)</w:t>
      </w:r>
    </w:p>
    <w:p>
      <w:pPr>
        <w:pStyle w:val="FirstParagraph"/>
      </w:pPr>
      <w:r>
        <w:t xml:space="preserve">This section details the primary and secondary data points collected for each lifecycle stage of \'invhhlxdrg\', forming the basis for emission calculations. The Detailed Bill of Materials (BOM) \'gdrohuor\' has been used for high-accuracy material impact calculation.</w:t>
      </w:r>
    </w:p>
    <w:bookmarkStart w:id="24" w:name="Xe97acb0f6e3ca90550fce9ede73636da8056321"/>
    <w:p>
      <w:pPr>
        <w:pStyle w:val="Heading3"/>
      </w:pPr>
      <w:r>
        <w:t xml:space="preserve">4.1. Detailed Bill of Materials (BOM) - gdrohuor</w:t>
      </w:r>
    </w:p>
    <w:p>
      <w:pPr>
        <w:pStyle w:val="FirstParagraph"/>
      </w:pPr>
      <w:r>
        <w:t xml:space="preserve">The following table presents the detailed material inputs, quantities, and their associated cradle-to-gate emission factors, derived from the provided BOM data. The "Total Carbon" represents the emissions from raw material acquisition and processing for each component, before the product enters the manufacturing facility.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CO2e/unit_of_qty)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3.1</w:t>
            </w:r>
          </w:p>
        </w:tc>
        <w:tc>
          <w:tcPr/>
          <w:p>
            <w:pPr>
              <w:pStyle w:val="Compact"/>
              <w:jc w:val="left"/>
            </w:pPr>
            <w:r>
              <w:t xml:space="preserve">0.31</w:t>
            </w:r>
          </w:p>
        </w:tc>
      </w:tr>
      <w:tr>
        <w:tc>
          <w:tcPr/>
          <w:p>
            <w:pPr>
              <w:pStyle w:val="Compact"/>
              <w:jc w:val="left"/>
            </w:pPr>
            <w:r>
              <w:t xml:space="preserve">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 (Illustrative, high-level estimate)</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Li-ion Battery (Small)</w:t>
            </w:r>
          </w:p>
        </w:tc>
        <w:tc>
          <w:tcPr/>
          <w:p>
            <w:pPr>
              <w:pStyle w:val="Compact"/>
              <w:jc w:val="left"/>
            </w:pPr>
            <w:r>
              <w:t xml:space="preserve">Metals/Chemicals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 (Illustrative, highly variable)</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 (Illustrative average for steel)</w:t>
            </w:r>
          </w:p>
        </w:tc>
        <w:tc>
          <w:tcPr/>
          <w:p>
            <w:pPr>
              <w:pStyle w:val="Compact"/>
              <w:jc w:val="left"/>
            </w:pPr>
            <w:r>
              <w:t xml:space="preserve">0.01</w:t>
            </w:r>
          </w:p>
        </w:tc>
      </w:tr>
    </w:tbl>
    <w:p>
      <w:pPr>
        <w:pStyle w:val="BodyText"/>
      </w:pPr>
      <w:r>
        <w:rPr>
          <w:iCs/>
          <w:i/>
        </w:rPr>
        <w:t xml:space="preserve">Note: Emission factors for materials are sourced from industry-standard databases or are illustrative based on common averages. For example, virgin ABS is approximately 3.1 kg CO2e/kg. Generic steel is estimated at 2.0 kg CO2e/kg, a value derived from reported ranges for various steel types. Electronics and batteries often have highly complex supply chains, and the provided factors are high-level estimations.</w:t>
      </w:r>
    </w:p>
    <w:bookmarkEnd w:id="24"/>
    <w:bookmarkStart w:id="25" w:name="energy-inputs-production-phase"/>
    <w:p>
      <w:pPr>
        <w:pStyle w:val="Heading3"/>
      </w:pPr>
      <w:r>
        <w:t xml:space="preserve">4.2. Energy Inputs (Production Phase)</w:t>
      </w:r>
    </w:p>
    <w:p>
      <w:pPr>
        <w:numPr>
          <w:ilvl w:val="0"/>
          <w:numId w:val="1004"/>
        </w:numPr>
        <w:pStyle w:val="Compact"/>
      </w:pPr>
      <w:r>
        <w:rPr>
          <w:bCs/>
          <w:b/>
        </w:rPr>
        <w:t xml:space="preserve">Renewable Energy Usage (ynlnzkpypl):</w:t>
      </w:r>
      <w:r>
        <w:t xml:space="preserve"> </w:t>
      </w:r>
      <w:r>
        <w:t xml:space="preserve">75%</w:t>
      </w:r>
    </w:p>
    <w:p>
      <w:pPr>
        <w:numPr>
          <w:ilvl w:val="0"/>
          <w:numId w:val="1004"/>
        </w:numPr>
        <w:pStyle w:val="Compact"/>
      </w:pPr>
      <w:r>
        <w:rPr>
          <w:bCs/>
          <w:b/>
        </w:rPr>
        <w:t xml:space="preserve">Energy Intensity (kWh/unit, pppuxrtzvm):</w:t>
      </w:r>
      <w:r>
        <w:t xml:space="preserve"> </w:t>
      </w:r>
      <w:r>
        <w:t xml:space="preserve">5 kWh/unit</w:t>
      </w:r>
    </w:p>
    <w:p>
      <w:pPr>
        <w:numPr>
          <w:ilvl w:val="0"/>
          <w:numId w:val="1004"/>
        </w:numPr>
        <w:pStyle w:val="Compact"/>
      </w:pPr>
      <w:r>
        <w:rPr>
          <w:bCs/>
          <w:b/>
        </w:rPr>
        <w:t xml:space="preserve">Grid Electricity Emission Factor (China):</w:t>
      </w:r>
      <w:r>
        <w:t xml:space="preserve"> </w:t>
      </w:r>
      <w:r>
        <w:t xml:space="preserve">0.60 kg CO2e/kWh (Based on reported averages for China\'s electricity grid)</w:t>
      </w:r>
    </w:p>
    <w:bookmarkEnd w:id="25"/>
    <w:bookmarkStart w:id="26" w:name="logistics-data-transport"/>
    <w:p>
      <w:pPr>
        <w:pStyle w:val="Heading3"/>
      </w:pPr>
      <w:r>
        <w:t xml:space="preserve">4.3. Logistics Data (Transport)</w:t>
      </w:r>
    </w:p>
    <w:p>
      <w:pPr>
        <w:numPr>
          <w:ilvl w:val="0"/>
          <w:numId w:val="1005"/>
        </w:numPr>
        <w:pStyle w:val="Compact"/>
      </w:pPr>
      <w:r>
        <w:rPr>
          <w:bCs/>
          <w:b/>
        </w:rPr>
        <w:t xml:space="preserve">Transport Mode:</w:t>
      </w:r>
      <w:r>
        <w:t xml:space="preserve"> </w:t>
      </w:r>
      <w:r>
        <w:t xml:space="preserve">Select Mode -&gt; Road (Heavy Duty Truck)</w:t>
      </w:r>
    </w:p>
    <w:p>
      <w:pPr>
        <w:numPr>
          <w:ilvl w:val="0"/>
          <w:numId w:val="1005"/>
        </w:numPr>
        <w:pStyle w:val="Compact"/>
      </w:pPr>
      <w:r>
        <w:rPr>
          <w:bCs/>
          <w:b/>
        </w:rPr>
        <w:t xml:space="preserve">Transport Distance (gymxszmudp):</w:t>
      </w:r>
      <w:r>
        <w:t xml:space="preserve"> </w:t>
      </w:r>
      <w:r>
        <w:t xml:space="preserve">1500 km (Illustrative for upstream supply chain from Europe to China, or major distribution routes)</w:t>
      </w:r>
    </w:p>
    <w:p>
      <w:pPr>
        <w:numPr>
          <w:ilvl w:val="0"/>
          <w:numId w:val="1005"/>
        </w:numPr>
        <w:pStyle w:val="Compact"/>
      </w:pPr>
      <w:r>
        <w:rPr>
          <w:bCs/>
          <w:b/>
        </w:rPr>
        <w:t xml:space="preserve">Last-Mile Delivery Channel (Delivery Type):</w:t>
      </w:r>
      <w:r>
        <w:t xml:space="preserve"> </w:t>
      </w:r>
      <w:r>
        <w:t xml:space="preserve">Parcel Service (Assumed as typical for B2C products)</w:t>
      </w:r>
    </w:p>
    <w:p>
      <w:pPr>
        <w:numPr>
          <w:ilvl w:val="0"/>
          <w:numId w:val="1005"/>
        </w:numPr>
        <w:pStyle w:val="Compact"/>
      </w:pPr>
      <w:r>
        <w:rPr>
          <w:bCs/>
          <w:b/>
        </w:rPr>
        <w:t xml:space="preserve">Road Transport Emission Factor:</w:t>
      </w:r>
      <w:r>
        <w:t xml:space="preserve"> </w:t>
      </w:r>
      <w:r>
        <w:t xml:space="preserve">0.13 kg CO2e/tkm (Representative for heavy duty truck transport)</w:t>
      </w:r>
    </w:p>
    <w:p>
      <w:pPr>
        <w:numPr>
          <w:ilvl w:val="0"/>
          <w:numId w:val="1005"/>
        </w:numPr>
        <w:pStyle w:val="Compact"/>
      </w:pPr>
      <w:r>
        <w:rPr>
          <w:bCs/>
          <w:b/>
        </w:rPr>
        <w:t xml:space="preserve">Assumed Product Weight for Transport:</w:t>
      </w:r>
      <w:r>
        <w:t xml:space="preserve"> </w:t>
      </w:r>
      <w:r>
        <w:t xml:space="preserve">0.25 kg/unit (Total estimated weight of assembled product)</w:t>
      </w:r>
    </w:p>
    <w:bookmarkEnd w:id="26"/>
    <w:bookmarkStart w:id="27" w:name="use-phase-data"/>
    <w:p>
      <w:pPr>
        <w:pStyle w:val="Heading3"/>
      </w:pPr>
      <w:r>
        <w:t xml:space="preserve">4.4. Use Phase Data</w:t>
      </w:r>
    </w:p>
    <w:p>
      <w:pPr>
        <w:numPr>
          <w:ilvl w:val="0"/>
          <w:numId w:val="1006"/>
        </w:numPr>
        <w:pStyle w:val="Compact"/>
      </w:pPr>
      <w:r>
        <w:rPr>
          <w:bCs/>
          <w:b/>
        </w:rPr>
        <w:t xml:space="preserve">Product Lifespan (qiktsviuul):</w:t>
      </w:r>
      <w:r>
        <w:t xml:space="preserve"> </w:t>
      </w:r>
      <w:r>
        <w:t xml:space="preserve">5 years</w:t>
      </w:r>
    </w:p>
    <w:p>
      <w:pPr>
        <w:numPr>
          <w:ilvl w:val="0"/>
          <w:numId w:val="1006"/>
        </w:numPr>
        <w:pStyle w:val="Compact"/>
      </w:pPr>
      <w:r>
        <w:rPr>
          <w:bCs/>
          <w:b/>
        </w:rPr>
        <w:t xml:space="preserve">Energy Consumption in Use (ohmilujlpi):</w:t>
      </w:r>
      <w:r>
        <w:t xml:space="preserve"> </w:t>
      </w:r>
      <w:r>
        <w:t xml:space="preserve">2 kWh/year (Illustrative for a low-power IoT device)</w:t>
      </w:r>
    </w:p>
    <w:p>
      <w:pPr>
        <w:numPr>
          <w:ilvl w:val="0"/>
          <w:numId w:val="1006"/>
        </w:numPr>
        <w:pStyle w:val="Compact"/>
      </w:pPr>
      <w:r>
        <w:rPr>
          <w:bCs/>
          <w:b/>
        </w:rPr>
        <w:t xml:space="preserve">Grid Electricity Emission Factor (Europe - for use phase):</w:t>
      </w:r>
      <w:r>
        <w:t xml:space="preserve"> </w:t>
      </w:r>
      <w:r>
        <w:t xml:space="preserve">0.20 kg CO2e/kWh (Representative EU average for electricity consumption)</w:t>
      </w:r>
    </w:p>
    <w:bookmarkEnd w:id="27"/>
    <w:bookmarkStart w:id="28" w:name="end-of-life-eol-scenarios"/>
    <w:p>
      <w:pPr>
        <w:pStyle w:val="Heading3"/>
      </w:pPr>
      <w:r>
        <w:t xml:space="preserve">4.5. End-of-Life (EoL) Scenarios</w:t>
      </w:r>
    </w:p>
    <w:p>
      <w:pPr>
        <w:numPr>
          <w:ilvl w:val="0"/>
          <w:numId w:val="1007"/>
        </w:numPr>
        <w:pStyle w:val="Compact"/>
      </w:pPr>
      <w:r>
        <w:rPr>
          <w:bCs/>
          <w:b/>
        </w:rPr>
        <w:t xml:space="preserve">Recyclability Percentage (tlplzrsmxd):</w:t>
      </w:r>
      <w:r>
        <w:t xml:space="preserve"> </w:t>
      </w:r>
      <w:r>
        <w:t xml:space="preserve">80% (Assumption based on product design for disassembly and material content)</w:t>
      </w:r>
    </w:p>
    <w:p>
      <w:pPr>
        <w:numPr>
          <w:ilvl w:val="0"/>
          <w:numId w:val="1007"/>
        </w:numPr>
        <w:pStyle w:val="Compact"/>
      </w:pPr>
      <w:r>
        <w:rPr>
          <w:bCs/>
          <w:b/>
        </w:rPr>
        <w:t xml:space="preserve">Circular/Take-back Programs (sxuyqezlsf):</w:t>
      </w:r>
      <w:r>
        <w:t xml:space="preserve"> </w:t>
      </w:r>
      <w:r>
        <w:t xml:space="preserve">Yes, established regional collection points and refurbishment for core components. This facilitates higher actual recycling rates and potentially extends product lifespan, contributing to a circular economy.</w:t>
      </w:r>
    </w:p>
    <w:p>
      <w:pPr>
        <w:numPr>
          <w:ilvl w:val="0"/>
          <w:numId w:val="1007"/>
        </w:numPr>
        <w:pStyle w:val="Compact"/>
      </w:pPr>
      <w:r>
        <w:rPr>
          <w:bCs/>
          <w:b/>
        </w:rPr>
        <w:t xml:space="preserve">Disposal/Recycling Emission Factors:</w:t>
      </w:r>
    </w:p>
    <w:p>
      <w:pPr>
        <w:numPr>
          <w:ilvl w:val="1"/>
          <w:numId w:val="1008"/>
        </w:numPr>
        <w:pStyle w:val="Compact"/>
      </w:pPr>
      <w:r>
        <w:t xml:space="preserve">Disposal (e.g., landfill/incineration for non-recyclable parts): Illustrative 1.0 kg CO2e/kg for non-recycled waste.</w:t>
      </w:r>
    </w:p>
    <w:p>
      <w:pPr>
        <w:numPr>
          <w:ilvl w:val="1"/>
          <w:numId w:val="1008"/>
        </w:numPr>
        <w:pStyle w:val="Compact"/>
      </w:pPr>
      <w:r>
        <w:t xml:space="preserve">Recycling Credit (avoided emissions): Illustrative -1.5 kg CO2e/kg (average for plastics and metals, acknowledging that recycled ABS can reduce emissions by 81% compared to virgin ABS).</w:t>
      </w:r>
    </w:p>
    <w:p>
      <w:r>
        <w:pict>
          <v:rect style="width:0;height:1.5pt" o:hralign="center" o:hrstd="t" o:hr="t"/>
        </w:pict>
      </w:r>
    </w:p>
    <w:bookmarkEnd w:id="28"/>
    <w:bookmarkEnd w:id="29"/>
    <w:bookmarkStart w:id="39" w:name="X439a6e6dcb43c636bf515ffaf3f59bce0bd6490"/>
    <w:p>
      <w:pPr>
        <w:pStyle w:val="Heading2"/>
      </w:pPr>
      <w:r>
        <w:t xml:space="preserve">5. Emission Calculation (Activity × Emission Factor = CO2e)</w:t>
      </w:r>
    </w:p>
    <w:p>
      <w:pPr>
        <w:pStyle w:val="FirstParagraph"/>
      </w:pPr>
      <w:r>
        <w:t xml:space="preserve">This section outlines the calculation of GHG emissions for each lifecycle stage of \'invhhlxdrg\', categorized by Scope. All calculations are performed for a single functional unit.</w:t>
      </w:r>
    </w:p>
    <w:bookmarkStart w:id="32" w:name="X61196085fca8bd9993f9753eb168fceda7cbee4"/>
    <w:p>
      <w:pPr>
        <w:pStyle w:val="Heading3"/>
      </w:pPr>
      <w:r>
        <w:t xml:space="preserve">5.1. Scope 3 Emissions: Upstream (Materials &amp; Upstream Transport)</w:t>
      </w:r>
    </w:p>
    <w:bookmarkStart w:id="30" w:name="X5d9952f93b7584213c4d49fbf33928518411bd8"/>
    <w:p>
      <w:pPr>
        <w:pStyle w:val="Heading4"/>
      </w:pPr>
      <w:r>
        <w:t xml:space="preserve">5.1.1. Material Acquisition &amp; Pre-processing (Cradle-to-Gate of Component)</w:t>
      </w:r>
    </w:p>
    <w:p>
      <w:pPr>
        <w:numPr>
          <w:ilvl w:val="0"/>
          <w:numId w:val="1009"/>
        </w:numPr>
        <w:pStyle w:val="Compact"/>
      </w:pPr>
      <w:r>
        <w:t xml:space="preserve">ABS Plastic Casing: 0.1 kg × 3.1 kg CO2e/kg = 0.31 kg CO2e</w:t>
      </w:r>
    </w:p>
    <w:p>
      <w:pPr>
        <w:numPr>
          <w:ilvl w:val="0"/>
          <w:numId w:val="1009"/>
        </w:numPr>
        <w:pStyle w:val="Compact"/>
      </w:pPr>
      <w:r>
        <w:t xml:space="preserve">PCB with Components: 1.0 unit × 0.5 kg CO2e/unit = 0.50 kg CO2e</w:t>
      </w:r>
    </w:p>
    <w:p>
      <w:pPr>
        <w:numPr>
          <w:ilvl w:val="0"/>
          <w:numId w:val="1009"/>
        </w:numPr>
        <w:pStyle w:val="Compact"/>
      </w:pPr>
      <w:r>
        <w:t xml:space="preserve">Li-ion Battery: 0.02 kg × 20.0 kg CO2e/kg = 0.40 kg CO2e</w:t>
      </w:r>
    </w:p>
    <w:p>
      <w:pPr>
        <w:numPr>
          <w:ilvl w:val="0"/>
          <w:numId w:val="1009"/>
        </w:numPr>
        <w:pStyle w:val="Compact"/>
      </w:pPr>
      <w:r>
        <w:t xml:space="preserve">Steel Screws: 0.005 kg × 2.0 kg CO2e/kg = 0.01 kg CO2e</w:t>
      </w:r>
    </w:p>
    <w:p>
      <w:pPr>
        <w:pStyle w:val="FirstParagraph"/>
      </w:pPr>
      <w:r>
        <w:rPr>
          <w:bCs/>
          <w:b/>
        </w:rPr>
        <w:t xml:space="preserve">Total Material Emissions (Scope 3 Upstream): 1.22 kg CO2e</w:t>
      </w:r>
    </w:p>
    <w:bookmarkEnd w:id="30"/>
    <w:bookmarkStart w:id="31" w:name="X5e969a396cff13709bba5410ab0c0cee4139260"/>
    <w:p>
      <w:pPr>
        <w:pStyle w:val="Heading4"/>
      </w:pPr>
      <w:r>
        <w:t xml:space="preserve">5.1.2. Upstream Transportation and Distribution (Materials to Factory)</w:t>
      </w:r>
    </w:p>
    <w:p>
      <w:pPr>
        <w:numPr>
          <w:ilvl w:val="0"/>
          <w:numId w:val="1010"/>
        </w:numPr>
        <w:pStyle w:val="Compact"/>
      </w:pPr>
      <w:r>
        <w:t xml:space="preserve">Product Weight for Upstream Transport: 0.25 kg</w:t>
      </w:r>
    </w:p>
    <w:p>
      <w:pPr>
        <w:numPr>
          <w:ilvl w:val="0"/>
          <w:numId w:val="1010"/>
        </w:numPr>
        <w:pStyle w:val="Compact"/>
      </w:pPr>
      <w:r>
        <w:t xml:space="preserve">Transport Distance: 1500 km</w:t>
      </w:r>
    </w:p>
    <w:p>
      <w:pPr>
        <w:numPr>
          <w:ilvl w:val="0"/>
          <w:numId w:val="1010"/>
        </w:numPr>
        <w:pStyle w:val="Compact"/>
      </w:pPr>
      <w:r>
        <w:t xml:space="preserve">Emission Factor: 0.13 kg CO2e/tkm</w:t>
      </w:r>
    </w:p>
    <w:p>
      <w:pPr>
        <w:numPr>
          <w:ilvl w:val="0"/>
          <w:numId w:val="1010"/>
        </w:numPr>
        <w:pStyle w:val="Compact"/>
      </w:pPr>
      <w:r>
        <w:t xml:space="preserve">Calculation: (0.25 kg / 1000 kg/tonne) × 1500 km × 0.13 kg CO2e/tkm = 0.04875 kg CO2e</w:t>
      </w:r>
    </w:p>
    <w:p>
      <w:pPr>
        <w:pStyle w:val="FirstParagraph"/>
      </w:pPr>
      <w:r>
        <w:rPr>
          <w:bCs/>
          <w:b/>
        </w:rPr>
        <w:t xml:space="preserve">Total Upstream Transport Emissions (Scope 3 Upstream): 0.04875 kg CO2e</w:t>
      </w:r>
    </w:p>
    <w:bookmarkEnd w:id="31"/>
    <w:bookmarkEnd w:id="32"/>
    <w:bookmarkStart w:id="33" w:name="X9ccbed9eb77c8d6157724734c83900d4342b5a6"/>
    <w:p>
      <w:pPr>
        <w:pStyle w:val="Heading3"/>
      </w:pPr>
      <w:r>
        <w:t xml:space="preserve">5.2. Scope 2 Emissions: Production Energy (Factory)</w:t>
      </w:r>
    </w:p>
    <w:p>
      <w:pPr>
        <w:numPr>
          <w:ilvl w:val="0"/>
          <w:numId w:val="1011"/>
        </w:numPr>
        <w:pStyle w:val="Compact"/>
      </w:pPr>
      <w:r>
        <w:t xml:space="preserve">Energy Intensity: 5 kWh/unit</w:t>
      </w:r>
    </w:p>
    <w:p>
      <w:pPr>
        <w:numPr>
          <w:ilvl w:val="0"/>
          <w:numId w:val="1011"/>
        </w:numPr>
        <w:pStyle w:val="Compact"/>
      </w:pPr>
      <w:r>
        <w:t xml:space="preserve">Renewable Energy Usage: 75%</w:t>
      </w:r>
    </w:p>
    <w:p>
      <w:pPr>
        <w:numPr>
          <w:ilvl w:val="0"/>
          <w:numId w:val="1011"/>
        </w:numPr>
        <w:pStyle w:val="Compact"/>
      </w:pPr>
      <w:r>
        <w:t xml:space="preserve">Non-renewable Energy Share: 25%</w:t>
      </w:r>
    </w:p>
    <w:p>
      <w:pPr>
        <w:numPr>
          <w:ilvl w:val="0"/>
          <w:numId w:val="1011"/>
        </w:numPr>
        <w:pStyle w:val="Compact"/>
      </w:pPr>
      <w:r>
        <w:t xml:space="preserve">Non-renewable Energy Consumption: 5 kWh/unit × 0.25 = 1.25 kWh/unit</w:t>
      </w:r>
    </w:p>
    <w:p>
      <w:pPr>
        <w:numPr>
          <w:ilvl w:val="0"/>
          <w:numId w:val="1011"/>
        </w:numPr>
        <w:pStyle w:val="Compact"/>
      </w:pPr>
      <w:r>
        <w:t xml:space="preserve">Grid Electricity Emission Factor (China): 0.60 kg CO2e/kWh</w:t>
      </w:r>
    </w:p>
    <w:p>
      <w:pPr>
        <w:numPr>
          <w:ilvl w:val="0"/>
          <w:numId w:val="1011"/>
        </w:numPr>
        <w:pStyle w:val="Compact"/>
      </w:pPr>
      <w:r>
        <w:t xml:space="preserve">Calculation: 1.25 kWh/unit × 0.60 kg CO2e/kWh = 0.75 kg CO2e</w:t>
      </w:r>
    </w:p>
    <w:p>
      <w:pPr>
        <w:pStyle w:val="FirstParagraph"/>
      </w:pPr>
      <w:r>
        <w:rPr>
          <w:bCs/>
          <w:b/>
        </w:rPr>
        <w:t xml:space="preserve">Total Production Energy Emissions (Scope 2): 0.75 kg CO2e</w:t>
      </w:r>
    </w:p>
    <w:bookmarkEnd w:id="33"/>
    <w:bookmarkStart w:id="37" w:name="X7d94536f4b2f8636a0474df9b6c166fb13f9b86"/>
    <w:p>
      <w:pPr>
        <w:pStyle w:val="Heading3"/>
      </w:pPr>
      <w:r>
        <w:t xml:space="preserve">5.3. Scope 3 Emissions: Downstream (Use Phase, Downstream Transport, End-of-Life)</w:t>
      </w:r>
    </w:p>
    <w:bookmarkStart w:id="34" w:name="Xf9db9ab67636feec50c259f3704480b359016b8"/>
    <w:p>
      <w:pPr>
        <w:pStyle w:val="Heading4"/>
      </w:pPr>
      <w:r>
        <w:t xml:space="preserve">5.3.1. Downstream Transportation and Distribution (Factory to Customer)</w:t>
      </w:r>
    </w:p>
    <w:p>
      <w:pPr>
        <w:numPr>
          <w:ilvl w:val="0"/>
          <w:numId w:val="1012"/>
        </w:numPr>
        <w:pStyle w:val="Compact"/>
      </w:pPr>
      <w:r>
        <w:t xml:space="preserve">Product Weight for Downstream Transport: 0.25 kg</w:t>
      </w:r>
    </w:p>
    <w:p>
      <w:pPr>
        <w:numPr>
          <w:ilvl w:val="0"/>
          <w:numId w:val="1012"/>
        </w:numPr>
        <w:pStyle w:val="Compact"/>
      </w:pPr>
      <w:r>
        <w:t xml:space="preserve">Assumed Last-Mile Distance: 500 km (Illustrative for parcel service)</w:t>
      </w:r>
    </w:p>
    <w:p>
      <w:pPr>
        <w:numPr>
          <w:ilvl w:val="0"/>
          <w:numId w:val="1012"/>
        </w:numPr>
        <w:pStyle w:val="Compact"/>
      </w:pPr>
      <w:r>
        <w:t xml:space="preserve">Emission Factor: 0.13 kg CO2e/tkm</w:t>
      </w:r>
    </w:p>
    <w:p>
      <w:pPr>
        <w:numPr>
          <w:ilvl w:val="0"/>
          <w:numId w:val="1012"/>
        </w:numPr>
        <w:pStyle w:val="Compact"/>
      </w:pPr>
      <w:r>
        <w:t xml:space="preserve">Calculation: (0.25 kg / 1000 kg/tonne) × 500 km × 0.13 kg CO2e/tkm = 0.01625 kg CO2e</w:t>
      </w:r>
    </w:p>
    <w:p>
      <w:pPr>
        <w:pStyle w:val="FirstParagraph"/>
      </w:pPr>
      <w:r>
        <w:rPr>
          <w:bCs/>
          <w:b/>
        </w:rPr>
        <w:t xml:space="preserve">Total Downstream Transport Emissions (Scope 3 Downstream): 0.01625 kg CO2e</w:t>
      </w:r>
    </w:p>
    <w:bookmarkEnd w:id="34"/>
    <w:bookmarkStart w:id="35" w:name="use-phase"/>
    <w:p>
      <w:pPr>
        <w:pStyle w:val="Heading4"/>
      </w:pPr>
      <w:r>
        <w:t xml:space="preserve">5.3.2. Use Phase</w:t>
      </w:r>
    </w:p>
    <w:p>
      <w:pPr>
        <w:numPr>
          <w:ilvl w:val="0"/>
          <w:numId w:val="1013"/>
        </w:numPr>
        <w:pStyle w:val="Compact"/>
      </w:pPr>
      <w:r>
        <w:t xml:space="preserve">Product Lifespan: 5 years</w:t>
      </w:r>
    </w:p>
    <w:p>
      <w:pPr>
        <w:numPr>
          <w:ilvl w:val="0"/>
          <w:numId w:val="1013"/>
        </w:numPr>
        <w:pStyle w:val="Compact"/>
      </w:pPr>
      <w:r>
        <w:t xml:space="preserve">Energy Consumption in Use: 2 kWh/year</w:t>
      </w:r>
    </w:p>
    <w:p>
      <w:pPr>
        <w:numPr>
          <w:ilvl w:val="0"/>
          <w:numId w:val="1013"/>
        </w:numPr>
        <w:pStyle w:val="Compact"/>
      </w:pPr>
      <w:r>
        <w:t xml:space="preserve">Total Energy Consumption over Lifespan: 5 years × 2 kWh/year = 10 kWh</w:t>
      </w:r>
    </w:p>
    <w:p>
      <w:pPr>
        <w:numPr>
          <w:ilvl w:val="0"/>
          <w:numId w:val="1013"/>
        </w:numPr>
        <w:pStyle w:val="Compact"/>
      </w:pPr>
      <w:r>
        <w:t xml:space="preserve">Grid Electricity Emission Factor (Europe - Use Phase): 0.20 kg CO2e/kWh</w:t>
      </w:r>
    </w:p>
    <w:p>
      <w:pPr>
        <w:numPr>
          <w:ilvl w:val="0"/>
          <w:numId w:val="1013"/>
        </w:numPr>
        <w:pStyle w:val="Compact"/>
      </w:pPr>
      <w:r>
        <w:t xml:space="preserve">Calculation: 10 kWh × 0.20 kg CO2e/kWh = 2.0 kg CO2e</w:t>
      </w:r>
    </w:p>
    <w:p>
      <w:pPr>
        <w:pStyle w:val="FirstParagraph"/>
      </w:pPr>
      <w:r>
        <w:rPr>
          <w:bCs/>
          <w:b/>
        </w:rPr>
        <w:t xml:space="preserve">Total Use Phase Emissions (Scope 3 Downstream): 2.0 kg CO2e</w:t>
      </w:r>
    </w:p>
    <w:bookmarkEnd w:id="35"/>
    <w:bookmarkStart w:id="36" w:name="end-of-life-eol"/>
    <w:p>
      <w:pPr>
        <w:pStyle w:val="Heading4"/>
      </w:pPr>
      <w:r>
        <w:t xml:space="preserve">5.3.3. End-of-Life (EoL)</w:t>
      </w:r>
    </w:p>
    <w:p>
      <w:pPr>
        <w:numPr>
          <w:ilvl w:val="0"/>
          <w:numId w:val="1014"/>
        </w:numPr>
        <w:pStyle w:val="Compact"/>
      </w:pPr>
      <w:r>
        <w:t xml:space="preserve">Total Product Weight: 0.25 kg</w:t>
      </w:r>
    </w:p>
    <w:p>
      <w:pPr>
        <w:numPr>
          <w:ilvl w:val="0"/>
          <w:numId w:val="1014"/>
        </w:numPr>
        <w:pStyle w:val="Compact"/>
      </w:pPr>
      <w:r>
        <w:t xml:space="preserve">Recyclability Percentage: 80%</w:t>
      </w:r>
    </w:p>
    <w:p>
      <w:pPr>
        <w:numPr>
          <w:ilvl w:val="0"/>
          <w:numId w:val="1014"/>
        </w:numPr>
        <w:pStyle w:val="Compact"/>
      </w:pPr>
      <w:r>
        <w:t xml:space="preserve">Portion Disposed (20%): 0.25 kg × 0.20 = 0.05 kg</w:t>
      </w:r>
    </w:p>
    <w:p>
      <w:pPr>
        <w:numPr>
          <w:ilvl w:val="0"/>
          <w:numId w:val="1014"/>
        </w:numPr>
        <w:pStyle w:val="Compact"/>
      </w:pPr>
      <w:r>
        <w:t xml:space="preserve">Portion Recycled (80%): 0.25 kg × 0.80 = 0.20 kg</w:t>
      </w:r>
    </w:p>
    <w:p>
      <w:pPr>
        <w:numPr>
          <w:ilvl w:val="0"/>
          <w:numId w:val="1014"/>
        </w:numPr>
        <w:pStyle w:val="Compact"/>
      </w:pPr>
      <w:r>
        <w:t xml:space="preserve">Disposal Emissions: 0.05 kg × 1.0 kg CO2e/kg (illustrative) = 0.05 kg CO2e</w:t>
      </w:r>
    </w:p>
    <w:p>
      <w:pPr>
        <w:numPr>
          <w:ilvl w:val="0"/>
          <w:numId w:val="1014"/>
        </w:numPr>
        <w:pStyle w:val="Compact"/>
      </w:pPr>
      <w:r>
        <w:t xml:space="preserve">Recycling Credit (Avoided Emissions): 0.20 kg × (-1.5 kg CO2e/kg, illustrative average avoided burden) = -0.30 kg CO2e</w:t>
      </w:r>
    </w:p>
    <w:p>
      <w:pPr>
        <w:numPr>
          <w:ilvl w:val="0"/>
          <w:numId w:val="1014"/>
        </w:numPr>
        <w:pStyle w:val="Compact"/>
      </w:pPr>
      <w:r>
        <w:t xml:space="preserve">Impact of Circular Programs: The existence of "established regional collection points and refurbishment for core components" (\'sxuyqezlsf\') significantly enhances the feasibility and actualization of the 80% recyclability, contributing to these avoided emissions.</w:t>
      </w:r>
    </w:p>
    <w:p>
      <w:pPr>
        <w:pStyle w:val="FirstParagraph"/>
      </w:pPr>
      <w:r>
        <w:rPr>
          <w:bCs/>
          <w:b/>
        </w:rPr>
        <w:t xml:space="preserve">Total End-of-Life Emissions (Scope 3 Downstream): 0.05 kg CO2e + (-0.30 kg CO2e) = -0.25 kg CO2e (net removal/credit)</w:t>
      </w:r>
    </w:p>
    <w:bookmarkEnd w:id="36"/>
    <w:bookmarkEnd w:id="37"/>
    <w:bookmarkStart w:id="38" w:name="Xd77b5f6a6341576866eafd4c3569e2046ccaafe"/>
    <w:p>
      <w:pPr>
        <w:pStyle w:val="Heading3"/>
      </w:pPr>
      <w:r>
        <w:t xml:space="preserve">5.4. Summary of Product Carbon Footprint for invhhlxdrg</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1.22</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0.04875</w:t>
            </w:r>
          </w:p>
        </w:tc>
      </w:tr>
      <w:tr>
        <w:tc>
          <w:tcPr/>
          <w:p>
            <w:pPr>
              <w:pStyle w:val="Compact"/>
              <w:jc w:val="left"/>
            </w:pPr>
            <w:r>
              <w:t xml:space="preserve">Production Energy (Manufacturing)</w:t>
            </w:r>
          </w:p>
        </w:tc>
        <w:tc>
          <w:tcPr/>
          <w:p>
            <w:pPr>
              <w:pStyle w:val="Compact"/>
              <w:jc w:val="left"/>
            </w:pPr>
            <w:r>
              <w:t xml:space="preserve">Scope 2</w:t>
            </w:r>
          </w:p>
        </w:tc>
        <w:tc>
          <w:tcPr/>
          <w:p>
            <w:pPr>
              <w:pStyle w:val="Compact"/>
              <w:jc w:val="left"/>
            </w:pPr>
            <w:r>
              <w:t xml:space="preserve">0.75</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0.01625</w:t>
            </w:r>
          </w:p>
        </w:tc>
      </w:tr>
      <w:tr>
        <w:tc>
          <w:tcPr/>
          <w:p>
            <w:pPr>
              <w:pStyle w:val="Compact"/>
              <w:jc w:val="left"/>
            </w:pPr>
            <w:r>
              <w:t xml:space="preserve">Use Phase Energy Consumption</w:t>
            </w:r>
          </w:p>
        </w:tc>
        <w:tc>
          <w:tcPr/>
          <w:p>
            <w:pPr>
              <w:pStyle w:val="Compact"/>
              <w:jc w:val="left"/>
            </w:pPr>
            <w:r>
              <w:t xml:space="preserve">Scope 3 (Downstream)</w:t>
            </w:r>
          </w:p>
        </w:tc>
        <w:tc>
          <w:tcPr/>
          <w:p>
            <w:pPr>
              <w:pStyle w:val="Compact"/>
              <w:jc w:val="left"/>
            </w:pPr>
            <w:r>
              <w:t xml:space="preserve">2.00</w:t>
            </w:r>
          </w:p>
        </w:tc>
      </w:tr>
      <w:tr>
        <w:tc>
          <w:tcPr/>
          <w:p>
            <w:pPr>
              <w:pStyle w:val="Compact"/>
              <w:jc w:val="left"/>
            </w:pPr>
            <w:r>
              <w:t xml:space="preserve">End-of-Life (Disposal &amp; Recycling Credit)</w:t>
            </w:r>
          </w:p>
        </w:tc>
        <w:tc>
          <w:tcPr/>
          <w:p>
            <w:pPr>
              <w:pStyle w:val="Compact"/>
              <w:jc w:val="left"/>
            </w:pPr>
            <w:r>
              <w:t xml:space="preserve">Scope 3 (Downstream)</w:t>
            </w:r>
          </w:p>
        </w:tc>
        <w:tc>
          <w:tcPr/>
          <w:p>
            <w:pPr>
              <w:pStyle w:val="Compact"/>
              <w:jc w:val="left"/>
            </w:pPr>
            <w:r>
              <w:t xml:space="preserve">-0.25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3.785 kg CO2e per unit</w:t>
            </w:r>
          </w:p>
        </w:tc>
      </w:tr>
    </w:tbl>
    <w:p>
      <w:pPr>
        <w:pStyle w:val="BodyText"/>
      </w:pPr>
      <w:r>
        <w:rPr>
          <w:iCs/>
          <w:i/>
        </w:rPr>
        <w:t xml:space="preserve">Note: All emission factors and calculations are illustrative, based on the provided parameters and commonly cited industry averages, as direct primary data was simulated for the purpose of this report.</w:t>
      </w:r>
    </w:p>
    <w:p>
      <w:r>
        <w:pict>
          <v:rect style="width:0;height:1.5pt" o:hralign="center" o:hrstd="t" o:hr="t"/>
        </w:pict>
      </w:r>
    </w:p>
    <w:bookmarkEnd w:id="38"/>
    <w:bookmarkEnd w:id="39"/>
    <w:bookmarkStart w:id="42" w:name="review-report"/>
    <w:p>
      <w:pPr>
        <w:pStyle w:val="Heading2"/>
      </w:pPr>
      <w:r>
        <w:t xml:space="preserve">6. Review &amp; Report</w:t>
      </w:r>
    </w:p>
    <w:bookmarkStart w:id="40" w:name="hotspot-identification"/>
    <w:p>
      <w:pPr>
        <w:pStyle w:val="Heading3"/>
      </w:pPr>
      <w:r>
        <w:t xml:space="preserve">6.1. Hotspot Identification</w:t>
      </w:r>
    </w:p>
    <w:p>
      <w:pPr>
        <w:pStyle w:val="FirstParagraph"/>
      </w:pPr>
      <w:r>
        <w:t xml:space="preserve">Based on the calculations, the primary emissions hotspots for \'invhhlxdrg\' are:</w:t>
      </w:r>
    </w:p>
    <w:p>
      <w:pPr>
        <w:numPr>
          <w:ilvl w:val="0"/>
          <w:numId w:val="1015"/>
        </w:numPr>
        <w:pStyle w:val="Compact"/>
      </w:pPr>
      <w:r>
        <w:rPr>
          <w:bCs/>
          <w:b/>
        </w:rPr>
        <w:t xml:space="preserve">Use Phase (2.0 kg CO2e):</w:t>
      </w:r>
      <w:r>
        <w:t xml:space="preserve"> </w:t>
      </w:r>
      <w:r>
        <w:t xml:space="preserve">This is the most significant contributor, accounting for approximately 52.8% of the total PCF. This highlights the importance of energy efficiency during product operation.</w:t>
      </w:r>
    </w:p>
    <w:p>
      <w:pPr>
        <w:numPr>
          <w:ilvl w:val="0"/>
          <w:numId w:val="1015"/>
        </w:numPr>
        <w:pStyle w:val="Compact"/>
      </w:pPr>
      <w:r>
        <w:rPr>
          <w:bCs/>
          <w:b/>
        </w:rPr>
        <w:t xml:space="preserve">Material Acquisition &amp; Pre-processing (1.22 kg CO2e):</w:t>
      </w:r>
      <w:r>
        <w:t xml:space="preserve"> </w:t>
      </w:r>
      <w:r>
        <w:t xml:space="preserve">Constituting about 32.2% of the total, the embodied emissions in materials, particularly the Li-ion battery and PCB components, are substantial.</w:t>
      </w:r>
    </w:p>
    <w:p>
      <w:pPr>
        <w:numPr>
          <w:ilvl w:val="0"/>
          <w:numId w:val="1015"/>
        </w:numPr>
        <w:pStyle w:val="Compact"/>
      </w:pPr>
      <w:r>
        <w:rPr>
          <w:bCs/>
          <w:b/>
        </w:rPr>
        <w:t xml:space="preserve">Production Energy (0.75 kg CO2e):</w:t>
      </w:r>
      <w:r>
        <w:t xml:space="preserve"> </w:t>
      </w:r>
      <w:r>
        <w:t xml:space="preserve">Accounting for approximately 19.8% of the total, indicating that while 75% renewable energy is used, the remaining non-renewable portion still contributes significantly.</w:t>
      </w:r>
    </w:p>
    <w:p>
      <w:pPr>
        <w:pStyle w:val="FirstParagraph"/>
      </w:pPr>
      <w:r>
        <w:t xml:space="preserve">Transportation emissions (both upstream and downstream) are comparatively smaller, together contributing about 1.7% to the total footprint.</w:t>
      </w:r>
    </w:p>
    <w:bookmarkEnd w:id="40"/>
    <w:bookmarkStart w:id="41" w:name="reliability-assessment"/>
    <w:p>
      <w:pPr>
        <w:pStyle w:val="Heading3"/>
      </w:pPr>
      <w:r>
        <w:t xml:space="preserve">6.2. Reliability Assessment</w:t>
      </w:r>
    </w:p>
    <w:p>
      <w:pPr>
        <w:pStyle w:val="FirstParagraph"/>
      </w:pPr>
      <w:r>
        <w:t xml:space="preserve">The reliability of this PCF analysis is contingent upon the accuracy of the input parameters. Given that some parameters, particularly emission factors for specific electronic components and battery chemistry, and logistics distances/modes, were assumed or derived from general industry averages due to the placeholder nature of the input, the overall accuracy is considered to be illustrative. For future analyses, incorporating more specific primary data from suppliers (e.g., exact BOM with detailed component footprints, actual energy mix for suppliers, precise transport routes and loading factors) would significantly enhance the precision and reliability of the results.</w:t>
      </w:r>
    </w:p>
    <w:p>
      <w:r>
        <w:pict>
          <v:rect style="width:0;height:1.5pt" o:hralign="center" o:hrstd="t" o:hr="t"/>
        </w:pict>
      </w:r>
    </w:p>
    <w:bookmarkEnd w:id="41"/>
    <w:bookmarkEnd w:id="42"/>
    <w:bookmarkStart w:id="43" w:name="key-insights-recommendations"/>
    <w:p>
      <w:pPr>
        <w:pStyle w:val="Heading2"/>
      </w:pPr>
      <w:r>
        <w:t xml:space="preserve">7. Key Insights &amp; Recommendations</w:t>
      </w:r>
    </w:p>
    <w:p>
      <w:pPr>
        <w:numPr>
          <w:ilvl w:val="0"/>
          <w:numId w:val="1016"/>
        </w:numPr>
        <w:pStyle w:val="Compact"/>
      </w:pPr>
      <w:r>
        <w:rPr>
          <w:bCs/>
          <w:b/>
        </w:rPr>
        <w:t xml:space="preserve">Optimize Use Phase Energy Efficiency:</w:t>
      </w:r>
      <w:r>
        <w:t xml:space="preserve"> </w:t>
      </w:r>
      <w:r>
        <w:t xml:space="preserve">The use phase is the largest emission hotspot. qsukxsxrge should explore further optimizations for \'invhhlxdrg\' to minimize energy consumption during its 5-year lifespan. This could involve software optimizations, low-power modes, or hardware redesigns.</w:t>
      </w:r>
    </w:p>
    <w:p>
      <w:pPr>
        <w:numPr>
          <w:ilvl w:val="0"/>
          <w:numId w:val="1016"/>
        </w:numPr>
        <w:pStyle w:val="Compact"/>
      </w:pPr>
      <w:r>
        <w:rPr>
          <w:bCs/>
          <w:b/>
        </w:rPr>
        <w:t xml:space="preserve">Engage with Material Suppliers:</w:t>
      </w:r>
      <w:r>
        <w:t xml:space="preserve"> </w:t>
      </w:r>
      <w:r>
        <w:t xml:space="preserve">Focus on suppliers for Li-ion batteries and PCB components to gather primary data on their manufacturing emissions and explore options for lower-carbon alternatives or suppliers using renewable energy in their production processes. Investigating recycled content for plastics and metals in the BOM (e.g., rABS instead of virgin ABS which has significantly lower emissions) could also lead to substantial reductions.</w:t>
      </w:r>
    </w:p>
    <w:p>
      <w:pPr>
        <w:numPr>
          <w:ilvl w:val="0"/>
          <w:numId w:val="1016"/>
        </w:numPr>
        <w:pStyle w:val="Compact"/>
      </w:pPr>
      <w:r>
        <w:rPr>
          <w:bCs/>
          <w:b/>
        </w:rPr>
        <w:t xml:space="preserve">Increase Renewable Energy Sourcing:</w:t>
      </w:r>
      <w:r>
        <w:t xml:space="preserve"> </w:t>
      </w:r>
      <w:r>
        <w:t xml:space="preserve">While 75% renewable energy usage in production is commendable, increasing this to 100% or procuring certified renewable energy for the remaining 25% could eliminate Scope 2 emissions entirely.</w:t>
      </w:r>
    </w:p>
    <w:p>
      <w:pPr>
        <w:numPr>
          <w:ilvl w:val="0"/>
          <w:numId w:val="1016"/>
        </w:numPr>
        <w:pStyle w:val="Compact"/>
      </w:pPr>
      <w:r>
        <w:rPr>
          <w:bCs/>
          <w:b/>
        </w:rPr>
        <w:t xml:space="preserve">Strengthen Circularity:</w:t>
      </w:r>
      <w:r>
        <w:t xml:space="preserve"> </w:t>
      </w:r>
      <w:r>
        <w:t xml:space="preserve">The existing "Circular/Take-back Programs" are crucial. qsukxsxrge should continue to invest in and promote these programs to ensure the high recyclability percentage (80%) is achieved in practice, maximizing the End-of-Life benefits.</w:t>
      </w:r>
    </w:p>
    <w:p>
      <w:pPr>
        <w:numPr>
          <w:ilvl w:val="0"/>
          <w:numId w:val="1016"/>
        </w:numPr>
        <w:pStyle w:val="Compact"/>
      </w:pPr>
      <w:r>
        <w:rPr>
          <w:bCs/>
          <w:b/>
        </w:rPr>
        <w:t xml:space="preserve">Data Refinement:</w:t>
      </w:r>
      <w:r>
        <w:t xml:space="preserve"> </w:t>
      </w:r>
      <w:r>
        <w:t xml:space="preserve">Prioritize collecting primary data for high-impact components and processes to improve the accuracy of future PCF assessments.</w:t>
      </w:r>
    </w:p>
    <w:p>
      <w:r>
        <w:pict>
          <v:rect style="width:0;height:1.5pt" o:hralign="center" o:hrstd="t" o:hr="t"/>
        </w:pict>
      </w:r>
    </w:p>
    <w:p>
      <w:pPr>
        <w:pStyle w:val="FirstParagraph"/>
      </w:pPr>
      <w:r>
        <w:t xml:space="preserve">Confidential - Internal Use Only | Page 1 of X</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invhhlxdrg</dc:title>
  <dc:creator/>
  <dc:description>Detailed Product Carbon Footprint (PCF) analysis for invhhlxdrg, following GHG Protocol standards, for company qsukxsxrge.</dc:description>
  <dc:language>en</dc:language>
  <cp:keywords/>
  <dcterms:created xsi:type="dcterms:W3CDTF">2026-05-30T17:22:43Z</dcterms:created>
  <dcterms:modified xsi:type="dcterms:W3CDTF">2026-05-30T17:22:43Z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