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Industrial</w:t>
      </w:r>
      <w:r>
        <w:t xml:space="preserve"> </w:t>
      </w:r>
      <w:r>
        <w:t xml:space="preserve">IoT</w:t>
      </w:r>
      <w:r>
        <w:t xml:space="preserve"> </w:t>
      </w:r>
      <w:r>
        <w:t xml:space="preserve">Edge</w:t>
      </w:r>
      <w:r>
        <w:t xml:space="preserve"> </w:t>
      </w:r>
      <w:r>
        <w:t xml:space="preserve">Gateway</w:t>
      </w:r>
      <w:r>
        <w:t xml:space="preserve"> </w:t>
      </w:r>
      <w:r>
        <w:t xml:space="preserve">(1.0</w:t>
      </w:r>
      <w:r>
        <w:t xml:space="preserve"> </w:t>
      </w:r>
      <w:r>
        <w:t xml:space="preserve">Unit)</w:t>
      </w:r>
      <w:r>
        <w:t xml:space="preserve"> </w:t>
      </w:r>
      <w:r>
        <w:t xml:space="preserve">-</w:t>
      </w:r>
      <w:r>
        <w:t xml:space="preserve"> </w:t>
      </w:r>
      <w:r>
        <w:t xml:space="preserve">GHG</w:t>
      </w:r>
      <w:r>
        <w:t xml:space="preserve"> </w:t>
      </w:r>
      <w:r>
        <w:t xml:space="preserve">Protocol</w:t>
      </w:r>
      <w:r>
        <w:t xml:space="preserve"> </w:t>
      </w:r>
      <w:r>
        <w:t xml:space="preserve">PCF</w:t>
      </w:r>
    </w:p>
    <w:p>
      <w:pPr>
        <w:pStyle w:val="FirstParagraph"/>
      </w:pPr>
      <w:r>
        <w:t xml:space="preserve">carboncalcpcf.com</w:t>
      </w:r>
    </w:p>
    <w:p>
      <w:pPr>
        <w:pStyle w:val="BodyText"/>
      </w:pPr>
      <w:r>
        <w:t xml:space="preserve">GHG Protocol Product Standard • 2026 LSR Compliant</w:t>
      </w:r>
    </w:p>
    <w:bookmarkStart w:id="20" w:name="Xc7fee7e9f3328bf0d59e4e68a33ec522c0670e3"/>
    <w:p>
      <w:pPr>
        <w:pStyle w:val="Heading1"/>
      </w:pPr>
      <w:r>
        <w:t xml:space="preserve">Product Carbon Footprint (PCF) Detailed Assessment</w:t>
      </w:r>
    </w:p>
    <w:p>
      <w:pPr>
        <w:pStyle w:val="FirstParagraph"/>
      </w:pPr>
      <w:r>
        <w:t xml:space="preserve">Cradle-to-Gate Life Cycle Greenhouse Gas Inventory for Industrial IoT Edge Gateway (1.0 Unit)</w:t>
      </w:r>
    </w:p>
    <w:bookmarkEnd w:id="20"/>
    <w:p>
      <w:pPr>
        <w:pStyle w:val="BodyText"/>
      </w:pPr>
      <w:r>
        <w:t xml:space="preserve">Product Name / Identifier</w:t>
      </w:r>
      <w:r>
        <w:t xml:space="preserve"> </w:t>
      </w:r>
      <w:r>
        <w:t xml:space="preserve">EdgeSense Pro-X1 Industrial Gateway</w:t>
      </w:r>
    </w:p>
    <w:p>
      <w:pPr>
        <w:pStyle w:val="BodyText"/>
      </w:pPr>
      <w:r>
        <w:t xml:space="preserve">Functional Unit</w:t>
      </w:r>
      <w:r>
        <w:t xml:space="preserve"> </w:t>
      </w:r>
      <w:r>
        <w:t xml:space="preserve">1.0 unit (Packaged Finished Gateway)</w:t>
      </w:r>
    </w:p>
    <w:p>
      <w:pPr>
        <w:pStyle w:val="BodyText"/>
      </w:pPr>
      <w:r>
        <w:t xml:space="preserve">Accounting Standard</w:t>
      </w:r>
      <w:r>
        <w:t xml:space="preserve"> </w:t>
      </w:r>
      <w:r>
        <w:t xml:space="preserve">GHG Protocol Product Standard (w/ 2026 LSR)</w:t>
      </w:r>
    </w:p>
    <w:p>
      <w:pPr>
        <w:pStyle w:val="BodyText"/>
      </w:pPr>
      <w:r>
        <w:t xml:space="preserve">System Boundary</w:t>
      </w:r>
      <w:r>
        <w:t xml:space="preserve"> </w:t>
      </w:r>
      <w:r>
        <w:t xml:space="preserve">Factory Gate (Cradle-to-Gate)</w:t>
      </w:r>
    </w:p>
    <w:p>
      <w:pPr>
        <w:pStyle w:val="BodyText"/>
      </w:pPr>
      <w:r>
        <w:t xml:space="preserve">Final Assembly / Manufacturing</w:t>
      </w:r>
      <w:r>
        <w:t xml:space="preserve"> </w:t>
      </w:r>
      <w:r>
        <w:t xml:space="preserve">Eindhoven, Netherlands (NLD)</w:t>
      </w:r>
    </w:p>
    <w:p>
      <w:pPr>
        <w:pStyle w:val="BodyText"/>
      </w:pPr>
      <w:r>
        <w:t xml:space="preserve">Supply Chain Focus</w:t>
      </w:r>
      <w:r>
        <w:t xml:space="preserve"> </w:t>
      </w:r>
      <w:r>
        <w:t xml:space="preserve">European Union (Tier-1 &amp; Tier-2 Sourcing)</w:t>
      </w:r>
    </w:p>
    <w:p>
      <w:pPr>
        <w:pStyle w:val="BodyText"/>
      </w:pPr>
      <w:r>
        <w:t xml:space="preserve">Assessment Period &amp; Release</w:t>
      </w:r>
      <w:r>
        <w:t xml:space="preserve"> </w:t>
      </w:r>
      <w:r>
        <w:t xml:space="preserve">Reporting Year 2026 (CY2025 Data Baseline)</w:t>
      </w:r>
    </w:p>
    <w:p>
      <w:pPr>
        <w:pStyle w:val="BodyText"/>
      </w:pPr>
      <w:r>
        <w:t xml:space="preserve">Scope 3 Coverage Level</w:t>
      </w:r>
      <w:r>
        <w:t xml:space="preserve"> </w:t>
      </w:r>
      <w:r>
        <w:t xml:space="preserve">97.8% (Exceeds mandatory &gt;95% threshold)</w:t>
      </w:r>
    </w:p>
    <w:p>
      <w:pPr>
        <w:pStyle w:val="BodyText"/>
      </w:pPr>
      <w:r>
        <w:rPr>
          <w:bCs/>
          <w:b/>
        </w:rPr>
        <w:t xml:space="preserve">Disclaimer:</w:t>
      </w:r>
      <w:r>
        <w:t xml:space="preserve"> </w:t>
      </w:r>
      <w:r>
        <w:t xml:space="preserve">This Product Carbon Footprint (PCF) report was prepared in accordance with the</w:t>
      </w:r>
      <w:r>
        <w:t xml:space="preserve"> </w:t>
      </w:r>
      <w:r>
        <w:rPr>
          <w:iCs/>
          <w:i/>
        </w:rPr>
        <w:t xml:space="preserve">GHG Protocol Product Life Cycle Accounting and Reporting Standard</w:t>
      </w:r>
      <w:r>
        <w:t xml:space="preserve"> </w:t>
      </w:r>
      <w:r>
        <w:t xml:space="preserve">and incorporates the mandatory 2026</w:t>
      </w:r>
      <w:r>
        <w:t xml:space="preserve"> </w:t>
      </w:r>
      <w:r>
        <w:rPr>
          <w:iCs/>
          <w:i/>
        </w:rPr>
        <w:t xml:space="preserve">Land Sector and Removals (LSR) Guidance</w:t>
      </w:r>
      <w:r>
        <w:t xml:space="preserve">. The greenhouse gas estimates contained herein are generated based on operational primary activity data, verified supplier environmental declarations, and representative secondary datasets from standard life cycle databases (Ecoinvent v3.10 and DEFRA 2025/2026). Results are specific to the defined functional unit and boundary conditions and cannot be directly compared across differing system boundaries or functional parameters without normalization.</w:t>
      </w:r>
    </w:p>
    <w:p>
      <w:pPr>
        <w:pStyle w:val="BodyText"/>
      </w:pPr>
      <w:r>
        <w:rPr>
          <w:bCs/>
          <w:b/>
        </w:rPr>
        <w:t xml:space="preserve">carboncalcpcf.com</w:t>
      </w:r>
      <w:r>
        <w:t xml:space="preserve"> </w:t>
      </w:r>
      <w:r>
        <w:t xml:space="preserve">| GHG Protocol PCF Assessment</w:t>
      </w:r>
    </w:p>
    <w:p>
      <w:pPr>
        <w:pStyle w:val="BodyText"/>
      </w:pPr>
      <w:r>
        <w:t xml:space="preserve">Generated Date: October 24, 2026</w:t>
      </w:r>
      <w:r>
        <w:br/>
      </w:r>
      <w:r>
        <w:t xml:space="preserve">Document Ref: PCF-2026-NLD-EDG-001</w:t>
      </w:r>
    </w:p>
    <w:bookmarkStart w:id="22" w:name="executive-summary"/>
    <w:p>
      <w:pPr>
        <w:pStyle w:val="Heading1"/>
      </w:pPr>
      <w:r>
        <w:t xml:space="preserve">Executive Summary</w:t>
      </w:r>
    </w:p>
    <w:p>
      <w:pPr>
        <w:pStyle w:val="FirstParagraph"/>
      </w:pPr>
      <w:r>
        <w:t xml:space="preserve">This report presents a granular Product Carbon Footprint (PCF) evaluation for</w:t>
      </w:r>
      <w:r>
        <w:t xml:space="preserve"> </w:t>
      </w:r>
      <w:r>
        <w:rPr>
          <w:bCs/>
          <w:b/>
        </w:rPr>
        <w:t xml:space="preserve">1.0 unit</w:t>
      </w:r>
      <w:r>
        <w:t xml:space="preserve"> </w:t>
      </w:r>
      <w:r>
        <w:t xml:space="preserve">of the</w:t>
      </w:r>
      <w:r>
        <w:t xml:space="preserve"> </w:t>
      </w:r>
      <w:r>
        <w:rPr>
          <w:bCs/>
          <w:b/>
        </w:rPr>
        <w:t xml:space="preserve">EdgeSense Pro-X1 Industrial IoT Gateway</w:t>
      </w:r>
      <w:r>
        <w:t xml:space="preserve">, produced in the Netherlands. The study enforces a</w:t>
      </w:r>
      <w:r>
        <w:t xml:space="preserve"> </w:t>
      </w:r>
      <w:r>
        <w:rPr>
          <w:bCs/>
          <w:b/>
        </w:rPr>
        <w:t xml:space="preserve">Cradle-to-Gate (Factory Gate)</w:t>
      </w:r>
      <w:r>
        <w:t xml:space="preserve"> </w:t>
      </w:r>
      <w:r>
        <w:t xml:space="preserve">accounting boundary, capturing all greenhouse gas (GHG) emissions from upstream raw material extraction, component synthesis, fabrication, semiconductor packaging, and intermediate logistics, through to final assembly, testing, and factory gate dispatch.</w:t>
      </w:r>
    </w:p>
    <w:p>
      <w:pPr>
        <w:pStyle w:val="BodyText"/>
      </w:pPr>
      <w:r>
        <w:rPr>
          <w:bCs/>
          <w:b/>
        </w:rPr>
        <w:t xml:space="preserve">Total Cradle-to-Gate Product Carbon Footprint:</w:t>
      </w:r>
    </w:p>
    <w:p>
      <w:pPr>
        <w:pStyle w:val="BodyText"/>
      </w:pPr>
      <w:r>
        <w:t xml:space="preserve">24.464 kg CO</w:t>
      </w:r>
      <w:r>
        <w:rPr>
          <w:vertAlign w:val="subscript"/>
        </w:rPr>
        <w:t xml:space="preserve">2</w:t>
      </w:r>
      <w:r>
        <w:t xml:space="preserve">e per functional unit (1.0 unit)</w:t>
      </w:r>
    </w:p>
    <w:p>
      <w:pPr>
        <w:pStyle w:val="BodyText"/>
      </w:pPr>
      <w:r>
        <w:t xml:space="preserve">Net Fossil GHG: 24.382 kg CO</w:t>
      </w:r>
      <w:r>
        <w:rPr>
          <w:vertAlign w:val="subscript"/>
        </w:rPr>
        <w:t xml:space="preserve">2</w:t>
      </w:r>
      <w:r>
        <w:t xml:space="preserve">e • Biogenic Removals &amp; Storage (LSR): -0.198 kg CO</w:t>
      </w:r>
      <w:r>
        <w:rPr>
          <w:vertAlign w:val="subscript"/>
        </w:rPr>
        <w:t xml:space="preserve">2</w:t>
      </w:r>
      <w:r>
        <w:t xml:space="preserve">e • Biogenic Emissions: +0.280 kg CO</w:t>
      </w:r>
      <w:r>
        <w:rPr>
          <w:vertAlign w:val="subscript"/>
        </w:rPr>
        <w:t xml:space="preserve">2</w:t>
      </w:r>
      <w:r>
        <w:t xml:space="preserve">e</w:t>
      </w:r>
    </w:p>
    <w:bookmarkStart w:id="21" w:name="key-analytical-insights"/>
    <w:p>
      <w:pPr>
        <w:pStyle w:val="Heading3"/>
      </w:pPr>
      <w:r>
        <w:t xml:space="preserve">Key Analytical Insights</w:t>
      </w:r>
    </w:p>
    <w:p>
      <w:pPr>
        <w:numPr>
          <w:ilvl w:val="0"/>
          <w:numId w:val="1001"/>
        </w:numPr>
        <w:pStyle w:val="Compact"/>
      </w:pPr>
      <w:r>
        <w:rPr>
          <w:bCs/>
          <w:b/>
        </w:rPr>
        <w:t xml:space="preserve">Dominance of Upstream Embodied Carbon (Scope 3 Category 1):</w:t>
      </w:r>
      <w:r>
        <w:t xml:space="preserve"> </w:t>
      </w:r>
      <w:r>
        <w:t xml:space="preserve">Raw materials and electronic components represent</w:t>
      </w:r>
      <w:r>
        <w:t xml:space="preserve"> </w:t>
      </w:r>
      <w:r>
        <w:rPr>
          <w:bCs/>
          <w:b/>
        </w:rPr>
        <w:t xml:space="preserve">84.1%</w:t>
      </w:r>
      <w:r>
        <w:t xml:space="preserve"> </w:t>
      </w:r>
      <w:r>
        <w:t xml:space="preserve">(20.574 kg CO</w:t>
      </w:r>
      <w:r>
        <w:rPr>
          <w:vertAlign w:val="subscript"/>
        </w:rPr>
        <w:t xml:space="preserve">2</w:t>
      </w:r>
      <w:r>
        <w:t xml:space="preserve">e) of total cradle-to-gate impact, driven primarily by integrated circuits (ICs), printed circuit board assembly (PCBA), and die-cast aluminum enclosure elements.</w:t>
      </w:r>
    </w:p>
    <w:p>
      <w:pPr>
        <w:numPr>
          <w:ilvl w:val="0"/>
          <w:numId w:val="1001"/>
        </w:numPr>
        <w:pStyle w:val="Compact"/>
      </w:pPr>
      <w:r>
        <w:rPr>
          <w:bCs/>
          <w:b/>
        </w:rPr>
        <w:t xml:space="preserve">Low-Carbon Dutch Final Manufacturing (Scope 1 &amp; Scope 2):</w:t>
      </w:r>
      <w:r>
        <w:t xml:space="preserve"> </w:t>
      </w:r>
      <w:r>
        <w:t xml:space="preserve">Direct emissions and purchased energy at the Eindhoven manufacturing facility account for only</w:t>
      </w:r>
      <w:r>
        <w:t xml:space="preserve"> </w:t>
      </w:r>
      <w:r>
        <w:rPr>
          <w:bCs/>
          <w:b/>
        </w:rPr>
        <w:t xml:space="preserve">5.4%</w:t>
      </w:r>
      <w:r>
        <w:t xml:space="preserve"> </w:t>
      </w:r>
      <w:r>
        <w:t xml:space="preserve">(1.312 kg CO</w:t>
      </w:r>
      <w:r>
        <w:rPr>
          <w:vertAlign w:val="subscript"/>
        </w:rPr>
        <w:t xml:space="preserve">2</w:t>
      </w:r>
      <w:r>
        <w:t xml:space="preserve">e) combined, benefiting from on-site rooftop PV generation, heat pumps, and Dutch residual grid power.</w:t>
      </w:r>
    </w:p>
    <w:p>
      <w:pPr>
        <w:numPr>
          <w:ilvl w:val="0"/>
          <w:numId w:val="1001"/>
        </w:numPr>
        <w:pStyle w:val="Compact"/>
      </w:pPr>
      <w:r>
        <w:rPr>
          <w:bCs/>
          <w:b/>
        </w:rPr>
        <w:t xml:space="preserve">2026 LSR Accounting Compliance:</w:t>
      </w:r>
      <w:r>
        <w:t xml:space="preserve"> </w:t>
      </w:r>
      <w:r>
        <w:t xml:space="preserve">Biogenic carbon stored within corrugated packaging (-0.198 kg CO</w:t>
      </w:r>
      <w:r>
        <w:rPr>
          <w:vertAlign w:val="subscript"/>
        </w:rPr>
        <w:t xml:space="preserve">2</w:t>
      </w:r>
      <w:r>
        <w:t xml:space="preserve">e net biogenic carbon balance) is strictly isolated and accounted for per the GHG Protocol Land Sector and Removals (LSR) Standard, avoiding non-standard co-mingling with fossil emissions.</w:t>
      </w:r>
    </w:p>
    <w:p>
      <w:pPr>
        <w:numPr>
          <w:ilvl w:val="0"/>
          <w:numId w:val="1001"/>
        </w:numPr>
        <w:pStyle w:val="Compact"/>
      </w:pPr>
      <w:r>
        <w:rPr>
          <w:bCs/>
          <w:b/>
        </w:rPr>
        <w:t xml:space="preserve">Scope 3 Upstream Data Coverage:</w:t>
      </w:r>
      <w:r>
        <w:t xml:space="preserve"> </w:t>
      </w:r>
      <w:r>
        <w:t xml:space="preserve">Upstream material and logistical flows reflect a</w:t>
      </w:r>
      <w:r>
        <w:t xml:space="preserve"> </w:t>
      </w:r>
      <w:r>
        <w:rPr>
          <w:bCs/>
          <w:b/>
        </w:rPr>
        <w:t xml:space="preserve">97.8% cut-off compliance level</w:t>
      </w:r>
      <w:r>
        <w:t xml:space="preserve">, comfortably satisfying the 2026 Scope 3 completeness criteria requiring at least 95% material/energy accounting coverage.</w:t>
      </w:r>
    </w:p>
    <w:p>
      <w:r>
        <w:pict>
          <v:rect style="width:0;height:1.5pt" o:hralign="center" o:hrstd="t" o:hr="t"/>
        </w:pict>
      </w:r>
    </w:p>
    <w:bookmarkEnd w:id="21"/>
    <w:bookmarkEnd w:id="22"/>
    <w:bookmarkStart w:id="25" w:name="step-1-define-scope-accounting-framework"/>
    <w:p>
      <w:pPr>
        <w:pStyle w:val="Heading1"/>
      </w:pPr>
      <w:r>
        <w:t xml:space="preserve">Step 1: Define Scope &amp; Accounting Framework</w:t>
      </w:r>
    </w:p>
    <w:p>
      <w:pPr>
        <w:pStyle w:val="FirstParagraph"/>
      </w:pPr>
      <w:r>
        <w:t xml:space="preserve">The assessment methodology complies strictly with the</w:t>
      </w:r>
      <w:r>
        <w:t xml:space="preserve"> </w:t>
      </w:r>
      <w:r>
        <w:rPr>
          <w:iCs/>
          <w:i/>
        </w:rPr>
        <w:t xml:space="preserve">GHG Protocol Product Life Cycle Accounting and Reporting Standard</w:t>
      </w:r>
      <w:r>
        <w:t xml:space="preserve">, the</w:t>
      </w:r>
      <w:r>
        <w:t xml:space="preserve"> </w:t>
      </w:r>
      <w:r>
        <w:rPr>
          <w:iCs/>
          <w:i/>
        </w:rPr>
        <w:t xml:space="preserve">GHG Protocol Corporate Value Chain (Scope 3) Standard</w:t>
      </w:r>
      <w:r>
        <w:t xml:space="preserve">, and aligns with</w:t>
      </w:r>
      <w:r>
        <w:t xml:space="preserve"> </w:t>
      </w:r>
      <w:r>
        <w:rPr>
          <w:iCs/>
          <w:i/>
        </w:rPr>
        <w:t xml:space="preserve">ISO 14067:2018</w:t>
      </w:r>
      <w:r>
        <w:t xml:space="preserve">.</w:t>
      </w:r>
    </w:p>
    <w:bookmarkStart w:id="23" w:name="parameter-specification"/>
    <w:p>
      <w:pPr>
        <w:pStyle w:val="Heading2"/>
      </w:pPr>
      <w:r>
        <w:t xml:space="preserve">1.1 Parameter Specification</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Report Specification</w:t>
            </w:r>
          </w:p>
        </w:tc>
        <w:tc>
          <w:tcPr/>
          <w:p>
            <w:pPr>
              <w:pStyle w:val="Compact"/>
              <w:jc w:val="left"/>
            </w:pPr>
            <w:r>
              <w:t xml:space="preserve">Methodological Justification</w:t>
            </w:r>
          </w:p>
        </w:tc>
      </w:tr>
      <w:tr>
        <w:tc>
          <w:tcPr/>
          <w:p>
            <w:pPr>
              <w:pStyle w:val="Compact"/>
              <w:jc w:val="left"/>
            </w:pPr>
            <w:r>
              <w:t xml:space="preserve">Product Analyzed</w:t>
            </w:r>
          </w:p>
        </w:tc>
        <w:tc>
          <w:tcPr/>
          <w:p>
            <w:pPr>
              <w:pStyle w:val="Compact"/>
              <w:jc w:val="left"/>
            </w:pPr>
            <w:r>
              <w:t xml:space="preserve">EdgeSense Pro-X1 Industrial Gateway</w:t>
            </w:r>
          </w:p>
        </w:tc>
        <w:tc>
          <w:tcPr/>
          <w:p>
            <w:pPr>
              <w:pStyle w:val="Compact"/>
              <w:jc w:val="left"/>
            </w:pPr>
            <w:r>
              <w:t xml:space="preserve">Ruggedized industrial IoT computing gateway equipped with quad-core ARM processor, cellular/Wi-Fi/Ethernet connectivity, and IP67 aluminum housing.</w:t>
            </w:r>
          </w:p>
        </w:tc>
      </w:tr>
      <w:tr>
        <w:tc>
          <w:tcPr/>
          <w:p>
            <w:pPr>
              <w:pStyle w:val="Compact"/>
              <w:jc w:val="left"/>
            </w:pPr>
            <w:r>
              <w:t xml:space="preserve">Functional Unit</w:t>
            </w:r>
          </w:p>
        </w:tc>
        <w:tc>
          <w:tcPr/>
          <w:p>
            <w:pPr>
              <w:pStyle w:val="Compact"/>
              <w:jc w:val="left"/>
            </w:pPr>
            <w:r>
              <w:t xml:space="preserve">1.0 unit (complete packaged finished device)</w:t>
            </w:r>
          </w:p>
        </w:tc>
        <w:tc>
          <w:tcPr/>
          <w:p>
            <w:pPr>
              <w:pStyle w:val="Compact"/>
              <w:jc w:val="left"/>
            </w:pPr>
            <w:r>
              <w:t xml:space="preserve">Mass: 785 grams (net gateway) / 965 grams (packaged product at factory gate). Ready for commercial deployment.</w:t>
            </w:r>
          </w:p>
        </w:tc>
      </w:tr>
      <w:tr>
        <w:tc>
          <w:tcPr/>
          <w:p>
            <w:pPr>
              <w:pStyle w:val="Compact"/>
              <w:jc w:val="left"/>
            </w:pPr>
            <w:r>
              <w:t xml:space="preserve">System Boundary</w:t>
            </w:r>
          </w:p>
        </w:tc>
        <w:tc>
          <w:tcPr/>
          <w:p>
            <w:pPr>
              <w:pStyle w:val="Compact"/>
              <w:jc w:val="left"/>
            </w:pPr>
            <w:r>
              <w:t xml:space="preserve">Factory Gate (Cradle-to-Gate)</w:t>
            </w:r>
          </w:p>
        </w:tc>
        <w:tc>
          <w:tcPr/>
          <w:p>
            <w:pPr>
              <w:pStyle w:val="Compact"/>
              <w:jc w:val="left"/>
            </w:pPr>
            <w:r>
              <w:t xml:space="preserve">Includes raw material extraction, component manufacturing, Tier-1/Tier-2 European transport, facility operations, and final packaging. Excludes distribution, use phase, and end-of-life.</w:t>
            </w:r>
          </w:p>
        </w:tc>
      </w:tr>
      <w:tr>
        <w:tc>
          <w:tcPr/>
          <w:p>
            <w:pPr>
              <w:pStyle w:val="Compact"/>
              <w:jc w:val="left"/>
            </w:pPr>
            <w:r>
              <w:t xml:space="preserve">Geographic Scope</w:t>
            </w:r>
          </w:p>
        </w:tc>
        <w:tc>
          <w:tcPr/>
          <w:p>
            <w:pPr>
              <w:pStyle w:val="Compact"/>
              <w:jc w:val="left"/>
            </w:pPr>
            <w:r>
              <w:t xml:space="preserve">Final Assembly: Netherlands</w:t>
            </w:r>
            <w:r>
              <w:br/>
            </w:r>
            <w:r>
              <w:t xml:space="preserve">Supply Chain: Europe-focused</w:t>
            </w:r>
          </w:p>
        </w:tc>
        <w:tc>
          <w:tcPr/>
          <w:p>
            <w:pPr>
              <w:pStyle w:val="Compact"/>
              <w:jc w:val="left"/>
            </w:pPr>
            <w:r>
              <w:t xml:space="preserve">Tier-1 suppliers located in Germany, France, Poland, and the Netherlands. Semiconductor wafer processing secondary data anchored to EU &amp; global trade mixes.</w:t>
            </w:r>
          </w:p>
        </w:tc>
      </w:tr>
      <w:tr>
        <w:tc>
          <w:tcPr/>
          <w:p>
            <w:pPr>
              <w:pStyle w:val="Compact"/>
              <w:jc w:val="left"/>
            </w:pPr>
            <w:r>
              <w:t xml:space="preserve">Accounting Standard</w:t>
            </w:r>
          </w:p>
        </w:tc>
        <w:tc>
          <w:tcPr/>
          <w:p>
            <w:pPr>
              <w:pStyle w:val="Compact"/>
              <w:jc w:val="left"/>
            </w:pPr>
            <w:r>
              <w:t xml:space="preserve">GHG Protocol Product Standard (2026 LSR)</w:t>
            </w:r>
          </w:p>
        </w:tc>
        <w:tc>
          <w:tcPr/>
          <w:p>
            <w:pPr>
              <w:pStyle w:val="Compact"/>
              <w:jc w:val="left"/>
            </w:pPr>
            <w:r>
              <w:t xml:space="preserve">Explicit distinction between fossil GHG emissions, biogenic GHG emissions, and biogenic removals/storage per 2026 LSR guidelines.</w:t>
            </w:r>
          </w:p>
        </w:tc>
      </w:tr>
      <w:tr>
        <w:tc>
          <w:tcPr/>
          <w:p>
            <w:pPr>
              <w:pStyle w:val="Compact"/>
              <w:jc w:val="left"/>
            </w:pPr>
            <w:r>
              <w:t xml:space="preserve">Allocation Procedure</w:t>
            </w:r>
          </w:p>
        </w:tc>
        <w:tc>
          <w:tcPr/>
          <w:p>
            <w:pPr>
              <w:pStyle w:val="Compact"/>
              <w:jc w:val="left"/>
            </w:pPr>
            <w:r>
              <w:t xml:space="preserve">Physical (Mass &amp; Area) / Sub-metered</w:t>
            </w:r>
          </w:p>
        </w:tc>
        <w:tc>
          <w:tcPr/>
          <w:p>
            <w:pPr>
              <w:pStyle w:val="Compact"/>
              <w:jc w:val="left"/>
            </w:pPr>
            <w:r>
              <w:t xml:space="preserve">Facility electricity and HVAC sub-metered directly to manufacturing lines; facility-wide shared infrastructure allocated based on production machine hour run-times.</w:t>
            </w:r>
          </w:p>
        </w:tc>
      </w:tr>
      <w:tr>
        <w:tc>
          <w:tcPr/>
          <w:p>
            <w:pPr>
              <w:pStyle w:val="Compact"/>
              <w:jc w:val="left"/>
            </w:pPr>
            <w:r>
              <w:t xml:space="preserve">Temporal Boundary</w:t>
            </w:r>
          </w:p>
        </w:tc>
        <w:tc>
          <w:tcPr/>
          <w:p>
            <w:pPr>
              <w:pStyle w:val="Compact"/>
              <w:jc w:val="left"/>
            </w:pPr>
            <w:r>
              <w:t xml:space="preserve">Calendar Year 2025/2026</w:t>
            </w:r>
          </w:p>
        </w:tc>
        <w:tc>
          <w:tcPr/>
          <w:p>
            <w:pPr>
              <w:pStyle w:val="Compact"/>
              <w:jc w:val="left"/>
            </w:pPr>
            <w:r>
              <w:t xml:space="preserve">Operational inputs verified from continuous trailing 12-month facility data (January 1, 2025 – December 31, 2025), evaluated under 2026 carbon factors.</w:t>
            </w:r>
          </w:p>
        </w:tc>
      </w:tr>
    </w:tbl>
    <w:bookmarkEnd w:id="23"/>
    <w:bookmarkStart w:id="24" w:name="Xcb3a0d8df1116cc9f1b72121dd656de12f8c73e"/>
    <w:p>
      <w:pPr>
        <w:pStyle w:val="Heading2"/>
      </w:pPr>
      <w:r>
        <w:t xml:space="preserve">1.2 Scope 3 Coverage and Completeness Compliance</w:t>
      </w:r>
    </w:p>
    <w:p>
      <w:pPr>
        <w:pStyle w:val="FirstParagraph"/>
      </w:pPr>
      <w:r>
        <w:t xml:space="preserve">Per 2026 GHG Protocol regulatory requirements, cradle-to-gate Scope 3 reporting must demonstrate at least</w:t>
      </w:r>
      <w:r>
        <w:t xml:space="preserve"> </w:t>
      </w:r>
      <w:r>
        <w:rPr>
          <w:bCs/>
          <w:b/>
        </w:rPr>
        <w:t xml:space="preserve">95% coverage</w:t>
      </w:r>
      <w:r>
        <w:t xml:space="preserve"> </w:t>
      </w:r>
      <w:r>
        <w:t xml:space="preserve">of total estimated material mass and upstream energy flows. In this assessment:</w:t>
      </w:r>
    </w:p>
    <w:p>
      <w:pPr>
        <w:numPr>
          <w:ilvl w:val="0"/>
          <w:numId w:val="1002"/>
        </w:numPr>
        <w:pStyle w:val="Compact"/>
      </w:pPr>
      <w:r>
        <w:rPr>
          <w:bCs/>
          <w:b/>
        </w:rPr>
        <w:t xml:space="preserve">Mass Coverage:</w:t>
      </w:r>
      <w:r>
        <w:t xml:space="preserve"> </w:t>
      </w:r>
      <w:r>
        <w:t xml:space="preserve">Total bill of materials (BOM) net weight is 965.0 g. Quantified BOM items total 958.5 g, representing</w:t>
      </w:r>
      <w:r>
        <w:t xml:space="preserve"> </w:t>
      </w:r>
      <w:r>
        <w:rPr>
          <w:bCs/>
          <w:b/>
        </w:rPr>
        <w:t xml:space="preserve">99.33% mass coverage</w:t>
      </w:r>
      <w:r>
        <w:t xml:space="preserve">. Minor ancillary thermal paste and markings (&lt;6.5 g) were conservatively estimated using generic proxy datasets.</w:t>
      </w:r>
    </w:p>
    <w:p>
      <w:pPr>
        <w:numPr>
          <w:ilvl w:val="0"/>
          <w:numId w:val="1002"/>
        </w:numPr>
        <w:pStyle w:val="Compact"/>
      </w:pPr>
      <w:r>
        <w:rPr>
          <w:bCs/>
          <w:b/>
        </w:rPr>
        <w:t xml:space="preserve">Energy Flow Coverage:</w:t>
      </w:r>
      <w:r>
        <w:t xml:space="preserve"> </w:t>
      </w:r>
      <w:r>
        <w:t xml:space="preserve">All direct production, SMT pick-and-place lines, testing chambers, nitrogen purge, and local inbound transit legs represent</w:t>
      </w:r>
      <w:r>
        <w:t xml:space="preserve"> </w:t>
      </w:r>
      <w:r>
        <w:rPr>
          <w:bCs/>
          <w:b/>
        </w:rPr>
        <w:t xml:space="preserve">97.8% of life cycle GHG contributions</w:t>
      </w:r>
      <w:r>
        <w:t xml:space="preserve"> </w:t>
      </w:r>
      <w:r>
        <w:t xml:space="preserve">prior to factory dispatch, exceeding the 95% minimum requirement.</w:t>
      </w:r>
    </w:p>
    <w:p>
      <w:r>
        <w:pict>
          <v:rect style="width:0;height:1.5pt" o:hralign="center" o:hrstd="t" o:hr="t"/>
        </w:pict>
      </w:r>
    </w:p>
    <w:bookmarkEnd w:id="24"/>
    <w:bookmarkEnd w:id="25"/>
    <w:bookmarkStart w:id="28" w:name="Xfc7dc7a05cd1f57313c2adf70c8a170e0043707"/>
    <w:p>
      <w:pPr>
        <w:pStyle w:val="Heading1"/>
      </w:pPr>
      <w:r>
        <w:t xml:space="preserve">Steps 2 &amp; 3: Life Cycle Inventory (LCI) &amp; Data Collection</w:t>
      </w:r>
    </w:p>
    <w:p>
      <w:pPr>
        <w:pStyle w:val="FirstParagraph"/>
      </w:pPr>
      <w:r>
        <w:t xml:space="preserve">The life cycle inventory was mapped into discrete upstream and manufacturing stages. Data sources combine</w:t>
      </w:r>
      <w:r>
        <w:t xml:space="preserve"> </w:t>
      </w:r>
      <w:r>
        <w:rPr>
          <w:bCs/>
          <w:b/>
        </w:rPr>
        <w:t xml:space="preserve">Primary Data</w:t>
      </w:r>
      <w:r>
        <w:t xml:space="preserve"> </w:t>
      </w:r>
      <w:r>
        <w:t xml:space="preserve">(Tier-1 assembly plant sub-metering, weighing, direct fuel consumption, supplier bills of materials) and</w:t>
      </w:r>
      <w:r>
        <w:t xml:space="preserve"> </w:t>
      </w:r>
      <w:r>
        <w:rPr>
          <w:bCs/>
          <w:b/>
        </w:rPr>
        <w:t xml:space="preserve">Secondary Data</w:t>
      </w:r>
      <w:r>
        <w:t xml:space="preserve"> </w:t>
      </w:r>
      <w:r>
        <w:t xml:space="preserve">(Ecoinvent v3.10 and DEFRA 2025/2026 emission factors).</w:t>
      </w:r>
    </w:p>
    <w:bookmarkStart w:id="26" w:name="Xc9d5413654a21186389a46f5554ca314ca322a3"/>
    <w:p>
      <w:pPr>
        <w:pStyle w:val="Heading2"/>
      </w:pPr>
      <w:r>
        <w:t xml:space="preserve">2.1 Bill of Materials (BOM) &amp; Primary Physical Inputs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Component / Material Category</w:t>
            </w:r>
          </w:p>
        </w:tc>
        <w:tc>
          <w:tcPr/>
          <w:p>
            <w:pPr>
              <w:pStyle w:val="Compact"/>
              <w:jc w:val="left"/>
            </w:pPr>
            <w:r>
              <w:t xml:space="preserve">Physical Description / Chemistry</w:t>
            </w:r>
          </w:p>
        </w:tc>
        <w:tc>
          <w:tcPr/>
          <w:p>
            <w:pPr>
              <w:pStyle w:val="Compact"/>
              <w:jc w:val="left"/>
            </w:pPr>
            <w:r>
              <w:t xml:space="preserve">Quantity per Unit</w:t>
            </w:r>
          </w:p>
        </w:tc>
        <w:tc>
          <w:tcPr/>
          <w:p>
            <w:pPr>
              <w:pStyle w:val="Compact"/>
              <w:jc w:val="left"/>
            </w:pPr>
            <w:r>
              <w:t xml:space="preserve">Primary vs. Secondary</w:t>
            </w:r>
          </w:p>
        </w:tc>
        <w:tc>
          <w:tcPr/>
          <w:p>
            <w:pPr>
              <w:pStyle w:val="Compact"/>
              <w:jc w:val="left"/>
            </w:pPr>
            <w:r>
              <w:t xml:space="preserve">Supplier Origin</w:t>
            </w:r>
          </w:p>
        </w:tc>
      </w:tr>
      <w:tr>
        <w:tc>
          <w:tcPr/>
          <w:p>
            <w:pPr>
              <w:pStyle w:val="Compact"/>
              <w:jc w:val="left"/>
            </w:pPr>
            <w:r>
              <w:t xml:space="preserve">Structural Housing (Top &amp; Base)</w:t>
            </w:r>
          </w:p>
        </w:tc>
        <w:tc>
          <w:tcPr/>
          <w:p>
            <w:pPr>
              <w:pStyle w:val="Compact"/>
              <w:jc w:val="left"/>
            </w:pPr>
            <w:r>
              <w:t xml:space="preserve">Die-cast Aluminum (AlSi10Mg, 55% recycled content)</w:t>
            </w:r>
          </w:p>
        </w:tc>
        <w:tc>
          <w:tcPr/>
          <w:p>
            <w:pPr>
              <w:pStyle w:val="Compact"/>
              <w:jc w:val="left"/>
            </w:pPr>
            <w:r>
              <w:t xml:space="preserve">380.0 g</w:t>
            </w:r>
          </w:p>
        </w:tc>
        <w:tc>
          <w:tcPr/>
          <w:p>
            <w:pPr>
              <w:pStyle w:val="Compact"/>
              <w:jc w:val="left"/>
            </w:pPr>
            <w:r>
              <w:t xml:space="preserve">Primary (BOM)</w:t>
            </w:r>
          </w:p>
        </w:tc>
        <w:tc>
          <w:tcPr/>
          <w:p>
            <w:pPr>
              <w:pStyle w:val="Compact"/>
              <w:jc w:val="left"/>
            </w:pPr>
            <w:r>
              <w:t xml:space="preserve">Germany (Tier-1)</w:t>
            </w:r>
          </w:p>
        </w:tc>
      </w:tr>
      <w:tr>
        <w:tc>
          <w:tcPr/>
          <w:p>
            <w:pPr>
              <w:pStyle w:val="Compact"/>
              <w:jc w:val="left"/>
            </w:pPr>
            <w:r>
              <w:t xml:space="preserve">Internal Mounting Bracket</w:t>
            </w:r>
          </w:p>
        </w:tc>
        <w:tc>
          <w:tcPr/>
          <w:p>
            <w:pPr>
              <w:pStyle w:val="Compact"/>
              <w:jc w:val="left"/>
            </w:pPr>
            <w:r>
              <w:t xml:space="preserve">Galvanized Sheet Steel (cold-rolled)</w:t>
            </w:r>
          </w:p>
        </w:tc>
        <w:tc>
          <w:tcPr/>
          <w:p>
            <w:pPr>
              <w:pStyle w:val="Compact"/>
              <w:jc w:val="left"/>
            </w:pPr>
            <w:r>
              <w:t xml:space="preserve">85.0 g</w:t>
            </w:r>
          </w:p>
        </w:tc>
        <w:tc>
          <w:tcPr/>
          <w:p>
            <w:pPr>
              <w:pStyle w:val="Compact"/>
              <w:jc w:val="left"/>
            </w:pPr>
            <w:r>
              <w:t xml:space="preserve">Primary (BOM)</w:t>
            </w:r>
          </w:p>
        </w:tc>
        <w:tc>
          <w:tcPr/>
          <w:p>
            <w:pPr>
              <w:pStyle w:val="Compact"/>
              <w:jc w:val="left"/>
            </w:pPr>
            <w:r>
              <w:t xml:space="preserve">Netherlands</w:t>
            </w:r>
          </w:p>
        </w:tc>
      </w:tr>
      <w:tr>
        <w:tc>
          <w:tcPr/>
          <w:p>
            <w:pPr>
              <w:pStyle w:val="Compact"/>
              <w:jc w:val="left"/>
            </w:pPr>
            <w:r>
              <w:t xml:space="preserve">Printed Circuit Board (Bare PCB)</w:t>
            </w:r>
          </w:p>
        </w:tc>
        <w:tc>
          <w:tcPr/>
          <w:p>
            <w:pPr>
              <w:pStyle w:val="Compact"/>
              <w:jc w:val="left"/>
            </w:pPr>
            <w:r>
              <w:t xml:space="preserve">FR4 Glass-reinforced epoxy laminate (6-layer)</w:t>
            </w:r>
          </w:p>
        </w:tc>
        <w:tc>
          <w:tcPr/>
          <w:p>
            <w:pPr>
              <w:pStyle w:val="Compact"/>
              <w:jc w:val="left"/>
            </w:pPr>
            <w:r>
              <w:t xml:space="preserve">92.0 g</w:t>
            </w:r>
          </w:p>
        </w:tc>
        <w:tc>
          <w:tcPr/>
          <w:p>
            <w:pPr>
              <w:pStyle w:val="Compact"/>
              <w:jc w:val="left"/>
            </w:pPr>
            <w:r>
              <w:t xml:space="preserve">Primary (BOM)</w:t>
            </w:r>
          </w:p>
        </w:tc>
        <w:tc>
          <w:tcPr/>
          <w:p>
            <w:pPr>
              <w:pStyle w:val="Compact"/>
              <w:jc w:val="left"/>
            </w:pPr>
            <w:r>
              <w:t xml:space="preserve">Austria</w:t>
            </w:r>
          </w:p>
        </w:tc>
      </w:tr>
      <w:tr>
        <w:tc>
          <w:tcPr/>
          <w:p>
            <w:pPr>
              <w:pStyle w:val="Compact"/>
              <w:jc w:val="left"/>
            </w:pPr>
            <w:r>
              <w:t xml:space="preserve">Microprocessors &amp; SoC ICs</w:t>
            </w:r>
          </w:p>
        </w:tc>
        <w:tc>
          <w:tcPr/>
          <w:p>
            <w:pPr>
              <w:pStyle w:val="Compact"/>
              <w:jc w:val="left"/>
            </w:pPr>
            <w:r>
              <w:t xml:space="preserve">Silicon die in BGA packaging (14nm process)</w:t>
            </w:r>
          </w:p>
        </w:tc>
        <w:tc>
          <w:tcPr/>
          <w:p>
            <w:pPr>
              <w:pStyle w:val="Compact"/>
              <w:jc w:val="left"/>
            </w:pPr>
            <w:r>
              <w:t xml:space="preserve">18.5 g</w:t>
            </w:r>
          </w:p>
        </w:tc>
        <w:tc>
          <w:tcPr/>
          <w:p>
            <w:pPr>
              <w:pStyle w:val="Compact"/>
              <w:jc w:val="left"/>
            </w:pPr>
            <w:r>
              <w:t xml:space="preserve">Secondary (Model)</w:t>
            </w:r>
          </w:p>
        </w:tc>
        <w:tc>
          <w:tcPr/>
          <w:p>
            <w:pPr>
              <w:pStyle w:val="Compact"/>
              <w:jc w:val="left"/>
            </w:pPr>
            <w:r>
              <w:t xml:space="preserve">Global / EU Distribution</w:t>
            </w:r>
          </w:p>
        </w:tc>
      </w:tr>
      <w:tr>
        <w:tc>
          <w:tcPr/>
          <w:p>
            <w:pPr>
              <w:pStyle w:val="Compact"/>
              <w:jc w:val="left"/>
            </w:pPr>
            <w:r>
              <w:t xml:space="preserve">Memory &amp; Storage ICs</w:t>
            </w:r>
          </w:p>
        </w:tc>
        <w:tc>
          <w:tcPr/>
          <w:p>
            <w:pPr>
              <w:pStyle w:val="Compact"/>
              <w:jc w:val="left"/>
            </w:pPr>
            <w:r>
              <w:t xml:space="preserve">LPDDR4 DRAM + eMMC Flash memory packages</w:t>
            </w:r>
          </w:p>
        </w:tc>
        <w:tc>
          <w:tcPr/>
          <w:p>
            <w:pPr>
              <w:pStyle w:val="Compact"/>
              <w:jc w:val="left"/>
            </w:pPr>
            <w:r>
              <w:t xml:space="preserve">12.0 g</w:t>
            </w:r>
          </w:p>
        </w:tc>
        <w:tc>
          <w:tcPr/>
          <w:p>
            <w:pPr>
              <w:pStyle w:val="Compact"/>
              <w:jc w:val="left"/>
            </w:pPr>
            <w:r>
              <w:t xml:space="preserve">Secondary (Model)</w:t>
            </w:r>
          </w:p>
        </w:tc>
        <w:tc>
          <w:tcPr/>
          <w:p>
            <w:pPr>
              <w:pStyle w:val="Compact"/>
              <w:jc w:val="left"/>
            </w:pPr>
            <w:r>
              <w:t xml:space="preserve">Global / EU Distribution</w:t>
            </w:r>
          </w:p>
        </w:tc>
      </w:tr>
      <w:tr>
        <w:tc>
          <w:tcPr/>
          <w:p>
            <w:pPr>
              <w:pStyle w:val="Compact"/>
              <w:jc w:val="left"/>
            </w:pPr>
            <w:r>
              <w:t xml:space="preserve">Passive &amp; Discrete Components</w:t>
            </w:r>
          </w:p>
        </w:tc>
        <w:tc>
          <w:tcPr/>
          <w:p>
            <w:pPr>
              <w:pStyle w:val="Compact"/>
              <w:jc w:val="left"/>
            </w:pPr>
            <w:r>
              <w:t xml:space="preserve">Ceramic capacitors, resistors, inductors, diodes</w:t>
            </w:r>
          </w:p>
        </w:tc>
        <w:tc>
          <w:tcPr/>
          <w:p>
            <w:pPr>
              <w:pStyle w:val="Compact"/>
              <w:jc w:val="left"/>
            </w:pPr>
            <w:r>
              <w:t xml:space="preserve">45.0 g</w:t>
            </w:r>
          </w:p>
        </w:tc>
        <w:tc>
          <w:tcPr/>
          <w:p>
            <w:pPr>
              <w:pStyle w:val="Compact"/>
              <w:jc w:val="left"/>
            </w:pPr>
            <w:r>
              <w:t xml:space="preserve">Secondary (Model)</w:t>
            </w:r>
          </w:p>
        </w:tc>
        <w:tc>
          <w:tcPr/>
          <w:p>
            <w:pPr>
              <w:pStyle w:val="Compact"/>
              <w:jc w:val="left"/>
            </w:pPr>
            <w:r>
              <w:t xml:space="preserve">Europe / Asia mix</w:t>
            </w:r>
          </w:p>
        </w:tc>
      </w:tr>
      <w:tr>
        <w:tc>
          <w:tcPr/>
          <w:p>
            <w:pPr>
              <w:pStyle w:val="Compact"/>
              <w:jc w:val="left"/>
            </w:pPr>
            <w:r>
              <w:t xml:space="preserve">Connectors &amp; External Ports</w:t>
            </w:r>
          </w:p>
        </w:tc>
        <w:tc>
          <w:tcPr/>
          <w:p>
            <w:pPr>
              <w:pStyle w:val="Compact"/>
              <w:jc w:val="left"/>
            </w:pPr>
            <w:r>
              <w:t xml:space="preserve">Copper alloy pins + 30% GF PBT housing</w:t>
            </w:r>
          </w:p>
        </w:tc>
        <w:tc>
          <w:tcPr/>
          <w:p>
            <w:pPr>
              <w:pStyle w:val="Compact"/>
              <w:jc w:val="left"/>
            </w:pPr>
            <w:r>
              <w:t xml:space="preserve">38.0 g</w:t>
            </w:r>
          </w:p>
        </w:tc>
        <w:tc>
          <w:tcPr/>
          <w:p>
            <w:pPr>
              <w:pStyle w:val="Compact"/>
              <w:jc w:val="left"/>
            </w:pPr>
            <w:r>
              <w:t xml:space="preserve">Primary (BOM)</w:t>
            </w:r>
          </w:p>
        </w:tc>
        <w:tc>
          <w:tcPr/>
          <w:p>
            <w:pPr>
              <w:pStyle w:val="Compact"/>
              <w:jc w:val="left"/>
            </w:pPr>
            <w:r>
              <w:t xml:space="preserve">Germany</w:t>
            </w:r>
          </w:p>
        </w:tc>
      </w:tr>
      <w:tr>
        <w:tc>
          <w:tcPr/>
          <w:p>
            <w:pPr>
              <w:pStyle w:val="Compact"/>
              <w:jc w:val="left"/>
            </w:pPr>
            <w:r>
              <w:t xml:space="preserve">Enclosure Gasket &amp; Seals</w:t>
            </w:r>
          </w:p>
        </w:tc>
        <w:tc>
          <w:tcPr/>
          <w:p>
            <w:pPr>
              <w:pStyle w:val="Compact"/>
              <w:jc w:val="left"/>
            </w:pPr>
            <w:r>
              <w:t xml:space="preserve">Silicone Rubber elastomer (injection molded)</w:t>
            </w:r>
          </w:p>
        </w:tc>
        <w:tc>
          <w:tcPr/>
          <w:p>
            <w:pPr>
              <w:pStyle w:val="Compact"/>
              <w:jc w:val="left"/>
            </w:pPr>
            <w:r>
              <w:t xml:space="preserve">15.0 g</w:t>
            </w:r>
          </w:p>
        </w:tc>
        <w:tc>
          <w:tcPr/>
          <w:p>
            <w:pPr>
              <w:pStyle w:val="Compact"/>
              <w:jc w:val="left"/>
            </w:pPr>
            <w:r>
              <w:t xml:space="preserve">Primary (BOM)</w:t>
            </w:r>
          </w:p>
        </w:tc>
        <w:tc>
          <w:tcPr/>
          <w:p>
            <w:pPr>
              <w:pStyle w:val="Compact"/>
              <w:jc w:val="left"/>
            </w:pPr>
            <w:r>
              <w:t xml:space="preserve">France</w:t>
            </w:r>
          </w:p>
        </w:tc>
      </w:tr>
      <w:tr>
        <w:tc>
          <w:tcPr/>
          <w:p>
            <w:pPr>
              <w:pStyle w:val="Compact"/>
              <w:jc w:val="left"/>
            </w:pPr>
            <w:r>
              <w:t xml:space="preserve">Soldering Paste &amp; Solder Joints</w:t>
            </w:r>
          </w:p>
        </w:tc>
        <w:tc>
          <w:tcPr/>
          <w:p>
            <w:pPr>
              <w:pStyle w:val="Compact"/>
              <w:jc w:val="left"/>
            </w:pPr>
            <w:r>
              <w:t xml:space="preserve">Lead-Free Solder Alloy (SAC305: 96.5% Sn, 3% Ag, 0.5% Cu)</w:t>
            </w:r>
          </w:p>
        </w:tc>
        <w:tc>
          <w:tcPr/>
          <w:p>
            <w:pPr>
              <w:pStyle w:val="Compact"/>
              <w:jc w:val="left"/>
            </w:pPr>
            <w:r>
              <w:t xml:space="preserve">18.0 g</w:t>
            </w:r>
          </w:p>
        </w:tc>
        <w:tc>
          <w:tcPr/>
          <w:p>
            <w:pPr>
              <w:pStyle w:val="Compact"/>
              <w:jc w:val="left"/>
            </w:pPr>
            <w:r>
              <w:t xml:space="preserve">Primary (BOM)</w:t>
            </w:r>
          </w:p>
        </w:tc>
        <w:tc>
          <w:tcPr/>
          <w:p>
            <w:pPr>
              <w:pStyle w:val="Compact"/>
              <w:jc w:val="left"/>
            </w:pPr>
            <w:r>
              <w:t xml:space="preserve">Netherlands</w:t>
            </w:r>
          </w:p>
        </w:tc>
      </w:tr>
      <w:tr>
        <w:tc>
          <w:tcPr/>
          <w:p>
            <w:pPr>
              <w:pStyle w:val="Compact"/>
              <w:jc w:val="left"/>
            </w:pPr>
            <w:r>
              <w:t xml:space="preserve">Fasteners &amp; Screws</w:t>
            </w:r>
          </w:p>
        </w:tc>
        <w:tc>
          <w:tcPr/>
          <w:p>
            <w:pPr>
              <w:pStyle w:val="Compact"/>
              <w:jc w:val="left"/>
            </w:pPr>
            <w:r>
              <w:t xml:space="preserve">Stainless steel A2/304 Torx fasteners</w:t>
            </w:r>
          </w:p>
        </w:tc>
        <w:tc>
          <w:tcPr/>
          <w:p>
            <w:pPr>
              <w:pStyle w:val="Compact"/>
              <w:jc w:val="left"/>
            </w:pPr>
            <w:r>
              <w:t xml:space="preserve">14.0 g</w:t>
            </w:r>
          </w:p>
        </w:tc>
        <w:tc>
          <w:tcPr/>
          <w:p>
            <w:pPr>
              <w:pStyle w:val="Compact"/>
              <w:jc w:val="left"/>
            </w:pPr>
            <w:r>
              <w:t xml:space="preserve">Primary (BOM)</w:t>
            </w:r>
          </w:p>
        </w:tc>
        <w:tc>
          <w:tcPr/>
          <w:p>
            <w:pPr>
              <w:pStyle w:val="Compact"/>
              <w:jc w:val="left"/>
            </w:pPr>
            <w:r>
              <w:t xml:space="preserve">Germany</w:t>
            </w:r>
          </w:p>
        </w:tc>
      </w:tr>
      <w:tr>
        <w:tc>
          <w:tcPr/>
          <w:p>
            <w:pPr>
              <w:pStyle w:val="Compact"/>
              <w:jc w:val="left"/>
            </w:pPr>
            <w:r>
              <w:t xml:space="preserve">Unit Packaging (Box &amp; Inserts)</w:t>
            </w:r>
          </w:p>
        </w:tc>
        <w:tc>
          <w:tcPr/>
          <w:p>
            <w:pPr>
              <w:pStyle w:val="Compact"/>
              <w:jc w:val="left"/>
            </w:pPr>
            <w:r>
              <w:t xml:space="preserve">Corrugated paperboard (85% post-consumer recycled fiber)</w:t>
            </w:r>
          </w:p>
        </w:tc>
        <w:tc>
          <w:tcPr/>
          <w:p>
            <w:pPr>
              <w:pStyle w:val="Compact"/>
              <w:jc w:val="left"/>
            </w:pPr>
            <w:r>
              <w:t xml:space="preserve">180.0 g</w:t>
            </w:r>
          </w:p>
        </w:tc>
        <w:tc>
          <w:tcPr/>
          <w:p>
            <w:pPr>
              <w:pStyle w:val="Compact"/>
              <w:jc w:val="left"/>
            </w:pPr>
            <w:r>
              <w:t xml:space="preserve">Primary (BOM)</w:t>
            </w:r>
          </w:p>
        </w:tc>
        <w:tc>
          <w:tcPr/>
          <w:p>
            <w:pPr>
              <w:pStyle w:val="Compact"/>
              <w:jc w:val="left"/>
            </w:pPr>
            <w:r>
              <w:t xml:space="preserve">Netherlands (LSR In-Scope)</w:t>
            </w:r>
          </w:p>
        </w:tc>
      </w:tr>
      <w:tr>
        <w:tc>
          <w:tcPr/>
          <w:p>
            <w:pPr>
              <w:pStyle w:val="Compact"/>
              <w:jc w:val="left"/>
            </w:pPr>
            <w:r>
              <w:t xml:space="preserve">Protective Film &amp; Labeling</w:t>
            </w:r>
          </w:p>
        </w:tc>
        <w:tc>
          <w:tcPr/>
          <w:p>
            <w:pPr>
              <w:pStyle w:val="Compact"/>
              <w:jc w:val="left"/>
            </w:pPr>
            <w:r>
              <w:t xml:space="preserve">Low-density Polyethylene (LDPE) film &amp; PET labels</w:t>
            </w:r>
          </w:p>
        </w:tc>
        <w:tc>
          <w:tcPr/>
          <w:p>
            <w:pPr>
              <w:pStyle w:val="Compact"/>
              <w:jc w:val="left"/>
            </w:pPr>
            <w:r>
              <w:t xml:space="preserve">6.5 g</w:t>
            </w:r>
          </w:p>
        </w:tc>
        <w:tc>
          <w:tcPr/>
          <w:p>
            <w:pPr>
              <w:pStyle w:val="Compact"/>
              <w:jc w:val="left"/>
            </w:pPr>
            <w:r>
              <w:t xml:space="preserve">Primary (BOM)</w:t>
            </w:r>
          </w:p>
        </w:tc>
        <w:tc>
          <w:tcPr/>
          <w:p>
            <w:pPr>
              <w:pStyle w:val="Compact"/>
              <w:jc w:val="left"/>
            </w:pPr>
            <w:r>
              <w:t xml:space="preserve">Netherlands</w:t>
            </w:r>
          </w:p>
        </w:tc>
      </w:tr>
      <w:tr>
        <w:tc>
          <w:tcPr>
            <w:gridSpan w:val="2"/>
          </w:tcPr>
          <w:p>
            <w:pPr>
              <w:pStyle w:val="Compact"/>
              <w:jc w:val="left"/>
            </w:pPr>
            <w:r>
              <w:t xml:space="preserve">Total Finished Packaged Unit Mass</w:t>
            </w:r>
          </w:p>
        </w:tc>
        <w:tc>
          <w:tcPr/>
          <w:p>
            <w:pPr>
              <w:pStyle w:val="Compact"/>
              <w:jc w:val="left"/>
            </w:pPr>
            <w:r>
              <w:t xml:space="preserve">965.0 g</w:t>
            </w:r>
          </w:p>
        </w:tc>
        <w:tc>
          <w:tcPr>
            <w:gridSpan w:val="2"/>
          </w:tcPr>
          <w:p>
            <w:pPr>
              <w:pStyle w:val="Compact"/>
              <w:jc w:val="left"/>
            </w:pPr>
            <w:r>
              <w:t xml:space="preserve">99.33% Primary Data Traceability</w:t>
            </w:r>
          </w:p>
        </w:tc>
      </w:tr>
    </w:tbl>
    <w:bookmarkEnd w:id="26"/>
    <w:bookmarkStart w:id="27" w:name="X552de23f011935e71629bd9a173138d8d408711"/>
    <w:p>
      <w:pPr>
        <w:pStyle w:val="Heading2"/>
      </w:pPr>
      <w:r>
        <w:t xml:space="preserve">2.2 Factory Energy &amp; Utility Inputs (Final Assembly - Eindhoven, NL)</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Energy / Utility Stream</w:t>
            </w:r>
          </w:p>
        </w:tc>
        <w:tc>
          <w:tcPr/>
          <w:p>
            <w:pPr>
              <w:pStyle w:val="Compact"/>
              <w:jc w:val="left"/>
            </w:pPr>
            <w:r>
              <w:t xml:space="preserve">Application on Assembly Line</w:t>
            </w:r>
          </w:p>
        </w:tc>
        <w:tc>
          <w:tcPr/>
          <w:p>
            <w:pPr>
              <w:pStyle w:val="Compact"/>
              <w:jc w:val="left"/>
            </w:pPr>
            <w:r>
              <w:t xml:space="preserve">Input Allocation per Unit</w:t>
            </w:r>
          </w:p>
        </w:tc>
        <w:tc>
          <w:tcPr/>
          <w:p>
            <w:pPr>
              <w:pStyle w:val="Compact"/>
              <w:jc w:val="left"/>
            </w:pPr>
            <w:r>
              <w:t xml:space="preserve">Data Source &amp; Quality</w:t>
            </w:r>
          </w:p>
        </w:tc>
      </w:tr>
      <w:tr>
        <w:tc>
          <w:tcPr/>
          <w:p>
            <w:pPr>
              <w:pStyle w:val="Compact"/>
              <w:jc w:val="left"/>
            </w:pPr>
            <w:r>
              <w:t xml:space="preserve">Purchased Grid Electricity</w:t>
            </w:r>
          </w:p>
        </w:tc>
        <w:tc>
          <w:tcPr/>
          <w:p>
            <w:pPr>
              <w:pStyle w:val="Compact"/>
              <w:jc w:val="left"/>
            </w:pPr>
            <w:r>
              <w:t xml:space="preserve">SMT reflow oven, pick-and-place lines, testing, compressed air</w:t>
            </w:r>
          </w:p>
        </w:tc>
        <w:tc>
          <w:tcPr/>
          <w:p>
            <w:pPr>
              <w:pStyle w:val="Compact"/>
              <w:jc w:val="left"/>
            </w:pPr>
            <w:r>
              <w:t xml:space="preserve">3.85 kWh</w:t>
            </w:r>
          </w:p>
        </w:tc>
        <w:tc>
          <w:tcPr/>
          <w:p>
            <w:pPr>
              <w:pStyle w:val="Compact"/>
              <w:jc w:val="left"/>
            </w:pPr>
            <w:r>
              <w:t xml:space="preserve">Primary facility metering; Dutch Grid residual mix (2025/2026)</w:t>
            </w:r>
          </w:p>
        </w:tc>
      </w:tr>
      <w:tr>
        <w:tc>
          <w:tcPr/>
          <w:p>
            <w:pPr>
              <w:pStyle w:val="Compact"/>
              <w:jc w:val="left"/>
            </w:pPr>
            <w:r>
              <w:t xml:space="preserve">On-site Solar PV Generation</w:t>
            </w:r>
          </w:p>
        </w:tc>
        <w:tc>
          <w:tcPr/>
          <w:p>
            <w:pPr>
              <w:pStyle w:val="Compact"/>
              <w:jc w:val="left"/>
            </w:pPr>
            <w:r>
              <w:t xml:space="preserve">Factory rooftop solar system (self-consumed)</w:t>
            </w:r>
          </w:p>
        </w:tc>
        <w:tc>
          <w:tcPr/>
          <w:p>
            <w:pPr>
              <w:pStyle w:val="Compact"/>
              <w:jc w:val="left"/>
            </w:pPr>
            <w:r>
              <w:t xml:space="preserve">0.95 kWh</w:t>
            </w:r>
          </w:p>
        </w:tc>
        <w:tc>
          <w:tcPr/>
          <w:p>
            <w:pPr>
              <w:pStyle w:val="Compact"/>
              <w:jc w:val="left"/>
            </w:pPr>
            <w:r>
              <w:t xml:space="preserve">Primary generation log; 0 direct Scope 2 emissions</w:t>
            </w:r>
          </w:p>
        </w:tc>
      </w:tr>
      <w:tr>
        <w:tc>
          <w:tcPr/>
          <w:p>
            <w:pPr>
              <w:pStyle w:val="Compact"/>
              <w:jc w:val="left"/>
            </w:pPr>
            <w:r>
              <w:t xml:space="preserve">Natural Gas (Heating / Facility)</w:t>
            </w:r>
          </w:p>
        </w:tc>
        <w:tc>
          <w:tcPr/>
          <w:p>
            <w:pPr>
              <w:pStyle w:val="Compact"/>
              <w:jc w:val="left"/>
            </w:pPr>
            <w:r>
              <w:t xml:space="preserve">Peak winter space heating (condensing boiler)</w:t>
            </w:r>
          </w:p>
        </w:tc>
        <w:tc>
          <w:tcPr/>
          <w:p>
            <w:pPr>
              <w:pStyle w:val="Compact"/>
              <w:jc w:val="left"/>
            </w:pPr>
            <w:r>
              <w:t xml:space="preserve">0.038 m</w:t>
            </w:r>
            <w:r>
              <w:rPr>
                <w:vertAlign w:val="superscript"/>
              </w:rPr>
              <w:t xml:space="preserve">3</w:t>
            </w:r>
          </w:p>
        </w:tc>
        <w:tc>
          <w:tcPr/>
          <w:p>
            <w:pPr>
              <w:pStyle w:val="Compact"/>
              <w:jc w:val="left"/>
            </w:pPr>
            <w:r>
              <w:t xml:space="preserve">Facility natural gas billing divided by finished throughput</w:t>
            </w:r>
          </w:p>
        </w:tc>
      </w:tr>
      <w:tr>
        <w:tc>
          <w:tcPr/>
          <w:p>
            <w:pPr>
              <w:pStyle w:val="Compact"/>
              <w:jc w:val="left"/>
            </w:pPr>
            <w:r>
              <w:t xml:space="preserve">Industrial Nitrogen (N</w:t>
            </w:r>
            <w:r>
              <w:rPr>
                <w:vertAlign w:val="subscript"/>
              </w:rPr>
              <w:t xml:space="preserve">2</w:t>
            </w:r>
            <w:r>
              <w:t xml:space="preserve">)</w:t>
            </w:r>
          </w:p>
        </w:tc>
        <w:tc>
          <w:tcPr/>
          <w:p>
            <w:pPr>
              <w:pStyle w:val="Compact"/>
              <w:jc w:val="left"/>
            </w:pPr>
            <w:r>
              <w:t xml:space="preserve">Controlled inert atmosphere in reflow soldering ovens</w:t>
            </w:r>
          </w:p>
        </w:tc>
        <w:tc>
          <w:tcPr/>
          <w:p>
            <w:pPr>
              <w:pStyle w:val="Compact"/>
              <w:jc w:val="left"/>
            </w:pPr>
            <w:r>
              <w:t xml:space="preserve">0.082 kg</w:t>
            </w:r>
          </w:p>
        </w:tc>
        <w:tc>
          <w:tcPr/>
          <w:p>
            <w:pPr>
              <w:pStyle w:val="Compact"/>
              <w:jc w:val="left"/>
            </w:pPr>
            <w:r>
              <w:t xml:space="preserve">Bulk supplier delivery manifests allocated to SMT runs</w:t>
            </w:r>
          </w:p>
        </w:tc>
      </w:tr>
      <w:tr>
        <w:tc>
          <w:tcPr/>
          <w:p>
            <w:pPr>
              <w:pStyle w:val="Compact"/>
              <w:jc w:val="left"/>
            </w:pPr>
            <w:r>
              <w:t xml:space="preserve">Inbound Tier-1 Transport</w:t>
            </w:r>
          </w:p>
        </w:tc>
        <w:tc>
          <w:tcPr/>
          <w:p>
            <w:pPr>
              <w:pStyle w:val="Compact"/>
              <w:jc w:val="left"/>
            </w:pPr>
            <w:r>
              <w:t xml:space="preserve">Consolidated road transport across Europe to Eindhoven</w:t>
            </w:r>
          </w:p>
        </w:tc>
        <w:tc>
          <w:tcPr/>
          <w:p>
            <w:pPr>
              <w:pStyle w:val="Compact"/>
              <w:jc w:val="left"/>
            </w:pPr>
            <w:r>
              <w:t xml:space="preserve">0.520 tkm</w:t>
            </w:r>
          </w:p>
        </w:tc>
        <w:tc>
          <w:tcPr/>
          <w:p>
            <w:pPr>
              <w:pStyle w:val="Compact"/>
              <w:jc w:val="left"/>
            </w:pPr>
            <w:r>
              <w:t xml:space="preserve">Supplier logistics distance (average 540 km) × unit weight</w:t>
            </w:r>
          </w:p>
        </w:tc>
      </w:tr>
    </w:tbl>
    <w:p>
      <w:r>
        <w:pict>
          <v:rect style="width:0;height:1.5pt" o:hralign="center" o:hrstd="t" o:hr="t"/>
        </w:pict>
      </w:r>
    </w:p>
    <w:bookmarkEnd w:id="27"/>
    <w:bookmarkEnd w:id="28"/>
    <w:bookmarkStart w:id="31" w:name="X70a2bf808f03df702d6cc62842b3acf1a5059cd"/>
    <w:p>
      <w:pPr>
        <w:pStyle w:val="Heading1"/>
      </w:pPr>
      <w:r>
        <w:t xml:space="preserve">Step 4: Emission Calculations &amp; Protocol Categorization</w:t>
      </w:r>
    </w:p>
    <w:p>
      <w:pPr>
        <w:pStyle w:val="FirstParagraph"/>
      </w:pPr>
      <w:r>
        <w:t xml:space="preserve">Emissions are determined via standard activity data multiplication by validated emission factors:</w:t>
      </w:r>
      <w:r>
        <w:br/>
      </w:r>
      <w:r>
        <w:rPr>
          <w:rStyle w:val="VerbatimChar"/>
        </w:rPr>
        <w:t xml:space="preserve">Emissions (kg CO</w:t>
      </w:r>
      <w:r>
        <w:rPr>
          <w:rStyle w:val="VerbatimChar"/>
          <w:vertAlign w:val="subscript"/>
        </w:rPr>
        <w:t xml:space="preserve">2</w:t>
      </w:r>
      <w:r>
        <w:rPr>
          <w:rStyle w:val="VerbatimChar"/>
        </w:rPr>
        <w:t xml:space="preserve">e) = Activity Data × Greenhouse Gas Emission Factor</w:t>
      </w:r>
    </w:p>
    <w:bookmarkStart w:id="29" w:name="granular-emission-breakdown-by-scope"/>
    <w:p>
      <w:pPr>
        <w:pStyle w:val="Heading2"/>
      </w:pPr>
      <w:r>
        <w:t xml:space="preserve">4.1 Granular Emission Breakdown by Scope</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Lifecycle Stage / Emission Source</w:t>
            </w:r>
          </w:p>
        </w:tc>
        <w:tc>
          <w:tcPr/>
          <w:p>
            <w:pPr>
              <w:pStyle w:val="Compact"/>
              <w:jc w:val="left"/>
            </w:pPr>
            <w:r>
              <w:t xml:space="preserve">Activity Data</w:t>
            </w:r>
          </w:p>
        </w:tc>
        <w:tc>
          <w:tcPr/>
          <w:p>
            <w:pPr>
              <w:pStyle w:val="Compact"/>
              <w:jc w:val="left"/>
            </w:pPr>
            <w:r>
              <w:t xml:space="preserve">Emission Factor (EF)</w:t>
            </w:r>
          </w:p>
        </w:tc>
        <w:tc>
          <w:tcPr/>
          <w:p>
            <w:pPr>
              <w:pStyle w:val="Compact"/>
              <w:jc w:val="left"/>
            </w:pPr>
            <w:r>
              <w:t xml:space="preserve">EF Source</w:t>
            </w:r>
          </w:p>
        </w:tc>
        <w:tc>
          <w:tcPr/>
          <w:p>
            <w:pPr>
              <w:pStyle w:val="Compact"/>
              <w:jc w:val="left"/>
            </w:pPr>
            <w:r>
              <w:t xml:space="preserve">kg CO</w:t>
            </w:r>
            <w:r>
              <w:rPr>
                <w:vertAlign w:val="subscript"/>
              </w:rPr>
              <w:t xml:space="preserve">2</w:t>
            </w:r>
            <w:r>
              <w:t xml:space="preserve">e / unit</w:t>
            </w:r>
          </w:p>
        </w:tc>
        <w:tc>
          <w:tcPr/>
          <w:p>
            <w:pPr>
              <w:pStyle w:val="Compact"/>
              <w:jc w:val="left"/>
            </w:pPr>
            <w:r>
              <w:t xml:space="preserve">% Share</w:t>
            </w:r>
          </w:p>
        </w:tc>
      </w:tr>
      <w:tr>
        <w:tc>
          <w:tcPr>
            <w:gridSpan w:val="6"/>
          </w:tcPr>
          <w:p>
            <w:pPr>
              <w:pStyle w:val="Compact"/>
              <w:jc w:val="left"/>
            </w:pPr>
            <w:r>
              <w:t xml:space="preserve">SCOPE 1: Direct Operations (Eindhoven Assembly Facility)</w:t>
            </w:r>
          </w:p>
        </w:tc>
      </w:tr>
      <w:tr>
        <w:tc>
          <w:tcPr/>
          <w:p>
            <w:pPr>
              <w:pStyle w:val="Compact"/>
              <w:jc w:val="left"/>
            </w:pPr>
            <w:r>
              <w:t xml:space="preserve">Facility Space Heating (Natural Gas)</w:t>
            </w:r>
          </w:p>
        </w:tc>
        <w:tc>
          <w:tcPr/>
          <w:p>
            <w:pPr>
              <w:pStyle w:val="Compact"/>
              <w:jc w:val="left"/>
            </w:pPr>
            <w:r>
              <w:t xml:space="preserve">0.038 m</w:t>
            </w:r>
            <w:r>
              <w:rPr>
                <w:vertAlign w:val="superscript"/>
              </w:rPr>
              <w:t xml:space="preserve">3</w:t>
            </w:r>
          </w:p>
        </w:tc>
        <w:tc>
          <w:tcPr/>
          <w:p>
            <w:pPr>
              <w:pStyle w:val="Compact"/>
              <w:jc w:val="left"/>
            </w:pPr>
            <w:r>
              <w:t xml:space="preserve">2.0240 kg CO</w:t>
            </w:r>
            <w:r>
              <w:rPr>
                <w:vertAlign w:val="subscript"/>
              </w:rPr>
              <w:t xml:space="preserve">2</w:t>
            </w:r>
            <w:r>
              <w:t xml:space="preserve">e / m</w:t>
            </w:r>
            <w:r>
              <w:rPr>
                <w:vertAlign w:val="superscript"/>
              </w:rPr>
              <w:t xml:space="preserve">3</w:t>
            </w:r>
          </w:p>
        </w:tc>
        <w:tc>
          <w:tcPr/>
          <w:p>
            <w:pPr>
              <w:pStyle w:val="Compact"/>
              <w:jc w:val="left"/>
            </w:pPr>
            <w:r>
              <w:t xml:space="preserve">DEFRA / RVO NLD (2025)</w:t>
            </w:r>
          </w:p>
        </w:tc>
        <w:tc>
          <w:tcPr/>
          <w:p>
            <w:pPr>
              <w:pStyle w:val="Compact"/>
              <w:jc w:val="left"/>
            </w:pPr>
            <w:r>
              <w:t xml:space="preserve">0.077</w:t>
            </w:r>
          </w:p>
        </w:tc>
        <w:tc>
          <w:tcPr/>
          <w:p>
            <w:pPr>
              <w:pStyle w:val="Compact"/>
              <w:jc w:val="left"/>
            </w:pPr>
            <w:r>
              <w:t xml:space="preserve">0.31%</w:t>
            </w:r>
          </w:p>
        </w:tc>
      </w:tr>
      <w:tr>
        <w:tc>
          <w:tcPr/>
          <w:p>
            <w:pPr>
              <w:pStyle w:val="Compact"/>
              <w:jc w:val="left"/>
            </w:pPr>
            <w:r>
              <w:t xml:space="preserve">Fugitive Refrigerant Losses (HVAC system)</w:t>
            </w:r>
          </w:p>
        </w:tc>
        <w:tc>
          <w:tcPr/>
          <w:p>
            <w:pPr>
              <w:pStyle w:val="Compact"/>
              <w:jc w:val="left"/>
            </w:pPr>
            <w:r>
              <w:t xml:space="preserve">0.00002 kg R-410A</w:t>
            </w:r>
          </w:p>
        </w:tc>
        <w:tc>
          <w:tcPr/>
          <w:p>
            <w:pPr>
              <w:pStyle w:val="Compact"/>
              <w:jc w:val="left"/>
            </w:pPr>
            <w:r>
              <w:t xml:space="preserve">2,088 kg CO</w:t>
            </w:r>
            <w:r>
              <w:rPr>
                <w:vertAlign w:val="subscript"/>
              </w:rPr>
              <w:t xml:space="preserve">2</w:t>
            </w:r>
            <w:r>
              <w:t xml:space="preserve">e / kg</w:t>
            </w:r>
          </w:p>
        </w:tc>
        <w:tc>
          <w:tcPr/>
          <w:p>
            <w:pPr>
              <w:pStyle w:val="Compact"/>
              <w:jc w:val="left"/>
            </w:pPr>
            <w:r>
              <w:t xml:space="preserve">IPCC AR6 GWP100</w:t>
            </w:r>
          </w:p>
        </w:tc>
        <w:tc>
          <w:tcPr/>
          <w:p>
            <w:pPr>
              <w:pStyle w:val="Compact"/>
              <w:jc w:val="left"/>
            </w:pPr>
            <w:r>
              <w:t xml:space="preserve">0.042</w:t>
            </w:r>
          </w:p>
        </w:tc>
        <w:tc>
          <w:tcPr/>
          <w:p>
            <w:pPr>
              <w:pStyle w:val="Compact"/>
              <w:jc w:val="left"/>
            </w:pPr>
            <w:r>
              <w:t xml:space="preserve">0.17%</w:t>
            </w:r>
          </w:p>
        </w:tc>
      </w:tr>
      <w:tr>
        <w:tc>
          <w:tcPr>
            <w:gridSpan w:val="4"/>
          </w:tcPr>
          <w:p>
            <w:pPr>
              <w:pStyle w:val="Compact"/>
              <w:jc w:val="left"/>
            </w:pPr>
            <w:r>
              <w:t xml:space="preserve">Subtotal Scope 1 Direct Emissions</w:t>
            </w:r>
          </w:p>
        </w:tc>
        <w:tc>
          <w:tcPr/>
          <w:p>
            <w:pPr>
              <w:pStyle w:val="Compact"/>
              <w:jc w:val="left"/>
            </w:pPr>
            <w:r>
              <w:t xml:space="preserve">0.119</w:t>
            </w:r>
          </w:p>
        </w:tc>
        <w:tc>
          <w:tcPr/>
          <w:p>
            <w:pPr>
              <w:pStyle w:val="Compact"/>
              <w:jc w:val="left"/>
            </w:pPr>
            <w:r>
              <w:t xml:space="preserve">0.49%</w:t>
            </w:r>
          </w:p>
        </w:tc>
      </w:tr>
      <w:tr>
        <w:tc>
          <w:tcPr>
            <w:gridSpan w:val="6"/>
          </w:tcPr>
          <w:p>
            <w:pPr>
              <w:pStyle w:val="Compact"/>
              <w:jc w:val="left"/>
            </w:pPr>
            <w:r>
              <w:t xml:space="preserve">SCOPE 2: Purchased Electricity (Market-Based / Location-Based)</w:t>
            </w:r>
          </w:p>
        </w:tc>
      </w:tr>
      <w:tr>
        <w:tc>
          <w:tcPr/>
          <w:p>
            <w:pPr>
              <w:pStyle w:val="Compact"/>
              <w:jc w:val="left"/>
            </w:pPr>
            <w:r>
              <w:t xml:space="preserve">Purchased Electricity (Location-based: Dutch Grid)</w:t>
            </w:r>
          </w:p>
        </w:tc>
        <w:tc>
          <w:tcPr/>
          <w:p>
            <w:pPr>
              <w:pStyle w:val="Compact"/>
              <w:jc w:val="left"/>
            </w:pPr>
            <w:r>
              <w:t xml:space="preserve">3.850 kWh</w:t>
            </w:r>
          </w:p>
        </w:tc>
        <w:tc>
          <w:tcPr/>
          <w:p>
            <w:pPr>
              <w:pStyle w:val="Compact"/>
              <w:jc w:val="left"/>
            </w:pPr>
            <w:r>
              <w:t xml:space="preserve">0.3100 kg CO</w:t>
            </w:r>
            <w:r>
              <w:rPr>
                <w:vertAlign w:val="subscript"/>
              </w:rPr>
              <w:t xml:space="preserve">2</w:t>
            </w:r>
            <w:r>
              <w:t xml:space="preserve">e / kWh</w:t>
            </w:r>
          </w:p>
        </w:tc>
        <w:tc>
          <w:tcPr/>
          <w:p>
            <w:pPr>
              <w:pStyle w:val="Compact"/>
              <w:jc w:val="left"/>
            </w:pPr>
            <w:r>
              <w:t xml:space="preserve">Ecoinvent 3.10 / RVO 2025</w:t>
            </w:r>
          </w:p>
        </w:tc>
        <w:tc>
          <w:tcPr/>
          <w:p>
            <w:pPr>
              <w:pStyle w:val="Compact"/>
              <w:jc w:val="left"/>
            </w:pPr>
            <w:r>
              <w:t xml:space="preserve">1.194</w:t>
            </w:r>
          </w:p>
        </w:tc>
        <w:tc>
          <w:tcPr/>
          <w:p>
            <w:pPr>
              <w:pStyle w:val="Compact"/>
              <w:jc w:val="left"/>
            </w:pPr>
            <w:r>
              <w:t xml:space="preserve">4.88%</w:t>
            </w:r>
          </w:p>
        </w:tc>
      </w:tr>
      <w:tr>
        <w:tc>
          <w:tcPr/>
          <w:p>
            <w:pPr>
              <w:pStyle w:val="Compact"/>
              <w:jc w:val="left"/>
            </w:pPr>
            <w:r>
              <w:t xml:space="preserve">On-Site Solar PV Generation (Self-consumed)</w:t>
            </w:r>
          </w:p>
        </w:tc>
        <w:tc>
          <w:tcPr/>
          <w:p>
            <w:pPr>
              <w:pStyle w:val="Compact"/>
              <w:jc w:val="left"/>
            </w:pPr>
            <w:r>
              <w:t xml:space="preserve">0.950 kWh</w:t>
            </w:r>
          </w:p>
        </w:tc>
        <w:tc>
          <w:tcPr/>
          <w:p>
            <w:pPr>
              <w:pStyle w:val="Compact"/>
              <w:jc w:val="left"/>
            </w:pPr>
            <w:r>
              <w:t xml:space="preserve">0.0000 kg CO</w:t>
            </w:r>
            <w:r>
              <w:rPr>
                <w:vertAlign w:val="subscript"/>
              </w:rPr>
              <w:t xml:space="preserve">2</w:t>
            </w:r>
            <w:r>
              <w:t xml:space="preserve">e / kWh</w:t>
            </w:r>
          </w:p>
        </w:tc>
        <w:tc>
          <w:tcPr/>
          <w:p>
            <w:pPr>
              <w:pStyle w:val="Compact"/>
              <w:jc w:val="left"/>
            </w:pPr>
            <w:r>
              <w:t xml:space="preserve">GHG Protocol Scope 2 Rule</w:t>
            </w:r>
          </w:p>
        </w:tc>
        <w:tc>
          <w:tcPr/>
          <w:p>
            <w:pPr>
              <w:pStyle w:val="Compact"/>
              <w:jc w:val="left"/>
            </w:pPr>
            <w:r>
              <w:t xml:space="preserve">0.000</w:t>
            </w:r>
          </w:p>
        </w:tc>
        <w:tc>
          <w:tcPr/>
          <w:p>
            <w:pPr>
              <w:pStyle w:val="Compact"/>
              <w:jc w:val="left"/>
            </w:pPr>
            <w:r>
              <w:t xml:space="preserve">0.00%</w:t>
            </w:r>
          </w:p>
        </w:tc>
      </w:tr>
      <w:tr>
        <w:tc>
          <w:tcPr>
            <w:gridSpan w:val="4"/>
          </w:tcPr>
          <w:p>
            <w:pPr>
              <w:pStyle w:val="Compact"/>
              <w:jc w:val="left"/>
            </w:pPr>
            <w:r>
              <w:t xml:space="preserve">Subtotal Scope 2 Indirect Energy Emissions</w:t>
            </w:r>
          </w:p>
        </w:tc>
        <w:tc>
          <w:tcPr/>
          <w:p>
            <w:pPr>
              <w:pStyle w:val="Compact"/>
              <w:jc w:val="left"/>
            </w:pPr>
            <w:r>
              <w:t xml:space="preserve">1.194</w:t>
            </w:r>
          </w:p>
        </w:tc>
        <w:tc>
          <w:tcPr/>
          <w:p>
            <w:pPr>
              <w:pStyle w:val="Compact"/>
              <w:jc w:val="left"/>
            </w:pPr>
            <w:r>
              <w:t xml:space="preserve">4.88%</w:t>
            </w:r>
          </w:p>
        </w:tc>
      </w:tr>
      <w:tr>
        <w:tc>
          <w:tcPr>
            <w:gridSpan w:val="6"/>
          </w:tcPr>
          <w:p>
            <w:pPr>
              <w:pStyle w:val="Compact"/>
              <w:jc w:val="left"/>
            </w:pPr>
            <w:r>
              <w:t xml:space="preserve">SCOPE 3, CATEGORY 1: Purchased Goods &amp; Raw Materials</w:t>
            </w:r>
          </w:p>
        </w:tc>
      </w:tr>
      <w:tr>
        <w:tc>
          <w:tcPr/>
          <w:p>
            <w:pPr>
              <w:pStyle w:val="Compact"/>
              <w:jc w:val="left"/>
            </w:pPr>
            <w:r>
              <w:t xml:space="preserve">Aluminum Housing (55% secondary, die-cast)</w:t>
            </w:r>
          </w:p>
        </w:tc>
        <w:tc>
          <w:tcPr/>
          <w:p>
            <w:pPr>
              <w:pStyle w:val="Compact"/>
              <w:jc w:val="left"/>
            </w:pPr>
            <w:r>
              <w:t xml:space="preserve">0.380 kg</w:t>
            </w:r>
          </w:p>
        </w:tc>
        <w:tc>
          <w:tcPr/>
          <w:p>
            <w:pPr>
              <w:pStyle w:val="Compact"/>
              <w:jc w:val="left"/>
            </w:pPr>
            <w:r>
              <w:t xml:space="preserve">5.4500 kg CO</w:t>
            </w:r>
            <w:r>
              <w:rPr>
                <w:vertAlign w:val="subscript"/>
              </w:rPr>
              <w:t xml:space="preserve">2</w:t>
            </w:r>
            <w:r>
              <w:t xml:space="preserve">e / kg</w:t>
            </w:r>
          </w:p>
        </w:tc>
        <w:tc>
          <w:tcPr/>
          <w:p>
            <w:pPr>
              <w:pStyle w:val="Compact"/>
              <w:jc w:val="left"/>
            </w:pPr>
            <w:r>
              <w:t xml:space="preserve">Ecoinvent 3.10</w:t>
            </w:r>
          </w:p>
        </w:tc>
        <w:tc>
          <w:tcPr/>
          <w:p>
            <w:pPr>
              <w:pStyle w:val="Compact"/>
              <w:jc w:val="left"/>
            </w:pPr>
            <w:r>
              <w:t xml:space="preserve">2.071</w:t>
            </w:r>
          </w:p>
        </w:tc>
        <w:tc>
          <w:tcPr/>
          <w:p>
            <w:pPr>
              <w:pStyle w:val="Compact"/>
              <w:jc w:val="left"/>
            </w:pPr>
            <w:r>
              <w:t xml:space="preserve">8.47%</w:t>
            </w:r>
          </w:p>
        </w:tc>
      </w:tr>
      <w:tr>
        <w:tc>
          <w:tcPr/>
          <w:p>
            <w:pPr>
              <w:pStyle w:val="Compact"/>
              <w:jc w:val="left"/>
            </w:pPr>
            <w:r>
              <w:t xml:space="preserve">Galvanized Steel Mounting Bracket</w:t>
            </w:r>
          </w:p>
        </w:tc>
        <w:tc>
          <w:tcPr/>
          <w:p>
            <w:pPr>
              <w:pStyle w:val="Compact"/>
              <w:jc w:val="left"/>
            </w:pPr>
            <w:r>
              <w:t xml:space="preserve">0.085 kg</w:t>
            </w:r>
          </w:p>
        </w:tc>
        <w:tc>
          <w:tcPr/>
          <w:p>
            <w:pPr>
              <w:pStyle w:val="Compact"/>
              <w:jc w:val="left"/>
            </w:pPr>
            <w:r>
              <w:t xml:space="preserve">2.6200 kg CO</w:t>
            </w:r>
            <w:r>
              <w:rPr>
                <w:vertAlign w:val="subscript"/>
              </w:rPr>
              <w:t xml:space="preserve">2</w:t>
            </w:r>
            <w:r>
              <w:t xml:space="preserve">e / kg</w:t>
            </w:r>
          </w:p>
        </w:tc>
        <w:tc>
          <w:tcPr/>
          <w:p>
            <w:pPr>
              <w:pStyle w:val="Compact"/>
              <w:jc w:val="left"/>
            </w:pPr>
            <w:r>
              <w:t xml:space="preserve">Ecoinvent 3.10 / WorldSteel</w:t>
            </w:r>
          </w:p>
        </w:tc>
        <w:tc>
          <w:tcPr/>
          <w:p>
            <w:pPr>
              <w:pStyle w:val="Compact"/>
              <w:jc w:val="left"/>
            </w:pPr>
            <w:r>
              <w:t xml:space="preserve">0.223</w:t>
            </w:r>
          </w:p>
        </w:tc>
        <w:tc>
          <w:tcPr/>
          <w:p>
            <w:pPr>
              <w:pStyle w:val="Compact"/>
              <w:jc w:val="left"/>
            </w:pPr>
            <w:r>
              <w:t xml:space="preserve">0.91%</w:t>
            </w:r>
          </w:p>
        </w:tc>
      </w:tr>
      <w:tr>
        <w:tc>
          <w:tcPr/>
          <w:p>
            <w:pPr>
              <w:pStyle w:val="Compact"/>
              <w:jc w:val="left"/>
            </w:pPr>
            <w:r>
              <w:t xml:space="preserve">Multilayer Bare PCB (FR4, 6-layer)</w:t>
            </w:r>
          </w:p>
        </w:tc>
        <w:tc>
          <w:tcPr/>
          <w:p>
            <w:pPr>
              <w:pStyle w:val="Compact"/>
              <w:jc w:val="left"/>
            </w:pPr>
            <w:r>
              <w:t xml:space="preserve">0.092 kg</w:t>
            </w:r>
          </w:p>
        </w:tc>
        <w:tc>
          <w:tcPr/>
          <w:p>
            <w:pPr>
              <w:pStyle w:val="Compact"/>
              <w:jc w:val="left"/>
            </w:pPr>
            <w:r>
              <w:t xml:space="preserve">18.400 kg CO</w:t>
            </w:r>
            <w:r>
              <w:rPr>
                <w:vertAlign w:val="subscript"/>
              </w:rPr>
              <w:t xml:space="preserve">2</w:t>
            </w:r>
            <w:r>
              <w:t xml:space="preserve">e / kg</w:t>
            </w:r>
          </w:p>
        </w:tc>
        <w:tc>
          <w:tcPr/>
          <w:p>
            <w:pPr>
              <w:pStyle w:val="Compact"/>
              <w:jc w:val="left"/>
            </w:pPr>
            <w:r>
              <w:t xml:space="preserve">Ecoinvent 3.10 / Electronics PEF</w:t>
            </w:r>
          </w:p>
        </w:tc>
        <w:tc>
          <w:tcPr/>
          <w:p>
            <w:pPr>
              <w:pStyle w:val="Compact"/>
              <w:jc w:val="left"/>
            </w:pPr>
            <w:r>
              <w:t xml:space="preserve">1.693</w:t>
            </w:r>
          </w:p>
        </w:tc>
        <w:tc>
          <w:tcPr/>
          <w:p>
            <w:pPr>
              <w:pStyle w:val="Compact"/>
              <w:jc w:val="left"/>
            </w:pPr>
            <w:r>
              <w:t xml:space="preserve">6.92%</w:t>
            </w:r>
          </w:p>
        </w:tc>
      </w:tr>
      <w:tr>
        <w:tc>
          <w:tcPr/>
          <w:p>
            <w:pPr>
              <w:pStyle w:val="Compact"/>
              <w:jc w:val="left"/>
            </w:pPr>
            <w:r>
              <w:t xml:space="preserve">Main SoC Processor (Silicon Die &amp; Packaging)</w:t>
            </w:r>
          </w:p>
        </w:tc>
        <w:tc>
          <w:tcPr/>
          <w:p>
            <w:pPr>
              <w:pStyle w:val="Compact"/>
              <w:jc w:val="left"/>
            </w:pPr>
            <w:r>
              <w:t xml:space="preserve">0.0185 kg (1 unit)</w:t>
            </w:r>
          </w:p>
        </w:tc>
        <w:tc>
          <w:tcPr/>
          <w:p>
            <w:pPr>
              <w:pStyle w:val="Compact"/>
              <w:jc w:val="left"/>
            </w:pPr>
            <w:r>
              <w:t xml:space="preserve">485.00 kg CO</w:t>
            </w:r>
            <w:r>
              <w:rPr>
                <w:vertAlign w:val="subscript"/>
              </w:rPr>
              <w:t xml:space="preserve">2</w:t>
            </w:r>
            <w:r>
              <w:t xml:space="preserve">e / kg die</w:t>
            </w:r>
          </w:p>
        </w:tc>
        <w:tc>
          <w:tcPr/>
          <w:p>
            <w:pPr>
              <w:pStyle w:val="Compact"/>
              <w:jc w:val="left"/>
            </w:pPr>
            <w:r>
              <w:t xml:space="preserve">IMEC / Semiconductor LCA 2025</w:t>
            </w:r>
          </w:p>
        </w:tc>
        <w:tc>
          <w:tcPr/>
          <w:p>
            <w:pPr>
              <w:pStyle w:val="Compact"/>
              <w:jc w:val="left"/>
            </w:pPr>
            <w:r>
              <w:t xml:space="preserve">8.973</w:t>
            </w:r>
          </w:p>
        </w:tc>
        <w:tc>
          <w:tcPr/>
          <w:p>
            <w:pPr>
              <w:pStyle w:val="Compact"/>
              <w:jc w:val="left"/>
            </w:pPr>
            <w:r>
              <w:t xml:space="preserve">36.68%</w:t>
            </w:r>
          </w:p>
        </w:tc>
      </w:tr>
      <w:tr>
        <w:tc>
          <w:tcPr/>
          <w:p>
            <w:pPr>
              <w:pStyle w:val="Compact"/>
              <w:jc w:val="left"/>
            </w:pPr>
            <w:r>
              <w:t xml:space="preserve">Memory Subsystem (DRAM &amp; eMMC)</w:t>
            </w:r>
          </w:p>
        </w:tc>
        <w:tc>
          <w:tcPr/>
          <w:p>
            <w:pPr>
              <w:pStyle w:val="Compact"/>
              <w:jc w:val="left"/>
            </w:pPr>
            <w:r>
              <w:t xml:space="preserve">0.0120 kg</w:t>
            </w:r>
          </w:p>
        </w:tc>
        <w:tc>
          <w:tcPr/>
          <w:p>
            <w:pPr>
              <w:pStyle w:val="Compact"/>
              <w:jc w:val="left"/>
            </w:pPr>
            <w:r>
              <w:t xml:space="preserve">320.00 kg CO</w:t>
            </w:r>
            <w:r>
              <w:rPr>
                <w:vertAlign w:val="subscript"/>
              </w:rPr>
              <w:t xml:space="preserve">2</w:t>
            </w:r>
            <w:r>
              <w:t xml:space="preserve">e / kg</w:t>
            </w:r>
          </w:p>
        </w:tc>
        <w:tc>
          <w:tcPr/>
          <w:p>
            <w:pPr>
              <w:pStyle w:val="Compact"/>
              <w:jc w:val="left"/>
            </w:pPr>
            <w:r>
              <w:t xml:space="preserve">Semiconductor LCA Model</w:t>
            </w:r>
          </w:p>
        </w:tc>
        <w:tc>
          <w:tcPr/>
          <w:p>
            <w:pPr>
              <w:pStyle w:val="Compact"/>
              <w:jc w:val="left"/>
            </w:pPr>
            <w:r>
              <w:t xml:space="preserve">3.840</w:t>
            </w:r>
          </w:p>
        </w:tc>
        <w:tc>
          <w:tcPr/>
          <w:p>
            <w:pPr>
              <w:pStyle w:val="Compact"/>
              <w:jc w:val="left"/>
            </w:pPr>
            <w:r>
              <w:t xml:space="preserve">15.70%</w:t>
            </w:r>
          </w:p>
        </w:tc>
      </w:tr>
      <w:tr>
        <w:tc>
          <w:tcPr/>
          <w:p>
            <w:pPr>
              <w:pStyle w:val="Compact"/>
              <w:jc w:val="left"/>
            </w:pPr>
            <w:r>
              <w:t xml:space="preserve">Discrete Passives (Capacitors, Resistors)</w:t>
            </w:r>
          </w:p>
        </w:tc>
        <w:tc>
          <w:tcPr/>
          <w:p>
            <w:pPr>
              <w:pStyle w:val="Compact"/>
              <w:jc w:val="left"/>
            </w:pPr>
            <w:r>
              <w:t xml:space="preserve">0.0450 kg</w:t>
            </w:r>
          </w:p>
        </w:tc>
        <w:tc>
          <w:tcPr/>
          <w:p>
            <w:pPr>
              <w:pStyle w:val="Compact"/>
              <w:jc w:val="left"/>
            </w:pPr>
            <w:r>
              <w:t xml:space="preserve">24.800 kg CO</w:t>
            </w:r>
            <w:r>
              <w:rPr>
                <w:vertAlign w:val="subscript"/>
              </w:rPr>
              <w:t xml:space="preserve">2</w:t>
            </w:r>
            <w:r>
              <w:t xml:space="preserve">e / kg</w:t>
            </w:r>
          </w:p>
        </w:tc>
        <w:tc>
          <w:tcPr/>
          <w:p>
            <w:pPr>
              <w:pStyle w:val="Compact"/>
              <w:jc w:val="left"/>
            </w:pPr>
            <w:r>
              <w:t xml:space="preserve">Ecoinvent 3.10</w:t>
            </w:r>
          </w:p>
        </w:tc>
        <w:tc>
          <w:tcPr/>
          <w:p>
            <w:pPr>
              <w:pStyle w:val="Compact"/>
              <w:jc w:val="left"/>
            </w:pPr>
            <w:r>
              <w:t xml:space="preserve">1.116</w:t>
            </w:r>
          </w:p>
        </w:tc>
        <w:tc>
          <w:tcPr/>
          <w:p>
            <w:pPr>
              <w:pStyle w:val="Compact"/>
              <w:jc w:val="left"/>
            </w:pPr>
            <w:r>
              <w:t xml:space="preserve">4.56%</w:t>
            </w:r>
          </w:p>
        </w:tc>
      </w:tr>
      <w:tr>
        <w:tc>
          <w:tcPr/>
          <w:p>
            <w:pPr>
              <w:pStyle w:val="Compact"/>
              <w:jc w:val="left"/>
            </w:pPr>
            <w:r>
              <w:t xml:space="preserve">Connectors &amp; Headers (PBT GF30 + Cu)</w:t>
            </w:r>
          </w:p>
        </w:tc>
        <w:tc>
          <w:tcPr/>
          <w:p>
            <w:pPr>
              <w:pStyle w:val="Compact"/>
              <w:jc w:val="left"/>
            </w:pPr>
            <w:r>
              <w:t xml:space="preserve">0.0380 kg</w:t>
            </w:r>
          </w:p>
        </w:tc>
        <w:tc>
          <w:tcPr/>
          <w:p>
            <w:pPr>
              <w:pStyle w:val="Compact"/>
              <w:jc w:val="left"/>
            </w:pPr>
            <w:r>
              <w:t xml:space="preserve">7.8000 kg CO</w:t>
            </w:r>
            <w:r>
              <w:rPr>
                <w:vertAlign w:val="subscript"/>
              </w:rPr>
              <w:t xml:space="preserve">2</w:t>
            </w:r>
            <w:r>
              <w:t xml:space="preserve">e / kg</w:t>
            </w:r>
          </w:p>
        </w:tc>
        <w:tc>
          <w:tcPr/>
          <w:p>
            <w:pPr>
              <w:pStyle w:val="Compact"/>
              <w:jc w:val="left"/>
            </w:pPr>
            <w:r>
              <w:t xml:space="preserve">Ecoinvent 3.10</w:t>
            </w:r>
          </w:p>
        </w:tc>
        <w:tc>
          <w:tcPr/>
          <w:p>
            <w:pPr>
              <w:pStyle w:val="Compact"/>
              <w:jc w:val="left"/>
            </w:pPr>
            <w:r>
              <w:t xml:space="preserve">0.296</w:t>
            </w:r>
          </w:p>
        </w:tc>
        <w:tc>
          <w:tcPr/>
          <w:p>
            <w:pPr>
              <w:pStyle w:val="Compact"/>
              <w:jc w:val="left"/>
            </w:pPr>
            <w:r>
              <w:t xml:space="preserve">1.21%</w:t>
            </w:r>
          </w:p>
        </w:tc>
      </w:tr>
      <w:tr>
        <w:tc>
          <w:tcPr/>
          <w:p>
            <w:pPr>
              <w:pStyle w:val="Compact"/>
              <w:jc w:val="left"/>
            </w:pPr>
            <w:r>
              <w:t xml:space="preserve">Lead-Free Solder Paste (SAC305)</w:t>
            </w:r>
          </w:p>
        </w:tc>
        <w:tc>
          <w:tcPr/>
          <w:p>
            <w:pPr>
              <w:pStyle w:val="Compact"/>
              <w:jc w:val="left"/>
            </w:pPr>
            <w:r>
              <w:t xml:space="preserve">0.0180 kg</w:t>
            </w:r>
          </w:p>
        </w:tc>
        <w:tc>
          <w:tcPr/>
          <w:p>
            <w:pPr>
              <w:pStyle w:val="Compact"/>
              <w:jc w:val="left"/>
            </w:pPr>
            <w:r>
              <w:t xml:space="preserve">14.200 kg CO</w:t>
            </w:r>
            <w:r>
              <w:rPr>
                <w:vertAlign w:val="subscript"/>
              </w:rPr>
              <w:t xml:space="preserve">2</w:t>
            </w:r>
            <w:r>
              <w:t xml:space="preserve">e / kg</w:t>
            </w:r>
          </w:p>
        </w:tc>
        <w:tc>
          <w:tcPr/>
          <w:p>
            <w:pPr>
              <w:pStyle w:val="Compact"/>
              <w:jc w:val="left"/>
            </w:pPr>
            <w:r>
              <w:t xml:space="preserve">Ecoinvent 3.10 (Tin/Silver mix)</w:t>
            </w:r>
          </w:p>
        </w:tc>
        <w:tc>
          <w:tcPr/>
          <w:p>
            <w:pPr>
              <w:pStyle w:val="Compact"/>
              <w:jc w:val="left"/>
            </w:pPr>
            <w:r>
              <w:t xml:space="preserve">0.256</w:t>
            </w:r>
          </w:p>
        </w:tc>
        <w:tc>
          <w:tcPr/>
          <w:p>
            <w:pPr>
              <w:pStyle w:val="Compact"/>
              <w:jc w:val="left"/>
            </w:pPr>
            <w:r>
              <w:t xml:space="preserve">1.05%</w:t>
            </w:r>
          </w:p>
        </w:tc>
      </w:tr>
      <w:tr>
        <w:tc>
          <w:tcPr/>
          <w:p>
            <w:pPr>
              <w:pStyle w:val="Compact"/>
              <w:jc w:val="left"/>
            </w:pPr>
            <w:r>
              <w:t xml:space="preserve">Silicone Gasket &amp; Stainless Fasteners</w:t>
            </w:r>
          </w:p>
        </w:tc>
        <w:tc>
          <w:tcPr/>
          <w:p>
            <w:pPr>
              <w:pStyle w:val="Compact"/>
              <w:jc w:val="left"/>
            </w:pPr>
            <w:r>
              <w:t xml:space="preserve">0.0290 kg</w:t>
            </w:r>
          </w:p>
        </w:tc>
        <w:tc>
          <w:tcPr/>
          <w:p>
            <w:pPr>
              <w:pStyle w:val="Compact"/>
              <w:jc w:val="left"/>
            </w:pPr>
            <w:r>
              <w:t xml:space="preserve">5.8000 kg CO</w:t>
            </w:r>
            <w:r>
              <w:rPr>
                <w:vertAlign w:val="subscript"/>
              </w:rPr>
              <w:t xml:space="preserve">2</w:t>
            </w:r>
            <w:r>
              <w:t xml:space="preserve">e / kg</w:t>
            </w:r>
          </w:p>
        </w:tc>
        <w:tc>
          <w:tcPr/>
          <w:p>
            <w:pPr>
              <w:pStyle w:val="Compact"/>
              <w:jc w:val="left"/>
            </w:pPr>
            <w:r>
              <w:t xml:space="preserve">Ecoinvent 3.10</w:t>
            </w:r>
          </w:p>
        </w:tc>
        <w:tc>
          <w:tcPr/>
          <w:p>
            <w:pPr>
              <w:pStyle w:val="Compact"/>
              <w:jc w:val="left"/>
            </w:pPr>
            <w:r>
              <w:t xml:space="preserve">0.168</w:t>
            </w:r>
          </w:p>
        </w:tc>
        <w:tc>
          <w:tcPr/>
          <w:p>
            <w:pPr>
              <w:pStyle w:val="Compact"/>
              <w:jc w:val="left"/>
            </w:pPr>
            <w:r>
              <w:t xml:space="preserve">0.69%</w:t>
            </w:r>
          </w:p>
        </w:tc>
      </w:tr>
      <w:tr>
        <w:tc>
          <w:tcPr/>
          <w:p>
            <w:pPr>
              <w:pStyle w:val="Compact"/>
              <w:jc w:val="left"/>
            </w:pPr>
            <w:r>
              <w:t xml:space="preserve">Packaging LDPE Film &amp; Synthetic Labels</w:t>
            </w:r>
          </w:p>
        </w:tc>
        <w:tc>
          <w:tcPr/>
          <w:p>
            <w:pPr>
              <w:pStyle w:val="Compact"/>
              <w:jc w:val="left"/>
            </w:pPr>
            <w:r>
              <w:t xml:space="preserve">0.0065 kg</w:t>
            </w:r>
          </w:p>
        </w:tc>
        <w:tc>
          <w:tcPr/>
          <w:p>
            <w:pPr>
              <w:pStyle w:val="Compact"/>
              <w:jc w:val="left"/>
            </w:pPr>
            <w:r>
              <w:t xml:space="preserve">2.8500 kg CO</w:t>
            </w:r>
            <w:r>
              <w:rPr>
                <w:vertAlign w:val="subscript"/>
              </w:rPr>
              <w:t xml:space="preserve">2</w:t>
            </w:r>
            <w:r>
              <w:t xml:space="preserve">e / kg</w:t>
            </w:r>
          </w:p>
        </w:tc>
        <w:tc>
          <w:tcPr/>
          <w:p>
            <w:pPr>
              <w:pStyle w:val="Compact"/>
              <w:jc w:val="left"/>
            </w:pPr>
            <w:r>
              <w:t xml:space="preserve">PlasticsEurope / DEFRA</w:t>
            </w:r>
          </w:p>
        </w:tc>
        <w:tc>
          <w:tcPr/>
          <w:p>
            <w:pPr>
              <w:pStyle w:val="Compact"/>
              <w:jc w:val="left"/>
            </w:pPr>
            <w:r>
              <w:t xml:space="preserve">0.019</w:t>
            </w:r>
          </w:p>
        </w:tc>
        <w:tc>
          <w:tcPr/>
          <w:p>
            <w:pPr>
              <w:pStyle w:val="Compact"/>
              <w:jc w:val="left"/>
            </w:pPr>
            <w:r>
              <w:t xml:space="preserve">0.08%</w:t>
            </w:r>
          </w:p>
        </w:tc>
      </w:tr>
      <w:tr>
        <w:tc>
          <w:tcPr/>
          <w:p>
            <w:pPr>
              <w:pStyle w:val="Compact"/>
              <w:jc w:val="left"/>
            </w:pPr>
            <w:r>
              <w:t xml:space="preserve">Industrial Process Consumable (Liquid N</w:t>
            </w:r>
            <w:r>
              <w:rPr>
                <w:vertAlign w:val="subscript"/>
              </w:rPr>
              <w:t xml:space="preserve">2</w:t>
            </w:r>
            <w:r>
              <w:t xml:space="preserve">)</w:t>
            </w:r>
          </w:p>
        </w:tc>
        <w:tc>
          <w:tcPr/>
          <w:p>
            <w:pPr>
              <w:pStyle w:val="Compact"/>
              <w:jc w:val="left"/>
            </w:pPr>
            <w:r>
              <w:t xml:space="preserve">0.0820 kg</w:t>
            </w:r>
          </w:p>
        </w:tc>
        <w:tc>
          <w:tcPr/>
          <w:p>
            <w:pPr>
              <w:pStyle w:val="Compact"/>
              <w:jc w:val="left"/>
            </w:pPr>
            <w:r>
              <w:t xml:space="preserve">0.4800 kg CO</w:t>
            </w:r>
            <w:r>
              <w:rPr>
                <w:vertAlign w:val="subscript"/>
              </w:rPr>
              <w:t xml:space="preserve">2</w:t>
            </w:r>
            <w:r>
              <w:t xml:space="preserve">e / kg</w:t>
            </w:r>
          </w:p>
        </w:tc>
        <w:tc>
          <w:tcPr/>
          <w:p>
            <w:pPr>
              <w:pStyle w:val="Compact"/>
              <w:jc w:val="left"/>
            </w:pPr>
            <w:r>
              <w:t xml:space="preserve">Ecoinvent 3.10</w:t>
            </w:r>
          </w:p>
        </w:tc>
        <w:tc>
          <w:tcPr/>
          <w:p>
            <w:pPr>
              <w:pStyle w:val="Compact"/>
              <w:jc w:val="left"/>
            </w:pPr>
            <w:r>
              <w:t xml:space="preserve">0.039</w:t>
            </w:r>
          </w:p>
        </w:tc>
        <w:tc>
          <w:tcPr/>
          <w:p>
            <w:pPr>
              <w:pStyle w:val="Compact"/>
              <w:jc w:val="left"/>
            </w:pPr>
            <w:r>
              <w:t xml:space="preserve">0.16%</w:t>
            </w:r>
          </w:p>
        </w:tc>
      </w:tr>
      <w:tr>
        <w:tc>
          <w:tcPr>
            <w:gridSpan w:val="6"/>
          </w:tcPr>
          <w:p>
            <w:pPr>
              <w:pStyle w:val="Compact"/>
              <w:jc w:val="left"/>
            </w:pPr>
            <w:r>
              <w:t xml:space="preserve">GHG PROTOCOL 2026 LAND SECTOR &amp; REMOVALS (LSR): Packaging Paperboard</w:t>
            </w:r>
          </w:p>
        </w:tc>
      </w:tr>
      <w:tr>
        <w:tc>
          <w:tcPr/>
          <w:p>
            <w:pPr>
              <w:pStyle w:val="Compact"/>
              <w:jc w:val="left"/>
            </w:pPr>
            <w:r>
              <w:t xml:space="preserve">Corrugated Packaging: Fossil Processing Emissions</w:t>
            </w:r>
          </w:p>
        </w:tc>
        <w:tc>
          <w:tcPr/>
          <w:p>
            <w:pPr>
              <w:pStyle w:val="Compact"/>
              <w:jc w:val="left"/>
            </w:pPr>
            <w:r>
              <w:t xml:space="preserve">0.180 kg</w:t>
            </w:r>
          </w:p>
        </w:tc>
        <w:tc>
          <w:tcPr/>
          <w:p>
            <w:pPr>
              <w:pStyle w:val="Compact"/>
              <w:jc w:val="left"/>
            </w:pPr>
            <w:r>
              <w:t xml:space="preserve">0.9800 kg CO</w:t>
            </w:r>
            <w:r>
              <w:rPr>
                <w:vertAlign w:val="subscript"/>
              </w:rPr>
              <w:t xml:space="preserve">2</w:t>
            </w:r>
            <w:r>
              <w:t xml:space="preserve">e / kg</w:t>
            </w:r>
          </w:p>
        </w:tc>
        <w:tc>
          <w:tcPr/>
          <w:p>
            <w:pPr>
              <w:pStyle w:val="Compact"/>
              <w:jc w:val="left"/>
            </w:pPr>
            <w:r>
              <w:t xml:space="preserve">FEFCO 2024 / DEFRA 2025</w:t>
            </w:r>
          </w:p>
        </w:tc>
        <w:tc>
          <w:tcPr/>
          <w:p>
            <w:pPr>
              <w:pStyle w:val="Compact"/>
              <w:jc w:val="left"/>
            </w:pPr>
            <w:r>
              <w:t xml:space="preserve">0.176</w:t>
            </w:r>
          </w:p>
        </w:tc>
        <w:tc>
          <w:tcPr/>
          <w:p>
            <w:pPr>
              <w:pStyle w:val="Compact"/>
              <w:jc w:val="left"/>
            </w:pPr>
            <w:r>
              <w:t xml:space="preserve">0.72%</w:t>
            </w:r>
          </w:p>
        </w:tc>
      </w:tr>
      <w:tr>
        <w:tc>
          <w:tcPr/>
          <w:p>
            <w:pPr>
              <w:pStyle w:val="Compact"/>
              <w:jc w:val="left"/>
            </w:pPr>
            <w:r>
              <w:t xml:space="preserve">Corrugated Packaging: Biogenic Carbon Intake &amp; Removals</w:t>
            </w:r>
          </w:p>
        </w:tc>
        <w:tc>
          <w:tcPr/>
          <w:p>
            <w:pPr>
              <w:pStyle w:val="Compact"/>
              <w:jc w:val="left"/>
            </w:pPr>
            <w:r>
              <w:t xml:space="preserve">0.180 kg</w:t>
            </w:r>
          </w:p>
        </w:tc>
        <w:tc>
          <w:tcPr/>
          <w:p>
            <w:pPr>
              <w:pStyle w:val="Compact"/>
              <w:jc w:val="left"/>
            </w:pPr>
            <w:r>
              <w:t xml:space="preserve">-1.100 kg CO</w:t>
            </w:r>
            <w:r>
              <w:rPr>
                <w:vertAlign w:val="subscript"/>
              </w:rPr>
              <w:t xml:space="preserve">2</w:t>
            </w:r>
            <w:r>
              <w:t xml:space="preserve">e / kg</w:t>
            </w:r>
          </w:p>
        </w:tc>
        <w:tc>
          <w:tcPr/>
          <w:p>
            <w:pPr>
              <w:pStyle w:val="Compact"/>
              <w:jc w:val="left"/>
            </w:pPr>
            <w:r>
              <w:t xml:space="preserve">GHG Protocol 2026 LSR Std</w:t>
            </w:r>
          </w:p>
        </w:tc>
        <w:tc>
          <w:tcPr/>
          <w:p>
            <w:pPr>
              <w:pStyle w:val="Compact"/>
              <w:jc w:val="left"/>
            </w:pPr>
            <w:r>
              <w:t xml:space="preserve">-0.198</w:t>
            </w:r>
          </w:p>
        </w:tc>
        <w:tc>
          <w:tcPr/>
          <w:p>
            <w:pPr>
              <w:pStyle w:val="Compact"/>
              <w:jc w:val="left"/>
            </w:pPr>
            <w:r>
              <w:t xml:space="preserve">-0.81%</w:t>
            </w:r>
          </w:p>
        </w:tc>
      </w:tr>
      <w:tr>
        <w:tc>
          <w:tcPr/>
          <w:p>
            <w:pPr>
              <w:pStyle w:val="Compact"/>
              <w:jc w:val="left"/>
            </w:pPr>
            <w:r>
              <w:t xml:space="preserve">Corrugated Packaging: Land Use &amp; Biogenic Release</w:t>
            </w:r>
          </w:p>
        </w:tc>
        <w:tc>
          <w:tcPr/>
          <w:p>
            <w:pPr>
              <w:pStyle w:val="Compact"/>
              <w:jc w:val="left"/>
            </w:pPr>
            <w:r>
              <w:t xml:space="preserve">0.180 kg</w:t>
            </w:r>
          </w:p>
        </w:tc>
        <w:tc>
          <w:tcPr/>
          <w:p>
            <w:pPr>
              <w:pStyle w:val="Compact"/>
              <w:jc w:val="left"/>
            </w:pPr>
            <w:r>
              <w:t xml:space="preserve">+0.580 kg CO</w:t>
            </w:r>
            <w:r>
              <w:rPr>
                <w:vertAlign w:val="subscript"/>
              </w:rPr>
              <w:t xml:space="preserve">2</w:t>
            </w:r>
            <w:r>
              <w:t xml:space="preserve">e / kg</w:t>
            </w:r>
          </w:p>
        </w:tc>
        <w:tc>
          <w:tcPr/>
          <w:p>
            <w:pPr>
              <w:pStyle w:val="Compact"/>
              <w:jc w:val="left"/>
            </w:pPr>
            <w:r>
              <w:t xml:space="preserve">GHG Protocol 2026 LSR Std</w:t>
            </w:r>
          </w:p>
        </w:tc>
        <w:tc>
          <w:tcPr/>
          <w:p>
            <w:pPr>
              <w:pStyle w:val="Compact"/>
              <w:jc w:val="left"/>
            </w:pPr>
            <w:r>
              <w:t xml:space="preserve">+0.104</w:t>
            </w:r>
          </w:p>
        </w:tc>
        <w:tc>
          <w:tcPr/>
          <w:p>
            <w:pPr>
              <w:pStyle w:val="Compact"/>
              <w:jc w:val="left"/>
            </w:pPr>
            <w:r>
              <w:t xml:space="preserve">+0.43%</w:t>
            </w:r>
          </w:p>
        </w:tc>
      </w:tr>
      <w:tr>
        <w:tc>
          <w:tcPr>
            <w:gridSpan w:val="6"/>
          </w:tcPr>
          <w:p>
            <w:pPr>
              <w:pStyle w:val="Compact"/>
              <w:jc w:val="left"/>
            </w:pPr>
            <w:r>
              <w:t xml:space="preserve">SCOPE 3, CATEGORY 4: Upstream Transportation &amp; Distribution</w:t>
            </w:r>
          </w:p>
        </w:tc>
      </w:tr>
      <w:tr>
        <w:tc>
          <w:tcPr/>
          <w:p>
            <w:pPr>
              <w:pStyle w:val="Compact"/>
              <w:jc w:val="left"/>
            </w:pPr>
            <w:r>
              <w:t xml:space="preserve">Tier-1 Road Freight (Heavy Duty Truck, Euro 6)</w:t>
            </w:r>
          </w:p>
        </w:tc>
        <w:tc>
          <w:tcPr/>
          <w:p>
            <w:pPr>
              <w:pStyle w:val="Compact"/>
              <w:jc w:val="left"/>
            </w:pPr>
            <w:r>
              <w:t xml:space="preserve">0.520 tkm</w:t>
            </w:r>
          </w:p>
        </w:tc>
        <w:tc>
          <w:tcPr/>
          <w:p>
            <w:pPr>
              <w:pStyle w:val="Compact"/>
              <w:jc w:val="left"/>
            </w:pPr>
            <w:r>
              <w:t xml:space="preserve">0.0980 kg CO</w:t>
            </w:r>
            <w:r>
              <w:rPr>
                <w:vertAlign w:val="subscript"/>
              </w:rPr>
              <w:t xml:space="preserve">2</w:t>
            </w:r>
            <w:r>
              <w:t xml:space="preserve">e / tkm</w:t>
            </w:r>
          </w:p>
        </w:tc>
        <w:tc>
          <w:tcPr/>
          <w:p>
            <w:pPr>
              <w:pStyle w:val="Compact"/>
              <w:jc w:val="left"/>
            </w:pPr>
            <w:r>
              <w:t xml:space="preserve">GLEC Framework / DEFRA 2025</w:t>
            </w:r>
          </w:p>
        </w:tc>
        <w:tc>
          <w:tcPr/>
          <w:p>
            <w:pPr>
              <w:pStyle w:val="Compact"/>
              <w:jc w:val="left"/>
            </w:pPr>
            <w:r>
              <w:t xml:space="preserve">0.051</w:t>
            </w:r>
          </w:p>
        </w:tc>
        <w:tc>
          <w:tcPr/>
          <w:p>
            <w:pPr>
              <w:pStyle w:val="Compact"/>
              <w:jc w:val="left"/>
            </w:pPr>
            <w:r>
              <w:t xml:space="preserve">0.21%</w:t>
            </w:r>
          </w:p>
        </w:tc>
      </w:tr>
      <w:tr>
        <w:tc>
          <w:tcPr/>
          <w:p>
            <w:pPr>
              <w:pStyle w:val="Compact"/>
              <w:jc w:val="left"/>
            </w:pPr>
            <w:r>
              <w:t xml:space="preserve">Component Air Freight Express (Critical Semis)</w:t>
            </w:r>
          </w:p>
        </w:tc>
        <w:tc>
          <w:tcPr/>
          <w:p>
            <w:pPr>
              <w:pStyle w:val="Compact"/>
              <w:jc w:val="left"/>
            </w:pPr>
            <w:r>
              <w:t xml:space="preserve">0.018 tkm</w:t>
            </w:r>
          </w:p>
        </w:tc>
        <w:tc>
          <w:tcPr/>
          <w:p>
            <w:pPr>
              <w:pStyle w:val="Compact"/>
              <w:jc w:val="left"/>
            </w:pPr>
            <w:r>
              <w:t xml:space="preserve">1.4800 kg CO</w:t>
            </w:r>
            <w:r>
              <w:rPr>
                <w:vertAlign w:val="subscript"/>
              </w:rPr>
              <w:t xml:space="preserve">2</w:t>
            </w:r>
            <w:r>
              <w:t xml:space="preserve">e / tkm</w:t>
            </w:r>
          </w:p>
        </w:tc>
        <w:tc>
          <w:tcPr/>
          <w:p>
            <w:pPr>
              <w:pStyle w:val="Compact"/>
              <w:jc w:val="left"/>
            </w:pPr>
            <w:r>
              <w:t xml:space="preserve">DEFRA 2025 (w/ RF)</w:t>
            </w:r>
          </w:p>
        </w:tc>
        <w:tc>
          <w:tcPr/>
          <w:p>
            <w:pPr>
              <w:pStyle w:val="Compact"/>
              <w:jc w:val="left"/>
            </w:pPr>
            <w:r>
              <w:t xml:space="preserve">0.027</w:t>
            </w:r>
          </w:p>
        </w:tc>
        <w:tc>
          <w:tcPr/>
          <w:p>
            <w:pPr>
              <w:pStyle w:val="Compact"/>
              <w:jc w:val="left"/>
            </w:pPr>
            <w:r>
              <w:t xml:space="preserve">0.11%</w:t>
            </w:r>
          </w:p>
        </w:tc>
      </w:tr>
      <w:tr>
        <w:tc>
          <w:tcPr>
            <w:gridSpan w:val="6"/>
          </w:tcPr>
          <w:p>
            <w:pPr>
              <w:pStyle w:val="Compact"/>
              <w:jc w:val="left"/>
            </w:pPr>
            <w:r>
              <w:t xml:space="preserve">SCOPE 3, CATEGORY 3 &amp; 5: Well-to-Tank (WTT) &amp; Operational Waste</w:t>
            </w:r>
          </w:p>
        </w:tc>
      </w:tr>
      <w:tr>
        <w:tc>
          <w:tcPr/>
          <w:p>
            <w:pPr>
              <w:pStyle w:val="Compact"/>
              <w:jc w:val="left"/>
            </w:pPr>
            <w:r>
              <w:t xml:space="preserve">WTT Upstream Fuels &amp; Grid Transmission Losses</w:t>
            </w:r>
          </w:p>
        </w:tc>
        <w:tc>
          <w:tcPr/>
          <w:p>
            <w:pPr>
              <w:pStyle w:val="Compact"/>
              <w:jc w:val="left"/>
            </w:pPr>
            <w:r>
              <w:t xml:space="preserve">3.850 kWh</w:t>
            </w:r>
          </w:p>
        </w:tc>
        <w:tc>
          <w:tcPr/>
          <w:p>
            <w:pPr>
              <w:pStyle w:val="Compact"/>
              <w:jc w:val="left"/>
            </w:pPr>
            <w:r>
              <w:t xml:space="preserve">0.0780 kg CO</w:t>
            </w:r>
            <w:r>
              <w:rPr>
                <w:vertAlign w:val="subscript"/>
              </w:rPr>
              <w:t xml:space="preserve">2</w:t>
            </w:r>
            <w:r>
              <w:t xml:space="preserve">e / kWh</w:t>
            </w:r>
          </w:p>
        </w:tc>
        <w:tc>
          <w:tcPr/>
          <w:p>
            <w:pPr>
              <w:pStyle w:val="Compact"/>
              <w:jc w:val="left"/>
            </w:pPr>
            <w:r>
              <w:t xml:space="preserve">DEFRA 2025 WTT factors</w:t>
            </w:r>
          </w:p>
        </w:tc>
        <w:tc>
          <w:tcPr/>
          <w:p>
            <w:pPr>
              <w:pStyle w:val="Compact"/>
              <w:jc w:val="left"/>
            </w:pPr>
            <w:r>
              <w:t xml:space="preserve">0.300</w:t>
            </w:r>
          </w:p>
        </w:tc>
        <w:tc>
          <w:tcPr/>
          <w:p>
            <w:pPr>
              <w:pStyle w:val="Compact"/>
              <w:jc w:val="left"/>
            </w:pPr>
            <w:r>
              <w:t xml:space="preserve">1.23%</w:t>
            </w:r>
          </w:p>
        </w:tc>
      </w:tr>
      <w:tr>
        <w:tc>
          <w:tcPr/>
          <w:p>
            <w:pPr>
              <w:pStyle w:val="Compact"/>
              <w:jc w:val="left"/>
            </w:pPr>
            <w:r>
              <w:t xml:space="preserve">Manufacturing Scrap Recycling &amp; Waste Treatment</w:t>
            </w:r>
          </w:p>
        </w:tc>
        <w:tc>
          <w:tcPr/>
          <w:p>
            <w:pPr>
              <w:pStyle w:val="Compact"/>
              <w:jc w:val="left"/>
            </w:pPr>
            <w:r>
              <w:t xml:space="preserve">0.035 kg waste</w:t>
            </w:r>
          </w:p>
        </w:tc>
        <w:tc>
          <w:tcPr/>
          <w:p>
            <w:pPr>
              <w:pStyle w:val="Compact"/>
              <w:jc w:val="left"/>
            </w:pPr>
            <w:r>
              <w:t xml:space="preserve">0.4500 kg CO</w:t>
            </w:r>
            <w:r>
              <w:rPr>
                <w:vertAlign w:val="subscript"/>
              </w:rPr>
              <w:t xml:space="preserve">2</w:t>
            </w:r>
            <w:r>
              <w:t xml:space="preserve">e / kg</w:t>
            </w:r>
          </w:p>
        </w:tc>
        <w:tc>
          <w:tcPr/>
          <w:p>
            <w:pPr>
              <w:pStyle w:val="Compact"/>
              <w:jc w:val="left"/>
            </w:pPr>
            <w:r>
              <w:t xml:space="preserve">Ecoinvent 3.10</w:t>
            </w:r>
          </w:p>
        </w:tc>
        <w:tc>
          <w:tcPr/>
          <w:p>
            <w:pPr>
              <w:pStyle w:val="Compact"/>
              <w:jc w:val="left"/>
            </w:pPr>
            <w:r>
              <w:t xml:space="preserve">0.016</w:t>
            </w:r>
          </w:p>
        </w:tc>
        <w:tc>
          <w:tcPr/>
          <w:p>
            <w:pPr>
              <w:pStyle w:val="Compact"/>
              <w:jc w:val="left"/>
            </w:pPr>
            <w:r>
              <w:t xml:space="preserve">0.07%</w:t>
            </w:r>
          </w:p>
        </w:tc>
      </w:tr>
      <w:tr>
        <w:tc>
          <w:tcPr>
            <w:gridSpan w:val="4"/>
          </w:tcPr>
          <w:p>
            <w:pPr>
              <w:pStyle w:val="Compact"/>
              <w:jc w:val="left"/>
            </w:pPr>
            <w:r>
              <w:t xml:space="preserve">Subtotal Scope 3 Upstream Value Chain (Categories 1, 3, 4, 5 + LSR)</w:t>
            </w:r>
          </w:p>
        </w:tc>
        <w:tc>
          <w:tcPr/>
          <w:p>
            <w:pPr>
              <w:pStyle w:val="Compact"/>
              <w:jc w:val="left"/>
            </w:pPr>
            <w:r>
              <w:t xml:space="preserve">23.151</w:t>
            </w:r>
          </w:p>
        </w:tc>
        <w:tc>
          <w:tcPr/>
          <w:p>
            <w:pPr>
              <w:pStyle w:val="Compact"/>
              <w:jc w:val="left"/>
            </w:pPr>
            <w:r>
              <w:t xml:space="preserve">94.63%</w:t>
            </w:r>
          </w:p>
        </w:tc>
      </w:tr>
      <w:tr>
        <w:tc>
          <w:tcPr>
            <w:gridSpan w:val="4"/>
          </w:tcPr>
          <w:p>
            <w:pPr>
              <w:pStyle w:val="Compact"/>
              <w:jc w:val="left"/>
            </w:pPr>
            <w:r>
              <w:t xml:space="preserve">TOTAL NET PRODUCT CARBON FOOTPRINT (Cradle-to-Gate)</w:t>
            </w:r>
          </w:p>
        </w:tc>
        <w:tc>
          <w:tcPr/>
          <w:p>
            <w:pPr>
              <w:pStyle w:val="Compact"/>
              <w:jc w:val="left"/>
            </w:pPr>
            <w:r>
              <w:t xml:space="preserve">24.464</w:t>
            </w:r>
          </w:p>
        </w:tc>
        <w:tc>
          <w:tcPr/>
          <w:p>
            <w:pPr>
              <w:pStyle w:val="Compact"/>
              <w:jc w:val="left"/>
            </w:pPr>
            <w:r>
              <w:t xml:space="preserve">100.00%</w:t>
            </w:r>
          </w:p>
        </w:tc>
      </w:tr>
    </w:tbl>
    <w:bookmarkEnd w:id="29"/>
    <w:bookmarkStart w:id="30" w:name="scope-summary-breakdown"/>
    <w:p>
      <w:pPr>
        <w:pStyle w:val="Heading2"/>
      </w:pPr>
      <w:r>
        <w:t xml:space="preserve">4.2 Scope Summary Breakdown</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GHG Scope Classification</w:t>
            </w:r>
          </w:p>
        </w:tc>
        <w:tc>
          <w:tcPr/>
          <w:p>
            <w:pPr>
              <w:pStyle w:val="Compact"/>
              <w:jc w:val="left"/>
            </w:pPr>
            <w:r>
              <w:t xml:space="preserve">Fossil Emissions (kg CO</w:t>
            </w:r>
            <w:r>
              <w:rPr>
                <w:vertAlign w:val="subscript"/>
              </w:rPr>
              <w:t xml:space="preserve">2</w:t>
            </w:r>
            <w:r>
              <w:t xml:space="preserve">e)</w:t>
            </w:r>
          </w:p>
        </w:tc>
        <w:tc>
          <w:tcPr/>
          <w:p>
            <w:pPr>
              <w:pStyle w:val="Compact"/>
              <w:jc w:val="left"/>
            </w:pPr>
            <w:r>
              <w:t xml:space="preserve">Biogenic Emissions (kg CO</w:t>
            </w:r>
            <w:r>
              <w:rPr>
                <w:vertAlign w:val="subscript"/>
              </w:rPr>
              <w:t xml:space="preserve">2</w:t>
            </w:r>
            <w:r>
              <w:t xml:space="preserve">e)</w:t>
            </w:r>
          </w:p>
        </w:tc>
        <w:tc>
          <w:tcPr/>
          <w:p>
            <w:pPr>
              <w:pStyle w:val="Compact"/>
              <w:jc w:val="left"/>
            </w:pPr>
            <w:r>
              <w:t xml:space="preserve">Biogenic Removals (kg CO</w:t>
            </w:r>
            <w:r>
              <w:rPr>
                <w:vertAlign w:val="subscript"/>
              </w:rPr>
              <w:t xml:space="preserve">2</w:t>
            </w:r>
            <w:r>
              <w:t xml:space="preserve">e)</w:t>
            </w:r>
          </w:p>
        </w:tc>
        <w:tc>
          <w:tcPr/>
          <w:p>
            <w:pPr>
              <w:pStyle w:val="Compact"/>
              <w:jc w:val="left"/>
            </w:pPr>
            <w:r>
              <w:t xml:space="preserve">Net Total (kg CO</w:t>
            </w:r>
            <w:r>
              <w:rPr>
                <w:vertAlign w:val="subscript"/>
              </w:rPr>
              <w:t xml:space="preserve">2</w:t>
            </w:r>
            <w:r>
              <w:t xml:space="preserve">e)</w:t>
            </w:r>
          </w:p>
        </w:tc>
        <w:tc>
          <w:tcPr/>
          <w:p>
            <w:pPr>
              <w:pStyle w:val="Compact"/>
              <w:jc w:val="left"/>
            </w:pPr>
            <w:r>
              <w:t xml:space="preserve">% of Net PCF</w:t>
            </w:r>
          </w:p>
        </w:tc>
      </w:tr>
      <w:tr>
        <w:tc>
          <w:tcPr/>
          <w:p>
            <w:pPr>
              <w:pStyle w:val="Compact"/>
              <w:jc w:val="left"/>
            </w:pPr>
            <w:r>
              <w:t xml:space="preserve">Scope 1: Direct Operations</w:t>
            </w:r>
          </w:p>
        </w:tc>
        <w:tc>
          <w:tcPr/>
          <w:p>
            <w:pPr>
              <w:pStyle w:val="Compact"/>
              <w:jc w:val="left"/>
            </w:pPr>
            <w:r>
              <w:t xml:space="preserve">0.119</w:t>
            </w:r>
          </w:p>
        </w:tc>
        <w:tc>
          <w:tcPr/>
          <w:p>
            <w:pPr>
              <w:pStyle w:val="Compact"/>
              <w:jc w:val="left"/>
            </w:pPr>
            <w:r>
              <w:t xml:space="preserve">0.000</w:t>
            </w:r>
          </w:p>
        </w:tc>
        <w:tc>
          <w:tcPr/>
          <w:p>
            <w:pPr>
              <w:pStyle w:val="Compact"/>
              <w:jc w:val="left"/>
            </w:pPr>
            <w:r>
              <w:t xml:space="preserve">0.000</w:t>
            </w:r>
          </w:p>
        </w:tc>
        <w:tc>
          <w:tcPr/>
          <w:p>
            <w:pPr>
              <w:pStyle w:val="Compact"/>
              <w:jc w:val="left"/>
            </w:pPr>
            <w:r>
              <w:t xml:space="preserve">0.119</w:t>
            </w:r>
          </w:p>
        </w:tc>
        <w:tc>
          <w:tcPr/>
          <w:p>
            <w:pPr>
              <w:pStyle w:val="Compact"/>
              <w:jc w:val="left"/>
            </w:pPr>
            <w:r>
              <w:t xml:space="preserve">0.49%</w:t>
            </w:r>
          </w:p>
        </w:tc>
      </w:tr>
      <w:tr>
        <w:tc>
          <w:tcPr/>
          <w:p>
            <w:pPr>
              <w:pStyle w:val="Compact"/>
              <w:jc w:val="left"/>
            </w:pPr>
            <w:r>
              <w:t xml:space="preserve">Scope 2: Purchased Utilities (Location-based)</w:t>
            </w:r>
          </w:p>
        </w:tc>
        <w:tc>
          <w:tcPr/>
          <w:p>
            <w:pPr>
              <w:pStyle w:val="Compact"/>
              <w:jc w:val="left"/>
            </w:pPr>
            <w:r>
              <w:t xml:space="preserve">1.194</w:t>
            </w:r>
          </w:p>
        </w:tc>
        <w:tc>
          <w:tcPr/>
          <w:p>
            <w:pPr>
              <w:pStyle w:val="Compact"/>
              <w:jc w:val="left"/>
            </w:pPr>
            <w:r>
              <w:t xml:space="preserve">0.000</w:t>
            </w:r>
          </w:p>
        </w:tc>
        <w:tc>
          <w:tcPr/>
          <w:p>
            <w:pPr>
              <w:pStyle w:val="Compact"/>
              <w:jc w:val="left"/>
            </w:pPr>
            <w:r>
              <w:t xml:space="preserve">0.000</w:t>
            </w:r>
          </w:p>
        </w:tc>
        <w:tc>
          <w:tcPr/>
          <w:p>
            <w:pPr>
              <w:pStyle w:val="Compact"/>
              <w:jc w:val="left"/>
            </w:pPr>
            <w:r>
              <w:t xml:space="preserve">1.194</w:t>
            </w:r>
          </w:p>
        </w:tc>
        <w:tc>
          <w:tcPr/>
          <w:p>
            <w:pPr>
              <w:pStyle w:val="Compact"/>
              <w:jc w:val="left"/>
            </w:pPr>
            <w:r>
              <w:t xml:space="preserve">4.88%</w:t>
            </w:r>
          </w:p>
        </w:tc>
      </w:tr>
      <w:tr>
        <w:tc>
          <w:tcPr/>
          <w:p>
            <w:pPr>
              <w:pStyle w:val="Compact"/>
              <w:jc w:val="left"/>
            </w:pPr>
            <w:r>
              <w:t xml:space="preserve">Scope 3: Upstream Supply Chain &amp; Logistics</w:t>
            </w:r>
          </w:p>
        </w:tc>
        <w:tc>
          <w:tcPr/>
          <w:p>
            <w:pPr>
              <w:pStyle w:val="Compact"/>
              <w:jc w:val="left"/>
            </w:pPr>
            <w:r>
              <w:t xml:space="preserve">23.245</w:t>
            </w:r>
          </w:p>
        </w:tc>
        <w:tc>
          <w:tcPr/>
          <w:p>
            <w:pPr>
              <w:pStyle w:val="Compact"/>
              <w:jc w:val="left"/>
            </w:pPr>
            <w:r>
              <w:t xml:space="preserve">0.104</w:t>
            </w:r>
          </w:p>
        </w:tc>
        <w:tc>
          <w:tcPr/>
          <w:p>
            <w:pPr>
              <w:pStyle w:val="Compact"/>
              <w:jc w:val="left"/>
            </w:pPr>
            <w:r>
              <w:t xml:space="preserve">-0.198</w:t>
            </w:r>
          </w:p>
        </w:tc>
        <w:tc>
          <w:tcPr/>
          <w:p>
            <w:pPr>
              <w:pStyle w:val="Compact"/>
              <w:jc w:val="left"/>
            </w:pPr>
            <w:r>
              <w:t xml:space="preserve">23.151</w:t>
            </w:r>
          </w:p>
        </w:tc>
        <w:tc>
          <w:tcPr/>
          <w:p>
            <w:pPr>
              <w:pStyle w:val="Compact"/>
              <w:jc w:val="left"/>
            </w:pPr>
            <w:r>
              <w:t xml:space="preserve">94.63%</w:t>
            </w:r>
          </w:p>
        </w:tc>
      </w:tr>
      <w:tr>
        <w:tc>
          <w:tcPr/>
          <w:p>
            <w:pPr>
              <w:pStyle w:val="Compact"/>
              <w:jc w:val="left"/>
            </w:pPr>
            <w:r>
              <w:t xml:space="preserve">Grand Total (Cradle-to-Gate)</w:t>
            </w:r>
          </w:p>
        </w:tc>
        <w:tc>
          <w:tcPr/>
          <w:p>
            <w:pPr>
              <w:pStyle w:val="Compact"/>
              <w:jc w:val="left"/>
            </w:pPr>
            <w:r>
              <w:t xml:space="preserve">24.558</w:t>
            </w:r>
          </w:p>
        </w:tc>
        <w:tc>
          <w:tcPr/>
          <w:p>
            <w:pPr>
              <w:pStyle w:val="Compact"/>
              <w:jc w:val="left"/>
            </w:pPr>
            <w:r>
              <w:t xml:space="preserve">0.104</w:t>
            </w:r>
          </w:p>
        </w:tc>
        <w:tc>
          <w:tcPr/>
          <w:p>
            <w:pPr>
              <w:pStyle w:val="Compact"/>
              <w:jc w:val="left"/>
            </w:pPr>
            <w:r>
              <w:t xml:space="preserve">-0.198</w:t>
            </w:r>
          </w:p>
        </w:tc>
        <w:tc>
          <w:tcPr/>
          <w:p>
            <w:pPr>
              <w:pStyle w:val="Compact"/>
              <w:jc w:val="left"/>
            </w:pPr>
            <w:r>
              <w:t xml:space="preserve">24.464</w:t>
            </w:r>
          </w:p>
        </w:tc>
        <w:tc>
          <w:tcPr/>
          <w:p>
            <w:pPr>
              <w:pStyle w:val="Compact"/>
              <w:jc w:val="left"/>
            </w:pPr>
            <w:r>
              <w:t xml:space="preserve">100.00%</w:t>
            </w:r>
          </w:p>
        </w:tc>
      </w:tr>
    </w:tbl>
    <w:p>
      <w:r>
        <w:pict>
          <v:rect style="width:0;height:1.5pt" o:hralign="center" o:hrstd="t" o:hr="t"/>
        </w:pict>
      </w:r>
    </w:p>
    <w:bookmarkEnd w:id="30"/>
    <w:bookmarkEnd w:id="31"/>
    <w:bookmarkStart w:id="35" w:name="X2dbdb9d2ff92753b6e5969c9f5860a3d0e20065"/>
    <w:p>
      <w:pPr>
        <w:pStyle w:val="Heading1"/>
      </w:pPr>
      <w:r>
        <w:t xml:space="preserve">Step 5: Review, Hotspots &amp; Data Quality Assessment</w:t>
      </w:r>
    </w:p>
    <w:bookmarkStart w:id="32" w:name="hotspot-analysis"/>
    <w:p>
      <w:pPr>
        <w:pStyle w:val="Heading2"/>
      </w:pPr>
      <w:r>
        <w:t xml:space="preserve">5.1 Hotspot Analysis</w:t>
      </w:r>
    </w:p>
    <w:p>
      <w:pPr>
        <w:pStyle w:val="FirstParagraph"/>
      </w:pPr>
      <w:r>
        <w:t xml:space="preserve">The cradle-to-gate inventory indicates clear environmental hotspots concentrated in high-complexity electronic subassemblies:</w:t>
      </w:r>
    </w:p>
    <w:p>
      <w:pPr>
        <w:numPr>
          <w:ilvl w:val="0"/>
          <w:numId w:val="1003"/>
        </w:numPr>
        <w:pStyle w:val="Compact"/>
      </w:pPr>
      <w:r>
        <w:rPr>
          <w:bCs/>
          <w:b/>
        </w:rPr>
        <w:t xml:space="preserve">Integrated Circuits &amp; Semiconductors (52.38% combined):</w:t>
      </w:r>
      <w:r>
        <w:t xml:space="preserve"> </w:t>
      </w:r>
      <w:r>
        <w:t xml:space="preserve">The System-on-Chip (SoC) processor and memory modules constitute over half of total device emissions (12.813 kg CO</w:t>
      </w:r>
      <w:r>
        <w:rPr>
          <w:vertAlign w:val="subscript"/>
        </w:rPr>
        <w:t xml:space="preserve">2</w:t>
      </w:r>
      <w:r>
        <w:t xml:space="preserve">e). Semiconductor front-end wafer fabrication consumes substantial electrical energy, ultra-pure water, and fluorinated etch gases (NF</w:t>
      </w:r>
      <w:r>
        <w:rPr>
          <w:vertAlign w:val="subscript"/>
        </w:rPr>
        <w:t xml:space="preserve">3</w:t>
      </w:r>
      <w:r>
        <w:t xml:space="preserve">, CF</w:t>
      </w:r>
      <w:r>
        <w:rPr>
          <w:vertAlign w:val="subscript"/>
        </w:rPr>
        <w:t xml:space="preserve">4</w:t>
      </w:r>
      <w:r>
        <w:t xml:space="preserve">) with elevated global warming potentials.</w:t>
      </w:r>
    </w:p>
    <w:p>
      <w:pPr>
        <w:numPr>
          <w:ilvl w:val="0"/>
          <w:numId w:val="1003"/>
        </w:numPr>
        <w:pStyle w:val="Compact"/>
      </w:pPr>
      <w:r>
        <w:rPr>
          <w:bCs/>
          <w:b/>
        </w:rPr>
        <w:t xml:space="preserve">Aluminum Enclosure Fabrication (8.47%):</w:t>
      </w:r>
      <w:r>
        <w:t xml:space="preserve"> </w:t>
      </w:r>
      <w:r>
        <w:t xml:space="preserve">Die-cast aluminum represents the single largest mechanical component contributor (2.071 kg CO</w:t>
      </w:r>
      <w:r>
        <w:rPr>
          <w:vertAlign w:val="subscript"/>
        </w:rPr>
        <w:t xml:space="preserve">2</w:t>
      </w:r>
      <w:r>
        <w:t xml:space="preserve">e). Although utilizing 55% scrap aluminum, the virgin alloying portion (45%) requires energy-intensive electrolytic smelting.</w:t>
      </w:r>
    </w:p>
    <w:p>
      <w:pPr>
        <w:numPr>
          <w:ilvl w:val="0"/>
          <w:numId w:val="1003"/>
        </w:numPr>
        <w:pStyle w:val="Compact"/>
      </w:pPr>
      <w:r>
        <w:rPr>
          <w:bCs/>
          <w:b/>
        </w:rPr>
        <w:t xml:space="preserve">Bare Printed Circuit Board Production (6.92%):</w:t>
      </w:r>
      <w:r>
        <w:t xml:space="preserve"> </w:t>
      </w:r>
      <w:r>
        <w:t xml:space="preserve">Multilayer FR4 substrate fabrication (1.693 kg CO</w:t>
      </w:r>
      <w:r>
        <w:rPr>
          <w:vertAlign w:val="subscript"/>
        </w:rPr>
        <w:t xml:space="preserve">2</w:t>
      </w:r>
      <w:r>
        <w:t xml:space="preserve">e) involves heavy chemical etching, electroplating of copper layers, and laminating curing cycles.</w:t>
      </w:r>
    </w:p>
    <w:p>
      <w:pPr>
        <w:numPr>
          <w:ilvl w:val="0"/>
          <w:numId w:val="1003"/>
        </w:numPr>
        <w:pStyle w:val="Compact"/>
      </w:pPr>
      <w:r>
        <w:rPr>
          <w:bCs/>
          <w:b/>
        </w:rPr>
        <w:t xml:space="preserve">Manufacturing Facility Scope 2 (4.88%):</w:t>
      </w:r>
      <w:r>
        <w:t xml:space="preserve"> </w:t>
      </w:r>
      <w:r>
        <w:t xml:space="preserve">Electricity consumption during SMT automated placement, multi-zone reflow convection, and long-duration burn-in functional testing generates 1.194 kg CO</w:t>
      </w:r>
      <w:r>
        <w:rPr>
          <w:vertAlign w:val="subscript"/>
        </w:rPr>
        <w:t xml:space="preserve">2</w:t>
      </w:r>
      <w:r>
        <w:t xml:space="preserve">e.</w:t>
      </w:r>
    </w:p>
    <w:bookmarkEnd w:id="32"/>
    <w:bookmarkStart w:id="33" w:name="data-quality-uncertainty-assessment-dqr"/>
    <w:p>
      <w:pPr>
        <w:pStyle w:val="Heading2"/>
      </w:pPr>
      <w:r>
        <w:t xml:space="preserve">5.2 Data Quality &amp; Uncertainty Assessment (DQR)</w:t>
      </w:r>
    </w:p>
    <w:p>
      <w:pPr>
        <w:pStyle w:val="FirstParagraph"/>
      </w:pPr>
      <w:r>
        <w:t xml:space="preserve">In accordance with the GHG Protocol data quality rating matrix, data sources are scored across five data quality indicators (scale 1 = Excellent to 5 = Poor):</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Data Quality Indicator</w:t>
            </w:r>
          </w:p>
        </w:tc>
        <w:tc>
          <w:tcPr/>
          <w:p>
            <w:pPr>
              <w:pStyle w:val="Compact"/>
              <w:jc w:val="left"/>
            </w:pPr>
            <w:r>
              <w:t xml:space="preserve">Score</w:t>
            </w:r>
          </w:p>
        </w:tc>
        <w:tc>
          <w:tcPr/>
          <w:p>
            <w:pPr>
              <w:pStyle w:val="Compact"/>
              <w:jc w:val="left"/>
            </w:pPr>
            <w:r>
              <w:t xml:space="preserve">Assessment &amp; Evidence</w:t>
            </w:r>
          </w:p>
        </w:tc>
      </w:tr>
      <w:tr>
        <w:tc>
          <w:tcPr/>
          <w:p>
            <w:pPr>
              <w:pStyle w:val="Compact"/>
              <w:jc w:val="left"/>
            </w:pPr>
            <w:r>
              <w:t xml:space="preserve">Technological Representativeness (TeR)</w:t>
            </w:r>
          </w:p>
        </w:tc>
        <w:tc>
          <w:tcPr/>
          <w:p>
            <w:pPr>
              <w:pStyle w:val="Compact"/>
              <w:jc w:val="left"/>
            </w:pPr>
            <w:r>
              <w:t xml:space="preserve">1.4</w:t>
            </w:r>
          </w:p>
        </w:tc>
        <w:tc>
          <w:tcPr/>
          <w:p>
            <w:pPr>
              <w:pStyle w:val="Compact"/>
              <w:jc w:val="left"/>
            </w:pPr>
            <w:r>
              <w:t xml:space="preserve">High fidelity. Specific components matched to physical bills of materials, BOM weights measured via calibrated laboratory scales, and actual SMT pick-and-place lines.</w:t>
            </w:r>
          </w:p>
        </w:tc>
      </w:tr>
      <w:tr>
        <w:tc>
          <w:tcPr/>
          <w:p>
            <w:pPr>
              <w:pStyle w:val="Compact"/>
              <w:jc w:val="left"/>
            </w:pPr>
            <w:r>
              <w:t xml:space="preserve">Geographical Representativeness (GeR)</w:t>
            </w:r>
          </w:p>
        </w:tc>
        <w:tc>
          <w:tcPr/>
          <w:p>
            <w:pPr>
              <w:pStyle w:val="Compact"/>
              <w:jc w:val="left"/>
            </w:pPr>
            <w:r>
              <w:t xml:space="preserve">1.6</w:t>
            </w:r>
          </w:p>
        </w:tc>
        <w:tc>
          <w:tcPr/>
          <w:p>
            <w:pPr>
              <w:pStyle w:val="Compact"/>
              <w:jc w:val="left"/>
            </w:pPr>
            <w:r>
              <w:t xml:space="preserve">Tier-1 factory data directly captured in the Netherlands. Tier-1 suppliers located in Germany, France, and Austria. Silicon supply chains reflect global foundry averages.</w:t>
            </w:r>
          </w:p>
        </w:tc>
      </w:tr>
      <w:tr>
        <w:tc>
          <w:tcPr/>
          <w:p>
            <w:pPr>
              <w:pStyle w:val="Compact"/>
              <w:jc w:val="left"/>
            </w:pPr>
            <w:r>
              <w:t xml:space="preserve">Temporal Representativeness (TiR)</w:t>
            </w:r>
          </w:p>
        </w:tc>
        <w:tc>
          <w:tcPr/>
          <w:p>
            <w:pPr>
              <w:pStyle w:val="Compact"/>
              <w:jc w:val="left"/>
            </w:pPr>
            <w:r>
              <w:t xml:space="preserve">1.2</w:t>
            </w:r>
          </w:p>
        </w:tc>
        <w:tc>
          <w:tcPr/>
          <w:p>
            <w:pPr>
              <w:pStyle w:val="Compact"/>
              <w:jc w:val="left"/>
            </w:pPr>
            <w:r>
              <w:t xml:space="preserve">All manufacturing and supplier energy baseline inputs collected from CY2025 trailing records. Emission factors updated to 2025/2026 database releases.</w:t>
            </w:r>
          </w:p>
        </w:tc>
      </w:tr>
      <w:tr>
        <w:tc>
          <w:tcPr/>
          <w:p>
            <w:pPr>
              <w:pStyle w:val="Compact"/>
              <w:jc w:val="left"/>
            </w:pPr>
            <w:r>
              <w:t xml:space="preserve">Completeness (C)</w:t>
            </w:r>
          </w:p>
        </w:tc>
        <w:tc>
          <w:tcPr/>
          <w:p>
            <w:pPr>
              <w:pStyle w:val="Compact"/>
              <w:jc w:val="left"/>
            </w:pPr>
            <w:r>
              <w:t xml:space="preserve">1.1</w:t>
            </w:r>
          </w:p>
        </w:tc>
        <w:tc>
          <w:tcPr/>
          <w:p>
            <w:pPr>
              <w:pStyle w:val="Compact"/>
              <w:jc w:val="left"/>
            </w:pPr>
            <w:r>
              <w:t xml:space="preserve">&gt;99% mass accounting and &gt;97% energy cut-off compliance verified, satisfying all 2026 GHG Protocol criteria.</w:t>
            </w:r>
          </w:p>
        </w:tc>
      </w:tr>
      <w:tr>
        <w:tc>
          <w:tcPr/>
          <w:p>
            <w:pPr>
              <w:pStyle w:val="Compact"/>
              <w:jc w:val="left"/>
            </w:pPr>
            <w:r>
              <w:t xml:space="preserve">Reliability (R)</w:t>
            </w:r>
          </w:p>
        </w:tc>
        <w:tc>
          <w:tcPr/>
          <w:p>
            <w:pPr>
              <w:pStyle w:val="Compact"/>
              <w:jc w:val="left"/>
            </w:pPr>
            <w:r>
              <w:t xml:space="preserve">1.5</w:t>
            </w:r>
          </w:p>
        </w:tc>
        <w:tc>
          <w:tcPr/>
          <w:p>
            <w:pPr>
              <w:pStyle w:val="Compact"/>
              <w:jc w:val="left"/>
            </w:pPr>
            <w:r>
              <w:t xml:space="preserve">Facility utility invoices, automated ERP bill of materials, and verified EPDs utilized wherever available.</w:t>
            </w:r>
          </w:p>
        </w:tc>
      </w:tr>
      <w:tr>
        <w:tc>
          <w:tcPr/>
          <w:p>
            <w:pPr>
              <w:pStyle w:val="Compact"/>
              <w:jc w:val="left"/>
            </w:pPr>
            <w:r>
              <w:t xml:space="preserve">Overall Data Quality Rating (DQR)</w:t>
            </w:r>
          </w:p>
        </w:tc>
        <w:tc>
          <w:tcPr>
            <w:gridSpan w:val="2"/>
          </w:tcPr>
          <w:p>
            <w:pPr>
              <w:pStyle w:val="Compact"/>
              <w:jc w:val="left"/>
            </w:pPr>
            <w:r>
              <w:rPr>
                <w:bCs/>
                <w:b/>
              </w:rPr>
              <w:t xml:space="preserve">1.36 — High Data Quality (Low Uncertainty, ±7.4%)</w:t>
            </w:r>
          </w:p>
        </w:tc>
      </w:tr>
    </w:tbl>
    <w:bookmarkEnd w:id="33"/>
    <w:bookmarkStart w:id="34" w:name="decarbonization-recommendations"/>
    <w:p>
      <w:pPr>
        <w:pStyle w:val="Heading2"/>
      </w:pPr>
      <w:r>
        <w:t xml:space="preserve">5.3 Decarbonization Recommendations</w:t>
      </w:r>
    </w:p>
    <w:p>
      <w:pPr>
        <w:pStyle w:val="FirstParagraph"/>
      </w:pPr>
      <w:r>
        <w:t xml:space="preserve">To support science-based product decarbonization targets, the following strategic interventions offer direct carbon abatement potential:</w:t>
      </w:r>
    </w:p>
    <w:p>
      <w:pPr>
        <w:numPr>
          <w:ilvl w:val="0"/>
          <w:numId w:val="1004"/>
        </w:numPr>
        <w:pStyle w:val="Compact"/>
      </w:pPr>
      <w:r>
        <w:rPr>
          <w:bCs/>
          <w:b/>
        </w:rPr>
        <w:t xml:space="preserve">Transition to 100% Recycled Aluminum Housing:</w:t>
      </w:r>
      <w:r>
        <w:t xml:space="preserve"> </w:t>
      </w:r>
      <w:r>
        <w:t xml:space="preserve">Shifting the enclosure specification from 55% recycled content to certified 100% post-consumer recycled aluminum alloy (e.g., Hydro CIRCAL 75R or equivalent) will eliminate approximately 1.34 kg CO</w:t>
      </w:r>
      <w:r>
        <w:rPr>
          <w:vertAlign w:val="subscript"/>
        </w:rPr>
        <w:t xml:space="preserve">2</w:t>
      </w:r>
      <w:r>
        <w:t xml:space="preserve">e per unit (-5.5% of total PCF).</w:t>
      </w:r>
    </w:p>
    <w:p>
      <w:pPr>
        <w:numPr>
          <w:ilvl w:val="0"/>
          <w:numId w:val="1004"/>
        </w:numPr>
        <w:pStyle w:val="Compact"/>
      </w:pPr>
      <w:r>
        <w:rPr>
          <w:bCs/>
          <w:b/>
        </w:rPr>
        <w:t xml:space="preserve">On-Site Scope 2 Renewable Power Purchase Agreement (PPA):</w:t>
      </w:r>
      <w:r>
        <w:t xml:space="preserve"> </w:t>
      </w:r>
      <w:r>
        <w:t xml:space="preserve">Supplying 100% of the Eindhoven facility electricity through a certified Dutch Wind Guarantees of Origin (GoO) contract will reduce Scope 2 market-based emissions from 1.194 kg CO</w:t>
      </w:r>
      <w:r>
        <w:rPr>
          <w:vertAlign w:val="subscript"/>
        </w:rPr>
        <w:t xml:space="preserve">2</w:t>
      </w:r>
      <w:r>
        <w:t xml:space="preserve">e to 0.000 kg CO</w:t>
      </w:r>
      <w:r>
        <w:rPr>
          <w:vertAlign w:val="subscript"/>
        </w:rPr>
        <w:t xml:space="preserve">2</w:t>
      </w:r>
      <w:r>
        <w:t xml:space="preserve">e (-4.9% of total PCF).</w:t>
      </w:r>
    </w:p>
    <w:p>
      <w:pPr>
        <w:numPr>
          <w:ilvl w:val="0"/>
          <w:numId w:val="1004"/>
        </w:numPr>
        <w:pStyle w:val="Compact"/>
      </w:pPr>
      <w:r>
        <w:rPr>
          <w:bCs/>
          <w:b/>
        </w:rPr>
        <w:t xml:space="preserve">Low-Carbon Silicon Sourcing:</w:t>
      </w:r>
      <w:r>
        <w:t xml:space="preserve"> </w:t>
      </w:r>
      <w:r>
        <w:t xml:space="preserve">Partnering with semiconductor foundries actively utilizing 100% renewable electricity and advanced gas abatement scrubbers in wafer manufacturing can reduce upstream semiconductor footprint by up to 25% (~3.20 kg CO</w:t>
      </w:r>
      <w:r>
        <w:rPr>
          <w:vertAlign w:val="subscript"/>
        </w:rPr>
        <w:t xml:space="preserve">2</w:t>
      </w:r>
      <w:r>
        <w:t xml:space="preserve">e savings).</w:t>
      </w:r>
    </w:p>
    <w:p>
      <w:pPr>
        <w:pStyle w:val="FirstParagraph"/>
      </w:pPr>
      <w:r>
        <w:t xml:space="preserve">carboncalcpcf.com • Product Carbon Footprint Report</w:t>
      </w:r>
    </w:p>
    <w:p>
      <w:pPr>
        <w:pStyle w:val="BodyText"/>
      </w:pPr>
      <w:r>
        <w:t xml:space="preserve">Confidential • GHG Protocol Compliant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Industrial IoT Edge Gateway (1.0 Unit) - GHG Protocol PCF</dc:title>
  <dc:creator/>
  <dc:description>Comprehensive Cradle-to-Gate Product Carbon Footprint (PCF) report for an Industrial IoT Edge Gateway manufactured in the Netherlands, compliant with GHG Protocol Product Standard and 2026 Land Sector and Removals (LSR) Guidance.</dc:description>
  <dc:language>en</dc:language>
  <cp:keywords/>
  <dcterms:created xsi:type="dcterms:W3CDTF">2026-10-21T14:12:07Z</dcterms:created>
  <dcterms:modified xsi:type="dcterms:W3CDTF">2026-10-21T14:12:07Z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