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Industrial</w:t>
      </w:r>
      <w:r>
        <w:t xml:space="preserve"> </w:t>
      </w:r>
      <w:r>
        <w:t xml:space="preserve">High-Efficiency</w:t>
      </w:r>
      <w:r>
        <w:t xml:space="preserve"> </w:t>
      </w:r>
      <w:r>
        <w:t xml:space="preserve">Heat</w:t>
      </w:r>
      <w:r>
        <w:t xml:space="preserve"> </w:t>
      </w:r>
      <w:r>
        <w:t xml:space="preserve">Pump</w:t>
      </w:r>
      <w:r>
        <w:t xml:space="preserve"> </w:t>
      </w:r>
      <w:r>
        <w:t xml:space="preserve">(15</w:t>
      </w:r>
      <w:r>
        <w:t xml:space="preserve"> </w:t>
      </w:r>
      <w:r>
        <w:t xml:space="preserve">kW)</w:t>
      </w:r>
      <w:r>
        <w:t xml:space="preserve"> </w:t>
      </w:r>
      <w:r>
        <w:t xml:space="preserve">-</w:t>
      </w:r>
      <w:r>
        <w:t xml:space="preserve"> </w:t>
      </w:r>
      <w:r>
        <w:t xml:space="preserve">Cradle-to-Gate</w:t>
      </w:r>
    </w:p>
    <w:p>
      <w:pPr>
        <w:pStyle w:val="FirstParagraph"/>
      </w:pPr>
      <w:r>
        <w:t xml:space="preserve">carboncalcpcf.com</w:t>
      </w:r>
    </w:p>
    <w:p>
      <w:pPr>
        <w:pStyle w:val="BodyText"/>
      </w:pPr>
      <w:r>
        <w:t xml:space="preserve">Product Carbon Footprint (PCF) Report</w:t>
      </w:r>
    </w:p>
    <w:bookmarkStart w:id="20" w:name="X847c5512f96214e57cbb79fb70d338cc8954d1b"/>
    <w:p>
      <w:pPr>
        <w:pStyle w:val="Heading1"/>
      </w:pPr>
      <w:r>
        <w:t xml:space="preserve">Industrial High-Efficiency Air-to-Water Heat Pump (15 kW)</w:t>
      </w:r>
    </w:p>
    <w:p>
      <w:pPr>
        <w:pStyle w:val="FirstParagraph"/>
      </w:pPr>
      <w:r>
        <w:t xml:space="preserve">Comprehensive Cradle-to-Gate Life Cycle Greenhouse Gas Assessment</w:t>
      </w:r>
    </w:p>
    <w:bookmarkEnd w:id="20"/>
    <w:p>
      <w:pPr>
        <w:pStyle w:val="BodyText"/>
      </w:pPr>
      <w:r>
        <w:t xml:space="preserve">Accounting Standard</w:t>
      </w:r>
    </w:p>
    <w:p>
      <w:pPr>
        <w:pStyle w:val="BodyText"/>
      </w:pPr>
      <w:r>
        <w:t xml:space="preserve">GHG Protocol Product Standard &amp; 2026 LSR Update</w:t>
      </w:r>
    </w:p>
    <w:p>
      <w:pPr>
        <w:pStyle w:val="BodyText"/>
      </w:pPr>
      <w:r>
        <w:t xml:space="preserve">System Boundary</w:t>
      </w:r>
    </w:p>
    <w:p>
      <w:pPr>
        <w:pStyle w:val="BodyText"/>
      </w:pPr>
      <w:r>
        <w:t xml:space="preserve">Cradle-to-Gate (Factory Gate)</w:t>
      </w:r>
    </w:p>
    <w:p>
      <w:pPr>
        <w:pStyle w:val="BodyText"/>
      </w:pPr>
      <w:r>
        <w:t xml:space="preserve">Functional Unit</w:t>
      </w:r>
    </w:p>
    <w:p>
      <w:pPr>
        <w:pStyle w:val="BodyText"/>
      </w:pPr>
      <w:r>
        <w:t xml:space="preserve">1.0 Unit (Ready for Dispatch)</w:t>
      </w:r>
    </w:p>
    <w:p>
      <w:pPr>
        <w:pStyle w:val="BodyText"/>
      </w:pPr>
      <w:r>
        <w:t xml:space="preserve">Primary Production Location</w:t>
      </w:r>
    </w:p>
    <w:p>
      <w:pPr>
        <w:pStyle w:val="BodyText"/>
      </w:pPr>
      <w:r>
        <w:t xml:space="preserve">Eindhoven, Netherlands</w:t>
      </w:r>
    </w:p>
    <w:p>
      <w:pPr>
        <w:pStyle w:val="BodyText"/>
      </w:pPr>
      <w:r>
        <w:t xml:space="preserve">Supply Chain Focus</w:t>
      </w:r>
    </w:p>
    <w:p>
      <w:pPr>
        <w:pStyle w:val="BodyText"/>
      </w:pPr>
      <w:r>
        <w:t xml:space="preserve">European Regional Inbound Supply Network</w:t>
      </w:r>
    </w:p>
    <w:p>
      <w:pPr>
        <w:pStyle w:val="BodyText"/>
      </w:pPr>
      <w:r>
        <w:t xml:space="preserve">Report Assessment Date</w:t>
      </w:r>
    </w:p>
    <w:p>
      <w:pPr>
        <w:pStyle w:val="BodyText"/>
      </w:pPr>
      <w:r>
        <w:t xml:space="preserve">October 2026</w:t>
      </w:r>
    </w:p>
    <w:p>
      <w:pPr>
        <w:pStyle w:val="BodyText"/>
      </w:pPr>
      <w:r>
        <w:rPr>
          <w:bCs/>
          <w:b/>
        </w:rPr>
        <w:t xml:space="preserve">Notice &amp; Disclaimer:</w:t>
      </w:r>
      <w:r>
        <w:t xml:space="preserve"> </w:t>
      </w:r>
      <w:r>
        <w:t xml:space="preserve">This carbon footprint accounting assessment has been prepared in conformance with the</w:t>
      </w:r>
      <w:r>
        <w:t xml:space="preserve"> </w:t>
      </w:r>
      <w:r>
        <w:rPr>
          <w:iCs/>
          <w:i/>
        </w:rPr>
        <w:t xml:space="preserve">GHG Protocol Product Life Cycle Accounting and Reporting Standard</w:t>
      </w:r>
      <w:r>
        <w:t xml:space="preserve"> </w:t>
      </w:r>
      <w:r>
        <w:t xml:space="preserve">and incorporates the</w:t>
      </w:r>
      <w:r>
        <w:t xml:space="preserve"> </w:t>
      </w:r>
      <w:r>
        <w:rPr>
          <w:iCs/>
          <w:i/>
        </w:rPr>
        <w:t xml:space="preserve">2026 Land Sector and Removals (LSR) Standard</w:t>
      </w:r>
      <w:r>
        <w:t xml:space="preserve"> </w:t>
      </w:r>
      <w:r>
        <w:t xml:space="preserve">guidance. Primary operational data were provided by the manufacturing facility in the Netherlands, combined with European average life cycle inventory databases (Ecoinvent v3.10 and DEFRA 2025/2026). All values are reported based on available documentation, verified engineering balance, and defined standard cut-off thresholds.</w:t>
      </w:r>
    </w:p>
    <w:p>
      <w:pPr>
        <w:pStyle w:val="BodyText"/>
      </w:pPr>
      <w:r>
        <w:t xml:space="preserve">carboncalcpcf.com • Product Carbon Footprint Services</w:t>
      </w:r>
    </w:p>
    <w:p>
      <w:pPr>
        <w:pStyle w:val="BodyText"/>
      </w:pPr>
      <w:r>
        <w:t xml:space="preserve">Generated Date: October 24, 2026 | Document ID: PCF-NL-2026-HP15</w:t>
      </w:r>
    </w:p>
    <w:bookmarkStart w:id="29" w:name="executive-summary"/>
    <w:p>
      <w:pPr>
        <w:pStyle w:val="Heading1"/>
      </w:pPr>
      <w:r>
        <w:t xml:space="preserve">Executive Summary</w:t>
      </w:r>
    </w:p>
    <w:p>
      <w:pPr>
        <w:pStyle w:val="FirstParagraph"/>
      </w:pPr>
      <w:r>
        <w:t xml:space="preserve">This Product Carbon Footprint (PCF) report evaluates the cradle-to-gate greenhouse gas (GHG) emissions associated with one unit (1.0 unit) of an</w:t>
      </w:r>
      <w:r>
        <w:t xml:space="preserve"> </w:t>
      </w:r>
      <w:r>
        <w:rPr>
          <w:bCs/>
          <w:b/>
        </w:rPr>
        <w:t xml:space="preserve">Industrial High-Efficiency Air-to-Water Commercial Heat Pump (15 kW rated thermal capacity)</w:t>
      </w:r>
      <w:r>
        <w:t xml:space="preserve"> </w:t>
      </w:r>
      <w:r>
        <w:t xml:space="preserve">manufactured in the Netherlands. The accounting boundary commences at the extraction of raw materials and concludes when the packaged unit crosses the factory gate at the Dutch assembly plant.</w:t>
      </w:r>
    </w:p>
    <w:p>
      <w:pPr>
        <w:pStyle w:val="BodyText"/>
      </w:pPr>
      <w:r>
        <w:t xml:space="preserve">The total cradle-to-gate carbon footprint is</w:t>
      </w:r>
      <w:r>
        <w:t xml:space="preserve"> </w:t>
      </w:r>
      <w:r>
        <w:rPr>
          <w:bCs/>
          <w:b/>
        </w:rPr>
        <w:t xml:space="preserve">752.77 kg CO</w:t>
      </w:r>
      <w:r>
        <w:rPr>
          <w:vertAlign w:val="subscript"/>
          <w:bCs/>
          <w:b/>
        </w:rPr>
        <w:t xml:space="preserve">2</w:t>
      </w:r>
      <w:r>
        <w:rPr>
          <w:bCs/>
          <w:b/>
        </w:rPr>
        <w:t xml:space="preserve">e per functional unit</w:t>
      </w:r>
      <w:r>
        <w:t xml:space="preserve">. In alignment with mandatory 2026 Scope 3 reporting enhancements, this study guarantees</w:t>
      </w:r>
      <w:r>
        <w:t xml:space="preserve"> </w:t>
      </w:r>
      <w:r>
        <w:rPr>
          <w:bCs/>
          <w:b/>
        </w:rPr>
        <w:t xml:space="preserve">98.2% mass and energy inventory coverage</w:t>
      </w:r>
      <w:r>
        <w:t xml:space="preserve">, surpassing the GHG Protocol\'s 95% minimum completeness mandate. In addition, biogenic carbon storage and land sector dynamics have been rigorously quantified and segregated per the</w:t>
      </w:r>
      <w:r>
        <w:t xml:space="preserve"> </w:t>
      </w:r>
      <w:r>
        <w:rPr>
          <w:bCs/>
          <w:b/>
        </w:rPr>
        <w:t xml:space="preserve">2026 Land Sector and Removals (LSR) Standard</w:t>
      </w:r>
      <w:r>
        <w:t xml:space="preserve">.</w:t>
      </w:r>
    </w:p>
    <w:p>
      <w:pPr>
        <w:pStyle w:val="BodyText"/>
      </w:pPr>
      <w:r>
        <w:rPr>
          <w:bCs/>
          <w:b/>
        </w:rPr>
        <w:t xml:space="preserve">Key Footprint Metrics:</w:t>
      </w:r>
    </w:p>
    <w:p>
      <w:pPr>
        <w:numPr>
          <w:ilvl w:val="0"/>
          <w:numId w:val="1001"/>
        </w:numPr>
        <w:pStyle w:val="Compact"/>
      </w:pPr>
      <w:r>
        <w:rPr>
          <w:bCs/>
          <w:b/>
        </w:rPr>
        <w:t xml:space="preserve">Total Cradle-to-Gate Footprint:</w:t>
      </w:r>
      <w:r>
        <w:t xml:space="preserve"> </w:t>
      </w:r>
      <w:r>
        <w:t xml:space="preserve">752.77 kg CO</w:t>
      </w:r>
      <w:r>
        <w:rPr>
          <w:vertAlign w:val="subscript"/>
        </w:rPr>
        <w:t xml:space="preserve">2</w:t>
      </w:r>
      <w:r>
        <w:t xml:space="preserve">e / unit</w:t>
      </w:r>
    </w:p>
    <w:p>
      <w:pPr>
        <w:numPr>
          <w:ilvl w:val="0"/>
          <w:numId w:val="1001"/>
        </w:numPr>
        <w:pStyle w:val="Compact"/>
      </w:pPr>
      <w:r>
        <w:rPr>
          <w:bCs/>
          <w:b/>
        </w:rPr>
        <w:t xml:space="preserve">Scope 1 (Direct Facility Emissions):</w:t>
      </w:r>
      <w:r>
        <w:t xml:space="preserve"> </w:t>
      </w:r>
      <w:r>
        <w:t xml:space="preserve">13.35 kg CO</w:t>
      </w:r>
      <w:r>
        <w:rPr>
          <w:vertAlign w:val="subscript"/>
        </w:rPr>
        <w:t xml:space="preserve">2</w:t>
      </w:r>
      <w:r>
        <w:t xml:space="preserve">e (1.77%)</w:t>
      </w:r>
    </w:p>
    <w:p>
      <w:pPr>
        <w:numPr>
          <w:ilvl w:val="0"/>
          <w:numId w:val="1001"/>
        </w:numPr>
        <w:pStyle w:val="Compact"/>
      </w:pPr>
      <w:r>
        <w:rPr>
          <w:bCs/>
          <w:b/>
        </w:rPr>
        <w:t xml:space="preserve">Scope 2 (Purchased Facility Energy, Location-Based):</w:t>
      </w:r>
      <w:r>
        <w:t xml:space="preserve"> </w:t>
      </w:r>
      <w:r>
        <w:t xml:space="preserve">52.00 kg CO</w:t>
      </w:r>
      <w:r>
        <w:rPr>
          <w:vertAlign w:val="subscript"/>
        </w:rPr>
        <w:t xml:space="preserve">2</w:t>
      </w:r>
      <w:r>
        <w:t xml:space="preserve">e (6.91%)</w:t>
      </w:r>
    </w:p>
    <w:p>
      <w:pPr>
        <w:numPr>
          <w:ilvl w:val="0"/>
          <w:numId w:val="1001"/>
        </w:numPr>
        <w:pStyle w:val="Compact"/>
      </w:pPr>
      <w:r>
        <w:rPr>
          <w:bCs/>
          <w:b/>
        </w:rPr>
        <w:t xml:space="preserve">Scope 3 (Upstream Value Chain):</w:t>
      </w:r>
      <w:r>
        <w:t xml:space="preserve"> </w:t>
      </w:r>
      <w:r>
        <w:t xml:space="preserve">687.42 kg CO</w:t>
      </w:r>
      <w:r>
        <w:rPr>
          <w:vertAlign w:val="subscript"/>
        </w:rPr>
        <w:t xml:space="preserve">2</w:t>
      </w:r>
      <w:r>
        <w:t xml:space="preserve">e (91.32%)</w:t>
      </w:r>
    </w:p>
    <w:p>
      <w:pPr>
        <w:numPr>
          <w:ilvl w:val="0"/>
          <w:numId w:val="1001"/>
        </w:numPr>
        <w:pStyle w:val="Compact"/>
      </w:pPr>
      <w:r>
        <w:rPr>
          <w:bCs/>
          <w:b/>
        </w:rPr>
        <w:t xml:space="preserve">Biogenic Net Carbon Balance (2026 LSR):</w:t>
      </w:r>
      <w:r>
        <w:t xml:space="preserve"> </w:t>
      </w:r>
      <w:r>
        <w:t xml:space="preserve">-14.68 kg CO</w:t>
      </w:r>
      <w:r>
        <w:rPr>
          <w:vertAlign w:val="subscript"/>
        </w:rPr>
        <w:t xml:space="preserve">2</w:t>
      </w:r>
      <w:r>
        <w:t xml:space="preserve">e net biogenic carbon embedded in certified timber packaging.</w:t>
      </w:r>
    </w:p>
    <w:p>
      <w:r>
        <w:pict>
          <v:rect style="width:0;height:1.5pt" o:hralign="center" o:hrstd="t" o:hr="t"/>
        </w:pict>
      </w:r>
    </w:p>
    <w:bookmarkStart w:id="21" w:name="step-1-goal-and-scope-definition"/>
    <w:p>
      <w:pPr>
        <w:pStyle w:val="Heading2"/>
      </w:pPr>
      <w:r>
        <w:t xml:space="preserve">Step 1: Goal and Scope Definition</w:t>
      </w:r>
    </w:p>
    <w:p>
      <w:pPr>
        <w:pStyle w:val="FirstParagraph"/>
      </w:pPr>
      <w:r>
        <w:t xml:space="preserve">The objective of this assessment is to calculate the environmental burden and identify decarbonization hotspots for the product\'s upstream bill of materials and factory operations.</w:t>
      </w:r>
    </w:p>
    <w:p>
      <w:pPr>
        <w:numPr>
          <w:ilvl w:val="0"/>
          <w:numId w:val="1002"/>
        </w:numPr>
        <w:pStyle w:val="Compact"/>
      </w:pPr>
      <w:r>
        <w:rPr>
          <w:bCs/>
          <w:b/>
        </w:rPr>
        <w:t xml:space="preserve">Functional Unit:</w:t>
      </w:r>
      <w:r>
        <w:t xml:space="preserve"> </w:t>
      </w:r>
      <w:r>
        <w:t xml:space="preserve">Exactly 1.0 unit of a 15 kW commercial heat pump (net unboxed mass: 145.0 kg; packaged gross mass: 157.0 kg) with an operational design lifetime of 15 years.</w:t>
      </w:r>
    </w:p>
    <w:p>
      <w:pPr>
        <w:numPr>
          <w:ilvl w:val="0"/>
          <w:numId w:val="1002"/>
        </w:numPr>
        <w:pStyle w:val="Compact"/>
      </w:pPr>
      <w:r>
        <w:rPr>
          <w:bCs/>
          <w:b/>
        </w:rPr>
        <w:t xml:space="preserve">System Boundary:</w:t>
      </w:r>
      <w:r>
        <w:t xml:space="preserve"> </w:t>
      </w:r>
      <w:r>
        <w:t xml:space="preserve">Cradle-to-Gate (Factory Gate). Included stages comprise raw material extraction, chemical processing, semiconductor fabrication, component manufacturing, European transport to the Dutch facility, assembly, functional end-of-line testing, refrigerant charging, factory energy consumption, and packaging. Use-phase and end-of-life disposal are excluded per gate-to-gate customer procurement boundaries.</w:t>
      </w:r>
    </w:p>
    <w:p>
      <w:pPr>
        <w:numPr>
          <w:ilvl w:val="0"/>
          <w:numId w:val="1002"/>
        </w:numPr>
        <w:pStyle w:val="Compact"/>
      </w:pPr>
      <w:r>
        <w:rPr>
          <w:bCs/>
          <w:b/>
        </w:rPr>
        <w:t xml:space="preserve">Geographic Scope:</w:t>
      </w:r>
      <w:r>
        <w:t xml:space="preserve"> </w:t>
      </w:r>
      <w:r>
        <w:t xml:space="preserve">Final production situated in Eindhoven, Netherlands. The upstream supply chain focus is concentrated in Northwestern Europe (Germany, Sweden, France, Belgium, and domestic Dutch suppliers).</w:t>
      </w:r>
    </w:p>
    <w:p>
      <w:pPr>
        <w:numPr>
          <w:ilvl w:val="0"/>
          <w:numId w:val="1002"/>
        </w:numPr>
        <w:pStyle w:val="Compact"/>
      </w:pPr>
      <w:r>
        <w:rPr>
          <w:bCs/>
          <w:b/>
        </w:rPr>
        <w:t xml:space="preserve">Allocation Rules:</w:t>
      </w:r>
      <w:r>
        <w:t xml:space="preserve"> </w:t>
      </w:r>
      <w:r>
        <w:t xml:space="preserve">Physical mass and energy multi-output allocation applied to plant overheads in accordance with ISO 14044 and GHG Protocol hierarchy. Facility utilities are apportioned on a unit-throughput cycle time basis.</w:t>
      </w:r>
    </w:p>
    <w:p>
      <w:pPr>
        <w:numPr>
          <w:ilvl w:val="0"/>
          <w:numId w:val="1002"/>
        </w:numPr>
        <w:pStyle w:val="Compact"/>
      </w:pPr>
      <w:r>
        <w:rPr>
          <w:bCs/>
          <w:b/>
        </w:rPr>
        <w:t xml:space="preserve">2026 LSR Standard Applicability:</w:t>
      </w:r>
      <w:r>
        <w:t xml:space="preserve"> </w:t>
      </w:r>
      <w:r>
        <w:t xml:space="preserve">All wood and biogenic fibre packaging inputs are evaluated for direct land use change (dLUC), statistical land use change (sLUC), biogenic emissions, and temporary removals.</w:t>
      </w:r>
    </w:p>
    <w:p>
      <w:r>
        <w:pict>
          <v:rect style="width:0;height:1.5pt" o:hralign="center" o:hrstd="t" o:hr="t"/>
        </w:pict>
      </w:r>
    </w:p>
    <w:bookmarkEnd w:id="21"/>
    <w:bookmarkStart w:id="22" w:name="step-2-life-cycle-inventory-lci-mapping"/>
    <w:p>
      <w:pPr>
        <w:pStyle w:val="Heading2"/>
      </w:pPr>
      <w:r>
        <w:t xml:space="preserve">Step 2: Life Cycle Inventory (LCI) &amp; Mapping</w:t>
      </w:r>
    </w:p>
    <w:p>
      <w:pPr>
        <w:pStyle w:val="FirstParagraph"/>
      </w:pPr>
      <w:r>
        <w:t xml:space="preserve">The product structure is delineated into four distinct upstream and gate operational modules:</w:t>
      </w:r>
    </w:p>
    <w:p>
      <w:pPr>
        <w:numPr>
          <w:ilvl w:val="0"/>
          <w:numId w:val="1003"/>
        </w:numPr>
        <w:pStyle w:val="Compact"/>
      </w:pPr>
      <w:r>
        <w:rPr>
          <w:bCs/>
          <w:b/>
        </w:rPr>
        <w:t xml:space="preserve">Tier 1 — Structural &amp; Mechanical Assemblies:</w:t>
      </w:r>
      <w:r>
        <w:t xml:space="preserve"> </w:t>
      </w:r>
      <w:r>
        <w:t xml:space="preserve">Galvanized sheet steel enclosure, extruded aluminum heat exchanger fins, polyurethane acoustic damping, and brass fittings.</w:t>
      </w:r>
    </w:p>
    <w:p>
      <w:pPr>
        <w:numPr>
          <w:ilvl w:val="0"/>
          <w:numId w:val="1003"/>
        </w:numPr>
        <w:pStyle w:val="Compact"/>
      </w:pPr>
      <w:r>
        <w:rPr>
          <w:bCs/>
          <w:b/>
        </w:rPr>
        <w:t xml:space="preserve">Tier 2 — Refrigeration &amp; Fluid Handling:</w:t>
      </w:r>
      <w:r>
        <w:t xml:space="preserve"> </w:t>
      </w:r>
      <w:r>
        <w:t xml:space="preserve">Brazed copper tubing, hermetic scroll compressor sub-assembly, high-efficiency electronically commutated (EC) axial fan, and ultra-low-GWP R290 (propane) refrigerant charge.</w:t>
      </w:r>
    </w:p>
    <w:p>
      <w:pPr>
        <w:numPr>
          <w:ilvl w:val="0"/>
          <w:numId w:val="1003"/>
        </w:numPr>
        <w:pStyle w:val="Compact"/>
      </w:pPr>
      <w:r>
        <w:rPr>
          <w:bCs/>
          <w:b/>
        </w:rPr>
        <w:t xml:space="preserve">Tier 3 — Electrical, Inverter &amp; Controls:</w:t>
      </w:r>
      <w:r>
        <w:t xml:space="preserve"> </w:t>
      </w:r>
      <w:r>
        <w:t xml:space="preserve">Inverter power electronics module (IGBT semiconductors, printed circuit board assemblies [PCBA], heat sinks), silicon microcontrollers, copper magnetic windings, and sensors.</w:t>
      </w:r>
    </w:p>
    <w:p>
      <w:pPr>
        <w:numPr>
          <w:ilvl w:val="0"/>
          <w:numId w:val="1003"/>
        </w:numPr>
        <w:pStyle w:val="Compact"/>
      </w:pPr>
      <w:r>
        <w:rPr>
          <w:bCs/>
          <w:b/>
        </w:rPr>
        <w:t xml:space="preserve">Tier 4 — Dutch Facility Operations &amp; Packaging:</w:t>
      </w:r>
      <w:r>
        <w:t xml:space="preserve"> </w:t>
      </w:r>
      <w:r>
        <w:t xml:space="preserve">Facility HVAC, machine tooling, automated sheet bending, automated helium leak testing, factory electrical consumption, wooden transport pallet, and heavy-duty corrugated board.</w:t>
      </w:r>
    </w:p>
    <w:p>
      <w:r>
        <w:pict>
          <v:rect style="width:0;height:1.5pt" o:hralign="center" o:hrstd="t" o:hr="t"/>
        </w:pict>
      </w:r>
    </w:p>
    <w:bookmarkEnd w:id="22"/>
    <w:bookmarkStart w:id="23" w:name="Xee62a82f025a1e5885a3c39c81492b9b4811eb6"/>
    <w:p>
      <w:pPr>
        <w:pStyle w:val="Heading2"/>
      </w:pPr>
      <w:r>
        <w:t xml:space="preserve">Step 3: Primary and Secondary Data Collection</w:t>
      </w:r>
    </w:p>
    <w:p>
      <w:pPr>
        <w:pStyle w:val="FirstParagraph"/>
      </w:pPr>
      <w:r>
        <w:t xml:space="preserve">Data quality indicators (DQI) comply with the GHG Protocol Quality Assurance framework. Primary data were directly retrieved from production Enterprise Resource Planning (ERP), Manufacturing Execution Systems (MES), utility metering, and calibrated supplier declarations for the 2025/2026 fiscal cycle.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Component / Input Parameter</w:t>
            </w:r>
          </w:p>
        </w:tc>
        <w:tc>
          <w:tcPr/>
          <w:p>
            <w:pPr>
              <w:pStyle w:val="Compact"/>
              <w:jc w:val="left"/>
            </w:pPr>
            <w:r>
              <w:t xml:space="preserve">Data Source</w:t>
            </w:r>
          </w:p>
        </w:tc>
        <w:tc>
          <w:tcPr/>
          <w:p>
            <w:pPr>
              <w:pStyle w:val="Compact"/>
              <w:jc w:val="left"/>
            </w:pPr>
            <w:r>
              <w:t xml:space="preserve">Primary Quantity</w:t>
            </w:r>
          </w:p>
        </w:tc>
        <w:tc>
          <w:tcPr/>
          <w:p>
            <w:pPr>
              <w:pStyle w:val="Compact"/>
              <w:jc w:val="left"/>
            </w:pPr>
            <w:r>
              <w:t xml:space="preserve">Material Classification</w:t>
            </w:r>
          </w:p>
        </w:tc>
        <w:tc>
          <w:tcPr/>
          <w:p>
            <w:pPr>
              <w:pStyle w:val="Compact"/>
              <w:jc w:val="left"/>
            </w:pPr>
            <w:r>
              <w:t xml:space="preserve">Geographic Origin</w:t>
            </w:r>
          </w:p>
        </w:tc>
      </w:tr>
      <w:tr>
        <w:tc>
          <w:tcPr/>
          <w:p>
            <w:pPr>
              <w:pStyle w:val="Compact"/>
              <w:jc w:val="left"/>
            </w:pPr>
            <w:r>
              <w:t xml:space="preserve">Galvanized Sheet Steel (Chassis)</w:t>
            </w:r>
          </w:p>
        </w:tc>
        <w:tc>
          <w:tcPr/>
          <w:p>
            <w:pPr>
              <w:pStyle w:val="Compact"/>
              <w:jc w:val="left"/>
            </w:pPr>
            <w:r>
              <w:t xml:space="preserve">Primary ERP</w:t>
            </w:r>
          </w:p>
        </w:tc>
        <w:tc>
          <w:tcPr/>
          <w:p>
            <w:pPr>
              <w:pStyle w:val="Compact"/>
              <w:jc w:val="left"/>
            </w:pPr>
            <w:r>
              <w:t xml:space="preserve">55.00 kg</w:t>
            </w:r>
          </w:p>
        </w:tc>
        <w:tc>
          <w:tcPr/>
          <w:p>
            <w:pPr>
              <w:pStyle w:val="Compact"/>
              <w:jc w:val="left"/>
            </w:pPr>
            <w:r>
              <w:t xml:space="preserve">Ferrous Metal</w:t>
            </w:r>
          </w:p>
        </w:tc>
        <w:tc>
          <w:tcPr/>
          <w:p>
            <w:pPr>
              <w:pStyle w:val="Compact"/>
              <w:jc w:val="left"/>
            </w:pPr>
            <w:r>
              <w:t xml:space="preserve">Germany (EU mix)</w:t>
            </w:r>
          </w:p>
        </w:tc>
      </w:tr>
      <w:tr>
        <w:tc>
          <w:tcPr/>
          <w:p>
            <w:pPr>
              <w:pStyle w:val="Compact"/>
              <w:jc w:val="left"/>
            </w:pPr>
            <w:r>
              <w:t xml:space="preserve">Extruded Aluminum (Evaporator)</w:t>
            </w:r>
          </w:p>
        </w:tc>
        <w:tc>
          <w:tcPr/>
          <w:p>
            <w:pPr>
              <w:pStyle w:val="Compact"/>
              <w:jc w:val="left"/>
            </w:pPr>
            <w:r>
              <w:t xml:space="preserve">Primary Supplier</w:t>
            </w:r>
          </w:p>
        </w:tc>
        <w:tc>
          <w:tcPr/>
          <w:p>
            <w:pPr>
              <w:pStyle w:val="Compact"/>
              <w:jc w:val="left"/>
            </w:pPr>
            <w:r>
              <w:t xml:space="preserve">22.00 kg</w:t>
            </w:r>
          </w:p>
        </w:tc>
        <w:tc>
          <w:tcPr/>
          <w:p>
            <w:pPr>
              <w:pStyle w:val="Compact"/>
              <w:jc w:val="left"/>
            </w:pPr>
            <w:r>
              <w:t xml:space="preserve">Non-Ferrous Metal</w:t>
            </w:r>
          </w:p>
        </w:tc>
        <w:tc>
          <w:tcPr/>
          <w:p>
            <w:pPr>
              <w:pStyle w:val="Compact"/>
              <w:jc w:val="left"/>
            </w:pPr>
            <w:r>
              <w:t xml:space="preserve">Norway / France</w:t>
            </w:r>
          </w:p>
        </w:tc>
      </w:tr>
      <w:tr>
        <w:tc>
          <w:tcPr/>
          <w:p>
            <w:pPr>
              <w:pStyle w:val="Compact"/>
              <w:jc w:val="left"/>
            </w:pPr>
            <w:r>
              <w:t xml:space="preserve">Deoxidized High-Phosphorus Copper Tubing</w:t>
            </w:r>
          </w:p>
        </w:tc>
        <w:tc>
          <w:tcPr/>
          <w:p>
            <w:pPr>
              <w:pStyle w:val="Compact"/>
              <w:jc w:val="left"/>
            </w:pPr>
            <w:r>
              <w:t xml:space="preserve">Primary ERP</w:t>
            </w:r>
          </w:p>
        </w:tc>
        <w:tc>
          <w:tcPr/>
          <w:p>
            <w:pPr>
              <w:pStyle w:val="Compact"/>
              <w:jc w:val="left"/>
            </w:pPr>
            <w:r>
              <w:t xml:space="preserve">18.00 kg</w:t>
            </w:r>
          </w:p>
        </w:tc>
        <w:tc>
          <w:tcPr/>
          <w:p>
            <w:pPr>
              <w:pStyle w:val="Compact"/>
              <w:jc w:val="left"/>
            </w:pPr>
            <w:r>
              <w:t xml:space="preserve">Non-Ferrous Metal</w:t>
            </w:r>
          </w:p>
        </w:tc>
        <w:tc>
          <w:tcPr/>
          <w:p>
            <w:pPr>
              <w:pStyle w:val="Compact"/>
              <w:jc w:val="left"/>
            </w:pPr>
            <w:r>
              <w:t xml:space="preserve">Belgium / Germany</w:t>
            </w:r>
          </w:p>
        </w:tc>
      </w:tr>
      <w:tr>
        <w:tc>
          <w:tcPr/>
          <w:p>
            <w:pPr>
              <w:pStyle w:val="Compact"/>
              <w:jc w:val="left"/>
            </w:pPr>
            <w:r>
              <w:t xml:space="preserve">Inverter &amp; Semiconductor PCBA Module</w:t>
            </w:r>
          </w:p>
        </w:tc>
        <w:tc>
          <w:tcPr/>
          <w:p>
            <w:pPr>
              <w:pStyle w:val="Compact"/>
              <w:jc w:val="left"/>
            </w:pPr>
            <w:r>
              <w:t xml:space="preserve">BOM Audit</w:t>
            </w:r>
          </w:p>
        </w:tc>
        <w:tc>
          <w:tcPr/>
          <w:p>
            <w:pPr>
              <w:pStyle w:val="Compact"/>
              <w:jc w:val="left"/>
            </w:pPr>
            <w:r>
              <w:t xml:space="preserve">6.50 kg</w:t>
            </w:r>
          </w:p>
        </w:tc>
        <w:tc>
          <w:tcPr/>
          <w:p>
            <w:pPr>
              <w:pStyle w:val="Compact"/>
              <w:jc w:val="left"/>
            </w:pPr>
            <w:r>
              <w:t xml:space="preserve">Silicon &amp; Electronics</w:t>
            </w:r>
          </w:p>
        </w:tc>
        <w:tc>
          <w:tcPr/>
          <w:p>
            <w:pPr>
              <w:pStyle w:val="Compact"/>
              <w:jc w:val="left"/>
            </w:pPr>
            <w:r>
              <w:t xml:space="preserve">Germany / EU Assembly</w:t>
            </w:r>
          </w:p>
        </w:tc>
      </w:tr>
      <w:tr>
        <w:tc>
          <w:tcPr/>
          <w:p>
            <w:pPr>
              <w:pStyle w:val="Compact"/>
              <w:jc w:val="left"/>
            </w:pPr>
            <w:r>
              <w:t xml:space="preserve">Expanded Polypropylene (EPP) Insulation</w:t>
            </w:r>
          </w:p>
        </w:tc>
        <w:tc>
          <w:tcPr/>
          <w:p>
            <w:pPr>
              <w:pStyle w:val="Compact"/>
              <w:jc w:val="left"/>
            </w:pPr>
            <w:r>
              <w:t xml:space="preserve">Primary ERP</w:t>
            </w:r>
          </w:p>
        </w:tc>
        <w:tc>
          <w:tcPr/>
          <w:p>
            <w:pPr>
              <w:pStyle w:val="Compact"/>
              <w:jc w:val="left"/>
            </w:pPr>
            <w:r>
              <w:t xml:space="preserve">8.00 kg</w:t>
            </w:r>
          </w:p>
        </w:tc>
        <w:tc>
          <w:tcPr/>
          <w:p>
            <w:pPr>
              <w:pStyle w:val="Compact"/>
              <w:jc w:val="left"/>
            </w:pPr>
            <w:r>
              <w:t xml:space="preserve">Engineered Polymer</w:t>
            </w:r>
          </w:p>
        </w:tc>
        <w:tc>
          <w:tcPr/>
          <w:p>
            <w:pPr>
              <w:pStyle w:val="Compact"/>
              <w:jc w:val="left"/>
            </w:pPr>
            <w:r>
              <w:t xml:space="preserve">Netherlands</w:t>
            </w:r>
          </w:p>
        </w:tc>
      </w:tr>
      <w:tr>
        <w:tc>
          <w:tcPr/>
          <w:p>
            <w:pPr>
              <w:pStyle w:val="Compact"/>
              <w:jc w:val="left"/>
            </w:pPr>
            <w:r>
              <w:t xml:space="preserve">Compressor Assembly (Motors &amp; Casing)</w:t>
            </w:r>
          </w:p>
        </w:tc>
        <w:tc>
          <w:tcPr/>
          <w:p>
            <w:pPr>
              <w:pStyle w:val="Compact"/>
              <w:jc w:val="left"/>
            </w:pPr>
            <w:r>
              <w:t xml:space="preserve">Supplier EPD</w:t>
            </w:r>
          </w:p>
        </w:tc>
        <w:tc>
          <w:tcPr/>
          <w:p>
            <w:pPr>
              <w:pStyle w:val="Compact"/>
              <w:jc w:val="left"/>
            </w:pPr>
            <w:r>
              <w:t xml:space="preserve">28.00 kg</w:t>
            </w:r>
          </w:p>
        </w:tc>
        <w:tc>
          <w:tcPr/>
          <w:p>
            <w:pPr>
              <w:pStyle w:val="Compact"/>
              <w:jc w:val="left"/>
            </w:pPr>
            <w:r>
              <w:t xml:space="preserve">Combined Metal / Magnetics</w:t>
            </w:r>
          </w:p>
        </w:tc>
        <w:tc>
          <w:tcPr/>
          <w:p>
            <w:pPr>
              <w:pStyle w:val="Compact"/>
              <w:jc w:val="left"/>
            </w:pPr>
            <w:r>
              <w:t xml:space="preserve">France</w:t>
            </w:r>
          </w:p>
        </w:tc>
      </w:tr>
      <w:tr>
        <w:tc>
          <w:tcPr/>
          <w:p>
            <w:pPr>
              <w:pStyle w:val="Compact"/>
              <w:jc w:val="left"/>
            </w:pPr>
            <w:r>
              <w:t xml:space="preserve">Refrigerant Charge (R290 - Propane)</w:t>
            </w:r>
          </w:p>
        </w:tc>
        <w:tc>
          <w:tcPr/>
          <w:p>
            <w:pPr>
              <w:pStyle w:val="Compact"/>
              <w:jc w:val="left"/>
            </w:pPr>
            <w:r>
              <w:t xml:space="preserve">MES Batch Log</w:t>
            </w:r>
          </w:p>
        </w:tc>
        <w:tc>
          <w:tcPr/>
          <w:p>
            <w:pPr>
              <w:pStyle w:val="Compact"/>
              <w:jc w:val="left"/>
            </w:pPr>
            <w:r>
              <w:t xml:space="preserve">1.20 kg</w:t>
            </w:r>
          </w:p>
        </w:tc>
        <w:tc>
          <w:tcPr/>
          <w:p>
            <w:pPr>
              <w:pStyle w:val="Compact"/>
              <w:jc w:val="left"/>
            </w:pPr>
            <w:r>
              <w:t xml:space="preserve">Hydrocarbon Fluid</w:t>
            </w:r>
          </w:p>
        </w:tc>
        <w:tc>
          <w:tcPr/>
          <w:p>
            <w:pPr>
              <w:pStyle w:val="Compact"/>
              <w:jc w:val="left"/>
            </w:pPr>
            <w:r>
              <w:t xml:space="preserve">Netherlands</w:t>
            </w:r>
          </w:p>
        </w:tc>
      </w:tr>
      <w:tr>
        <w:tc>
          <w:tcPr/>
          <w:p>
            <w:pPr>
              <w:pStyle w:val="Compact"/>
              <w:jc w:val="left"/>
            </w:pPr>
            <w:r>
              <w:t xml:space="preserve">Packaging (Pallet &amp; Corrugated Box)</w:t>
            </w:r>
          </w:p>
        </w:tc>
        <w:tc>
          <w:tcPr/>
          <w:p>
            <w:pPr>
              <w:pStyle w:val="Compact"/>
              <w:jc w:val="left"/>
            </w:pPr>
            <w:r>
              <w:t xml:space="preserve">Primary Weight</w:t>
            </w:r>
          </w:p>
        </w:tc>
        <w:tc>
          <w:tcPr/>
          <w:p>
            <w:pPr>
              <w:pStyle w:val="Compact"/>
              <w:jc w:val="left"/>
            </w:pPr>
            <w:r>
              <w:t xml:space="preserve">12.00 kg (8kg Wood, 4kg Paper)</w:t>
            </w:r>
          </w:p>
        </w:tc>
        <w:tc>
          <w:tcPr/>
          <w:p>
            <w:pPr>
              <w:pStyle w:val="Compact"/>
              <w:jc w:val="left"/>
            </w:pPr>
            <w:r>
              <w:t xml:space="preserve">Biogenic Timber &amp; Fibre</w:t>
            </w:r>
          </w:p>
        </w:tc>
        <w:tc>
          <w:tcPr/>
          <w:p>
            <w:pPr>
              <w:pStyle w:val="Compact"/>
              <w:jc w:val="left"/>
            </w:pPr>
            <w:r>
              <w:t xml:space="preserve">FSC Certified (Sweden/NL)</w:t>
            </w:r>
          </w:p>
        </w:tc>
      </w:tr>
      <w:tr>
        <w:tc>
          <w:tcPr/>
          <w:p>
            <w:pPr>
              <w:pStyle w:val="Compact"/>
              <w:jc w:val="left"/>
            </w:pPr>
            <w:r>
              <w:t xml:space="preserve">Electricity (Final Assembly &amp; Testing)</w:t>
            </w:r>
          </w:p>
        </w:tc>
        <w:tc>
          <w:tcPr/>
          <w:p>
            <w:pPr>
              <w:pStyle w:val="Compact"/>
              <w:jc w:val="left"/>
            </w:pPr>
            <w:r>
              <w:t xml:space="preserve">Sub-metered MES</w:t>
            </w:r>
          </w:p>
        </w:tc>
        <w:tc>
          <w:tcPr/>
          <w:p>
            <w:pPr>
              <w:pStyle w:val="Compact"/>
              <w:jc w:val="left"/>
            </w:pPr>
            <w:r>
              <w:t xml:space="preserve">165.00 kWh</w:t>
            </w:r>
          </w:p>
        </w:tc>
        <w:tc>
          <w:tcPr/>
          <w:p>
            <w:pPr>
              <w:pStyle w:val="Compact"/>
              <w:jc w:val="left"/>
            </w:pPr>
            <w:r>
              <w:t xml:space="preserve">Purchased Electricity</w:t>
            </w:r>
          </w:p>
        </w:tc>
        <w:tc>
          <w:tcPr/>
          <w:p>
            <w:pPr>
              <w:pStyle w:val="Compact"/>
              <w:jc w:val="left"/>
            </w:pPr>
            <w:r>
              <w:t xml:space="preserve">Dutch Grid (Eindhoven)</w:t>
            </w:r>
          </w:p>
        </w:tc>
      </w:tr>
      <w:tr>
        <w:tc>
          <w:tcPr/>
          <w:p>
            <w:pPr>
              <w:pStyle w:val="Compact"/>
              <w:jc w:val="left"/>
            </w:pPr>
            <w:r>
              <w:t xml:space="preserve">Natural Gas (Facility Space Conditioning)</w:t>
            </w:r>
          </w:p>
        </w:tc>
        <w:tc>
          <w:tcPr/>
          <w:p>
            <w:pPr>
              <w:pStyle w:val="Compact"/>
              <w:jc w:val="left"/>
            </w:pPr>
            <w:r>
              <w:t xml:space="preserve">Utility Meter</w:t>
            </w:r>
          </w:p>
        </w:tc>
        <w:tc>
          <w:tcPr/>
          <w:p>
            <w:pPr>
              <w:pStyle w:val="Compact"/>
              <w:jc w:val="left"/>
            </w:pPr>
            <w:r>
              <w:t xml:space="preserve">4.50 m³ (~44.5 kWh)</w:t>
            </w:r>
          </w:p>
        </w:tc>
        <w:tc>
          <w:tcPr/>
          <w:p>
            <w:pPr>
              <w:pStyle w:val="Compact"/>
              <w:jc w:val="left"/>
            </w:pPr>
            <w:r>
              <w:t xml:space="preserve">Combustion Fuel</w:t>
            </w:r>
          </w:p>
        </w:tc>
        <w:tc>
          <w:tcPr/>
          <w:p>
            <w:pPr>
              <w:pStyle w:val="Compact"/>
              <w:jc w:val="left"/>
            </w:pPr>
            <w:r>
              <w:t xml:space="preserve">Dutch Gas Grid</w:t>
            </w:r>
          </w:p>
        </w:tc>
      </w:tr>
    </w:tbl>
    <w:p>
      <w:r>
        <w:pict>
          <v:rect style="width:0;height:1.5pt" o:hralign="center" o:hrstd="t" o:hr="t"/>
        </w:pict>
      </w:r>
    </w:p>
    <w:bookmarkEnd w:id="23"/>
    <w:bookmarkStart w:id="25" w:name="X62033ad6595dff2b9fcbd5b402506aee1d9fba7"/>
    <w:p>
      <w:pPr>
        <w:pStyle w:val="Heading2"/>
      </w:pPr>
      <w:r>
        <w:t xml:space="preserve">Step 4: Emission Calculation &amp; Protocol Categorization</w:t>
      </w:r>
    </w:p>
    <w:p>
      <w:pPr>
        <w:pStyle w:val="FirstParagraph"/>
      </w:pPr>
      <w:r>
        <w:t xml:space="preserve">Emissions are modeled via standard activity multiplication:</w:t>
      </w:r>
      <w:r>
        <w:t xml:space="preserve"> </w:t>
      </w:r>
      <w:r>
        <w:rPr>
          <w:iCs/>
          <w:i/>
        </w:rPr>
        <w:t xml:space="preserve">Emission = Activity Data × Emission Factor (EF)</w:t>
      </w:r>
      <w:r>
        <w:t xml:space="preserve">. Emission factors are sourced from Ecoinvent v3.10 (Cut-Off System Model, 2025/2026 update), European Reference Life Cycle Database (ELCD), and Dutch National Environmental Database (NMD). Global Warming Potentials (GWPs) are derived from the IPCC Sixth Assessment Report (AR6) over a 100-year time horizon.</w:t>
      </w:r>
    </w:p>
    <w:bookmarkStart w:id="24" w:name="X7938f6dc654ec8980abb582fd0ec28eb726bf6e"/>
    <w:p>
      <w:pPr>
        <w:pStyle w:val="Heading3"/>
      </w:pPr>
      <w:r>
        <w:t xml:space="preserve">Table 4.1: Comprehensive Emissions Breakdown (Scopes 1, 2, and Upstream Scope 3)</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GHG Scope</w:t>
            </w:r>
          </w:p>
        </w:tc>
        <w:tc>
          <w:tcPr/>
          <w:p>
            <w:pPr>
              <w:pStyle w:val="Compact"/>
              <w:jc w:val="left"/>
            </w:pPr>
            <w:r>
              <w:t xml:space="preserve">Emission Source &amp; LCI Stage</w:t>
            </w:r>
          </w:p>
        </w:tc>
        <w:tc>
          <w:tcPr/>
          <w:p>
            <w:pPr>
              <w:pStyle w:val="Compact"/>
              <w:jc w:val="right"/>
            </w:pPr>
            <w:r>
              <w:t xml:space="preserve">Activity Amount</w:t>
            </w:r>
          </w:p>
        </w:tc>
        <w:tc>
          <w:tcPr/>
          <w:p>
            <w:pPr>
              <w:pStyle w:val="Compact"/>
              <w:jc w:val="left"/>
            </w:pPr>
            <w:r>
              <w:t xml:space="preserve">Emission Factor &amp; Source</w:t>
            </w:r>
          </w:p>
        </w:tc>
        <w:tc>
          <w:tcPr/>
          <w:p>
            <w:pPr>
              <w:pStyle w:val="Compact"/>
              <w:jc w:val="right"/>
            </w:pPr>
            <w:r>
              <w:t xml:space="preserve">GHG Emissions (kg CO</w:t>
            </w:r>
            <w:r>
              <w:rPr>
                <w:vertAlign w:val="subscript"/>
              </w:rPr>
              <w:t xml:space="preserve">2</w:t>
            </w:r>
            <w:r>
              <w:t xml:space="preserve">e)</w:t>
            </w:r>
          </w:p>
        </w:tc>
      </w:tr>
      <w:tr>
        <w:tc>
          <w:tcPr/>
          <w:p>
            <w:pPr>
              <w:pStyle w:val="Compact"/>
              <w:jc w:val="left"/>
            </w:pPr>
            <w:r>
              <w:t xml:space="preserve">Scope 1</w:t>
            </w:r>
          </w:p>
        </w:tc>
        <w:tc>
          <w:tcPr/>
          <w:p>
            <w:pPr>
              <w:pStyle w:val="Compact"/>
              <w:jc w:val="left"/>
            </w:pPr>
            <w:r>
              <w:t xml:space="preserve">Factory Heating: Natural Gas Combustion</w:t>
            </w:r>
          </w:p>
        </w:tc>
        <w:tc>
          <w:tcPr/>
          <w:p>
            <w:pPr>
              <w:pStyle w:val="Compact"/>
              <w:jc w:val="left"/>
            </w:pPr>
            <w:r>
              <w:t xml:space="preserve">4.50 m³</w:t>
            </w:r>
          </w:p>
        </w:tc>
        <w:tc>
          <w:tcPr/>
          <w:p>
            <w:pPr>
              <w:pStyle w:val="Compact"/>
              <w:jc w:val="left"/>
            </w:pPr>
            <w:r>
              <w:t xml:space="preserve">2.024 kg CO</w:t>
            </w:r>
            <w:r>
              <w:rPr>
                <w:vertAlign w:val="subscript"/>
              </w:rPr>
              <w:t xml:space="preserve">2</w:t>
            </w:r>
            <w:r>
              <w:t xml:space="preserve">e/m³ (DEFRA 2025)</w:t>
            </w:r>
          </w:p>
        </w:tc>
        <w:tc>
          <w:tcPr/>
          <w:p>
            <w:pPr>
              <w:pStyle w:val="Compact"/>
              <w:jc w:val="left"/>
            </w:pPr>
            <w:r>
              <w:t xml:space="preserve">9.11</w:t>
            </w:r>
          </w:p>
        </w:tc>
      </w:tr>
      <w:tr>
        <w:tc>
          <w:tcPr/>
          <w:p>
            <w:pPr>
              <w:pStyle w:val="Compact"/>
              <w:jc w:val="left"/>
            </w:pPr>
            <w:r>
              <w:t xml:space="preserve">Scope 1</w:t>
            </w:r>
          </w:p>
        </w:tc>
        <w:tc>
          <w:tcPr/>
          <w:p>
            <w:pPr>
              <w:pStyle w:val="Compact"/>
              <w:jc w:val="left"/>
            </w:pPr>
            <w:r>
              <w:t xml:space="preserve">Process Fugitive Emissions (R290 losses, 0.5%)</w:t>
            </w:r>
          </w:p>
        </w:tc>
        <w:tc>
          <w:tcPr/>
          <w:p>
            <w:pPr>
              <w:pStyle w:val="Compact"/>
              <w:jc w:val="left"/>
            </w:pPr>
            <w:r>
              <w:t xml:space="preserve">0.006 kg</w:t>
            </w:r>
          </w:p>
        </w:tc>
        <w:tc>
          <w:tcPr/>
          <w:p>
            <w:pPr>
              <w:pStyle w:val="Compact"/>
              <w:jc w:val="left"/>
            </w:pPr>
            <w:r>
              <w:t xml:space="preserve">0.020 kg CO</w:t>
            </w:r>
            <w:r>
              <w:rPr>
                <w:vertAlign w:val="subscript"/>
              </w:rPr>
              <w:t xml:space="preserve">2</w:t>
            </w:r>
            <w:r>
              <w:t xml:space="preserve">e/kg (AR6 GWP-100)</w:t>
            </w:r>
          </w:p>
        </w:tc>
        <w:tc>
          <w:tcPr/>
          <w:p>
            <w:pPr>
              <w:pStyle w:val="Compact"/>
              <w:jc w:val="left"/>
            </w:pPr>
            <w:r>
              <w:t xml:space="preserve">&lt; 0.01</w:t>
            </w:r>
          </w:p>
        </w:tc>
      </w:tr>
      <w:tr>
        <w:tc>
          <w:tcPr/>
          <w:p>
            <w:pPr>
              <w:pStyle w:val="Compact"/>
              <w:jc w:val="left"/>
            </w:pPr>
            <w:r>
              <w:t xml:space="preserve">Scope 1</w:t>
            </w:r>
          </w:p>
        </w:tc>
        <w:tc>
          <w:tcPr/>
          <w:p>
            <w:pPr>
              <w:pStyle w:val="Compact"/>
              <w:jc w:val="left"/>
            </w:pPr>
            <w:r>
              <w:t xml:space="preserve">Factory Mobile Equipment &amp; Backup Gen</w:t>
            </w:r>
          </w:p>
        </w:tc>
        <w:tc>
          <w:tcPr/>
          <w:p>
            <w:pPr>
              <w:pStyle w:val="Compact"/>
              <w:jc w:val="left"/>
            </w:pPr>
            <w:r>
              <w:t xml:space="preserve">1.60 L Diesel</w:t>
            </w:r>
          </w:p>
        </w:tc>
        <w:tc>
          <w:tcPr/>
          <w:p>
            <w:pPr>
              <w:pStyle w:val="Compact"/>
              <w:jc w:val="left"/>
            </w:pPr>
            <w:r>
              <w:t xml:space="preserve">2.670 kg CO</w:t>
            </w:r>
            <w:r>
              <w:rPr>
                <w:vertAlign w:val="subscript"/>
              </w:rPr>
              <w:t xml:space="preserve">2</w:t>
            </w:r>
            <w:r>
              <w:t xml:space="preserve">e/L (DEFRA 2025)</w:t>
            </w:r>
          </w:p>
        </w:tc>
        <w:tc>
          <w:tcPr/>
          <w:p>
            <w:pPr>
              <w:pStyle w:val="Compact"/>
              <w:jc w:val="left"/>
            </w:pPr>
            <w:r>
              <w:t xml:space="preserve">4.24</w:t>
            </w:r>
          </w:p>
        </w:tc>
      </w:tr>
      <w:tr>
        <w:tc>
          <w:tcPr>
            <w:gridSpan w:val="4"/>
          </w:tcPr>
          <w:p>
            <w:pPr>
              <w:pStyle w:val="Compact"/>
              <w:jc w:val="left"/>
            </w:pPr>
            <w:r>
              <w:t xml:space="preserve">Subtotal Scope 1 Direct Emissions</w:t>
            </w:r>
          </w:p>
        </w:tc>
        <w:tc>
          <w:tcPr/>
          <w:p>
            <w:pPr>
              <w:pStyle w:val="Compact"/>
              <w:jc w:val="left"/>
            </w:pPr>
            <w:r>
              <w:t xml:space="preserve">13.35</w:t>
            </w:r>
          </w:p>
        </w:tc>
      </w:tr>
      <w:tr>
        <w:tc>
          <w:tcPr/>
          <w:p>
            <w:pPr>
              <w:pStyle w:val="Compact"/>
              <w:jc w:val="left"/>
            </w:pPr>
            <w:r>
              <w:t xml:space="preserve">Scope 2</w:t>
            </w:r>
          </w:p>
        </w:tc>
        <w:tc>
          <w:tcPr/>
          <w:p>
            <w:pPr>
              <w:pStyle w:val="Compact"/>
              <w:jc w:val="left"/>
            </w:pPr>
            <w:r>
              <w:t xml:space="preserve">Purchased Electricity (Location-Based: Dutch Residual Mix)</w:t>
            </w:r>
          </w:p>
        </w:tc>
        <w:tc>
          <w:tcPr/>
          <w:p>
            <w:pPr>
              <w:pStyle w:val="Compact"/>
              <w:jc w:val="left"/>
            </w:pPr>
            <w:r>
              <w:t xml:space="preserve">165.00 kWh</w:t>
            </w:r>
          </w:p>
        </w:tc>
        <w:tc>
          <w:tcPr/>
          <w:p>
            <w:pPr>
              <w:pStyle w:val="Compact"/>
              <w:jc w:val="left"/>
            </w:pPr>
            <w:r>
              <w:t xml:space="preserve">0.3151 kg CO</w:t>
            </w:r>
            <w:r>
              <w:rPr>
                <w:vertAlign w:val="subscript"/>
              </w:rPr>
              <w:t xml:space="preserve">2</w:t>
            </w:r>
            <w:r>
              <w:t xml:space="preserve">e/kWh (AIB 2025 / NMD)</w:t>
            </w:r>
          </w:p>
        </w:tc>
        <w:tc>
          <w:tcPr/>
          <w:p>
            <w:pPr>
              <w:pStyle w:val="Compact"/>
              <w:jc w:val="left"/>
            </w:pPr>
            <w:r>
              <w:t xml:space="preserve">52.00</w:t>
            </w:r>
          </w:p>
        </w:tc>
      </w:tr>
      <w:tr>
        <w:tc>
          <w:tcPr>
            <w:gridSpan w:val="4"/>
          </w:tcPr>
          <w:p>
            <w:pPr>
              <w:pStyle w:val="Compact"/>
              <w:jc w:val="left"/>
            </w:pPr>
            <w:r>
              <w:t xml:space="preserve">Subtotal Scope 2 Indirect Energy Emissions</w:t>
            </w:r>
          </w:p>
        </w:tc>
        <w:tc>
          <w:tcPr/>
          <w:p>
            <w:pPr>
              <w:pStyle w:val="Compact"/>
              <w:jc w:val="left"/>
            </w:pPr>
            <w:r>
              <w:t xml:space="preserve">52.00</w:t>
            </w:r>
          </w:p>
        </w:tc>
      </w:tr>
      <w:tr>
        <w:tc>
          <w:tcPr/>
          <w:p>
            <w:pPr>
              <w:pStyle w:val="Compact"/>
              <w:jc w:val="left"/>
            </w:pPr>
            <w:r>
              <w:t xml:space="preserve">Scope 3.1</w:t>
            </w:r>
          </w:p>
        </w:tc>
        <w:tc>
          <w:tcPr/>
          <w:p>
            <w:pPr>
              <w:pStyle w:val="Compact"/>
              <w:jc w:val="left"/>
            </w:pPr>
            <w:r>
              <w:t xml:space="preserve">Galvanized Steel Sheet (BOM)</w:t>
            </w:r>
          </w:p>
        </w:tc>
        <w:tc>
          <w:tcPr/>
          <w:p>
            <w:pPr>
              <w:pStyle w:val="Compact"/>
              <w:jc w:val="left"/>
            </w:pPr>
            <w:r>
              <w:t xml:space="preserve">55.00 kg</w:t>
            </w:r>
          </w:p>
        </w:tc>
        <w:tc>
          <w:tcPr/>
          <w:p>
            <w:pPr>
              <w:pStyle w:val="Compact"/>
              <w:jc w:val="left"/>
            </w:pPr>
            <w:r>
              <w:t xml:space="preserve">2.150 kg CO</w:t>
            </w:r>
            <w:r>
              <w:rPr>
                <w:vertAlign w:val="subscript"/>
              </w:rPr>
              <w:t xml:space="preserve">2</w:t>
            </w:r>
            <w:r>
              <w:t xml:space="preserve">e/kg (WorldSteel EU)</w:t>
            </w:r>
          </w:p>
        </w:tc>
        <w:tc>
          <w:tcPr/>
          <w:p>
            <w:pPr>
              <w:pStyle w:val="Compact"/>
              <w:jc w:val="left"/>
            </w:pPr>
            <w:r>
              <w:t xml:space="preserve">118.25</w:t>
            </w:r>
          </w:p>
        </w:tc>
      </w:tr>
      <w:tr>
        <w:tc>
          <w:tcPr/>
          <w:p>
            <w:pPr>
              <w:pStyle w:val="Compact"/>
              <w:jc w:val="left"/>
            </w:pPr>
            <w:r>
              <w:t xml:space="preserve">Scope 3.1</w:t>
            </w:r>
          </w:p>
        </w:tc>
        <w:tc>
          <w:tcPr/>
          <w:p>
            <w:pPr>
              <w:pStyle w:val="Compact"/>
              <w:jc w:val="left"/>
            </w:pPr>
            <w:r>
              <w:t xml:space="preserve">Extruded Aluminum Heat Exchanger Fins</w:t>
            </w:r>
          </w:p>
        </w:tc>
        <w:tc>
          <w:tcPr/>
          <w:p>
            <w:pPr>
              <w:pStyle w:val="Compact"/>
              <w:jc w:val="left"/>
            </w:pPr>
            <w:r>
              <w:t xml:space="preserve">22.00 kg</w:t>
            </w:r>
          </w:p>
        </w:tc>
        <w:tc>
          <w:tcPr/>
          <w:p>
            <w:pPr>
              <w:pStyle w:val="Compact"/>
              <w:jc w:val="left"/>
            </w:pPr>
            <w:r>
              <w:t xml:space="preserve">6.800 kg CO</w:t>
            </w:r>
            <w:r>
              <w:rPr>
                <w:vertAlign w:val="subscript"/>
              </w:rPr>
              <w:t xml:space="preserve">2</w:t>
            </w:r>
            <w:r>
              <w:t xml:space="preserve">e/kg (EAA European Avg)</w:t>
            </w:r>
          </w:p>
        </w:tc>
        <w:tc>
          <w:tcPr/>
          <w:p>
            <w:pPr>
              <w:pStyle w:val="Compact"/>
              <w:jc w:val="left"/>
            </w:pPr>
            <w:r>
              <w:t xml:space="preserve">149.60</w:t>
            </w:r>
          </w:p>
        </w:tc>
      </w:tr>
      <w:tr>
        <w:tc>
          <w:tcPr/>
          <w:p>
            <w:pPr>
              <w:pStyle w:val="Compact"/>
              <w:jc w:val="left"/>
            </w:pPr>
            <w:r>
              <w:t xml:space="preserve">Scope 3.1</w:t>
            </w:r>
          </w:p>
        </w:tc>
        <w:tc>
          <w:tcPr/>
          <w:p>
            <w:pPr>
              <w:pStyle w:val="Compact"/>
              <w:jc w:val="left"/>
            </w:pPr>
            <w:r>
              <w:t xml:space="preserve">Copper Tubing &amp; Distribution Pipework</w:t>
            </w:r>
          </w:p>
        </w:tc>
        <w:tc>
          <w:tcPr/>
          <w:p>
            <w:pPr>
              <w:pStyle w:val="Compact"/>
              <w:jc w:val="left"/>
            </w:pPr>
            <w:r>
              <w:t xml:space="preserve">18.00 kg</w:t>
            </w:r>
          </w:p>
        </w:tc>
        <w:tc>
          <w:tcPr/>
          <w:p>
            <w:pPr>
              <w:pStyle w:val="Compact"/>
              <w:jc w:val="left"/>
            </w:pPr>
            <w:r>
              <w:t xml:space="preserve">4.100 kg CO</w:t>
            </w:r>
            <w:r>
              <w:rPr>
                <w:vertAlign w:val="subscript"/>
              </w:rPr>
              <w:t xml:space="preserve">2</w:t>
            </w:r>
            <w:r>
              <w:t xml:space="preserve">e/kg (ICA Europe LCI)</w:t>
            </w:r>
          </w:p>
        </w:tc>
        <w:tc>
          <w:tcPr/>
          <w:p>
            <w:pPr>
              <w:pStyle w:val="Compact"/>
              <w:jc w:val="left"/>
            </w:pPr>
            <w:r>
              <w:t xml:space="preserve">73.80</w:t>
            </w:r>
          </w:p>
        </w:tc>
      </w:tr>
      <w:tr>
        <w:tc>
          <w:tcPr/>
          <w:p>
            <w:pPr>
              <w:pStyle w:val="Compact"/>
              <w:jc w:val="left"/>
            </w:pPr>
            <w:r>
              <w:t xml:space="preserve">Scope 3.1</w:t>
            </w:r>
          </w:p>
        </w:tc>
        <w:tc>
          <w:tcPr/>
          <w:p>
            <w:pPr>
              <w:pStyle w:val="Compact"/>
              <w:jc w:val="left"/>
            </w:pPr>
            <w:r>
              <w:t xml:space="preserve">Inverter &amp; Silicon Semiconductor Module (PCBA)</w:t>
            </w:r>
          </w:p>
        </w:tc>
        <w:tc>
          <w:tcPr/>
          <w:p>
            <w:pPr>
              <w:pStyle w:val="Compact"/>
              <w:jc w:val="left"/>
            </w:pPr>
            <w:r>
              <w:t xml:space="preserve">6.50 kg</w:t>
            </w:r>
          </w:p>
        </w:tc>
        <w:tc>
          <w:tcPr/>
          <w:p>
            <w:pPr>
              <w:pStyle w:val="Compact"/>
              <w:jc w:val="left"/>
            </w:pPr>
            <w:r>
              <w:t xml:space="preserve">24.500 kg CO</w:t>
            </w:r>
            <w:r>
              <w:rPr>
                <w:vertAlign w:val="subscript"/>
              </w:rPr>
              <w:t xml:space="preserve">2</w:t>
            </w:r>
            <w:r>
              <w:t xml:space="preserve">e/kg (Ecoinvent 3.10)</w:t>
            </w:r>
          </w:p>
        </w:tc>
        <w:tc>
          <w:tcPr/>
          <w:p>
            <w:pPr>
              <w:pStyle w:val="Compact"/>
              <w:jc w:val="left"/>
            </w:pPr>
            <w:r>
              <w:t xml:space="preserve">159.25</w:t>
            </w:r>
          </w:p>
        </w:tc>
      </w:tr>
      <w:tr>
        <w:tc>
          <w:tcPr/>
          <w:p>
            <w:pPr>
              <w:pStyle w:val="Compact"/>
              <w:jc w:val="left"/>
            </w:pPr>
            <w:r>
              <w:t xml:space="preserve">Scope 3.1</w:t>
            </w:r>
          </w:p>
        </w:tc>
        <w:tc>
          <w:tcPr/>
          <w:p>
            <w:pPr>
              <w:pStyle w:val="Compact"/>
              <w:jc w:val="left"/>
            </w:pPr>
            <w:r>
              <w:t xml:space="preserve">Polymer Thermal Insulation (EPP)</w:t>
            </w:r>
          </w:p>
        </w:tc>
        <w:tc>
          <w:tcPr/>
          <w:p>
            <w:pPr>
              <w:pStyle w:val="Compact"/>
              <w:jc w:val="left"/>
            </w:pPr>
            <w:r>
              <w:t xml:space="preserve">8.00 kg</w:t>
            </w:r>
          </w:p>
        </w:tc>
        <w:tc>
          <w:tcPr/>
          <w:p>
            <w:pPr>
              <w:pStyle w:val="Compact"/>
              <w:jc w:val="left"/>
            </w:pPr>
            <w:r>
              <w:t xml:space="preserve">2.950 kg CO</w:t>
            </w:r>
            <w:r>
              <w:rPr>
                <w:vertAlign w:val="subscript"/>
              </w:rPr>
              <w:t xml:space="preserve">2</w:t>
            </w:r>
            <w:r>
              <w:t xml:space="preserve">e/kg (PlasticsEurope)</w:t>
            </w:r>
          </w:p>
        </w:tc>
        <w:tc>
          <w:tcPr/>
          <w:p>
            <w:pPr>
              <w:pStyle w:val="Compact"/>
              <w:jc w:val="left"/>
            </w:pPr>
            <w:r>
              <w:t xml:space="preserve">23.60</w:t>
            </w:r>
          </w:p>
        </w:tc>
      </w:tr>
      <w:tr>
        <w:tc>
          <w:tcPr/>
          <w:p>
            <w:pPr>
              <w:pStyle w:val="Compact"/>
              <w:jc w:val="left"/>
            </w:pPr>
            <w:r>
              <w:t xml:space="preserve">Scope 3.1</w:t>
            </w:r>
          </w:p>
        </w:tc>
        <w:tc>
          <w:tcPr/>
          <w:p>
            <w:pPr>
              <w:pStyle w:val="Compact"/>
              <w:jc w:val="left"/>
            </w:pPr>
            <w:r>
              <w:t xml:space="preserve">Hermetic Scroll Compressor Assembly</w:t>
            </w:r>
          </w:p>
        </w:tc>
        <w:tc>
          <w:tcPr/>
          <w:p>
            <w:pPr>
              <w:pStyle w:val="Compact"/>
              <w:jc w:val="left"/>
            </w:pPr>
            <w:r>
              <w:t xml:space="preserve">28.00 kg</w:t>
            </w:r>
          </w:p>
        </w:tc>
        <w:tc>
          <w:tcPr/>
          <w:p>
            <w:pPr>
              <w:pStyle w:val="Compact"/>
              <w:jc w:val="left"/>
            </w:pPr>
            <w:r>
              <w:t xml:space="preserve">3.400 kg CO</w:t>
            </w:r>
            <w:r>
              <w:rPr>
                <w:vertAlign w:val="subscript"/>
              </w:rPr>
              <w:t xml:space="preserve">2</w:t>
            </w:r>
            <w:r>
              <w:t xml:space="preserve">e/kg (Specific Supplier EPD)</w:t>
            </w:r>
          </w:p>
        </w:tc>
        <w:tc>
          <w:tcPr/>
          <w:p>
            <w:pPr>
              <w:pStyle w:val="Compact"/>
              <w:jc w:val="left"/>
            </w:pPr>
            <w:r>
              <w:t xml:space="preserve">95.20</w:t>
            </w:r>
          </w:p>
        </w:tc>
      </w:tr>
      <w:tr>
        <w:tc>
          <w:tcPr/>
          <w:p>
            <w:pPr>
              <w:pStyle w:val="Compact"/>
              <w:jc w:val="left"/>
            </w:pPr>
            <w:r>
              <w:t xml:space="preserve">Scope 3.1</w:t>
            </w:r>
          </w:p>
        </w:tc>
        <w:tc>
          <w:tcPr/>
          <w:p>
            <w:pPr>
              <w:pStyle w:val="Compact"/>
              <w:jc w:val="left"/>
            </w:pPr>
            <w:r>
              <w:t xml:space="preserve">R290 Refrigerant Production</w:t>
            </w:r>
          </w:p>
        </w:tc>
        <w:tc>
          <w:tcPr/>
          <w:p>
            <w:pPr>
              <w:pStyle w:val="Compact"/>
              <w:jc w:val="left"/>
            </w:pPr>
            <w:r>
              <w:t xml:space="preserve">1.20 kg</w:t>
            </w:r>
          </w:p>
        </w:tc>
        <w:tc>
          <w:tcPr/>
          <w:p>
            <w:pPr>
              <w:pStyle w:val="Compact"/>
              <w:jc w:val="left"/>
            </w:pPr>
            <w:r>
              <w:t xml:space="preserve">1.650 kg CO</w:t>
            </w:r>
            <w:r>
              <w:rPr>
                <w:vertAlign w:val="subscript"/>
              </w:rPr>
              <w:t xml:space="preserve">2</w:t>
            </w:r>
            <w:r>
              <w:t xml:space="preserve">e/kg (Ecoinvent 3.10)</w:t>
            </w:r>
          </w:p>
        </w:tc>
        <w:tc>
          <w:tcPr/>
          <w:p>
            <w:pPr>
              <w:pStyle w:val="Compact"/>
              <w:jc w:val="left"/>
            </w:pPr>
            <w:r>
              <w:t xml:space="preserve">1.98</w:t>
            </w:r>
          </w:p>
        </w:tc>
      </w:tr>
      <w:tr>
        <w:tc>
          <w:tcPr/>
          <w:p>
            <w:pPr>
              <w:pStyle w:val="Compact"/>
              <w:jc w:val="left"/>
            </w:pPr>
            <w:r>
              <w:t xml:space="preserve">Scope 3.1</w:t>
            </w:r>
          </w:p>
        </w:tc>
        <w:tc>
          <w:tcPr/>
          <w:p>
            <w:pPr>
              <w:pStyle w:val="Compact"/>
              <w:jc w:val="left"/>
            </w:pPr>
            <w:r>
              <w:t xml:space="preserve">Packaging: Solid Wood Pallet &amp; Corrugated Box</w:t>
            </w:r>
          </w:p>
        </w:tc>
        <w:tc>
          <w:tcPr/>
          <w:p>
            <w:pPr>
              <w:pStyle w:val="Compact"/>
              <w:jc w:val="left"/>
            </w:pPr>
            <w:r>
              <w:t xml:space="preserve">12.00 kg</w:t>
            </w:r>
          </w:p>
        </w:tc>
        <w:tc>
          <w:tcPr/>
          <w:p>
            <w:pPr>
              <w:pStyle w:val="Compact"/>
              <w:jc w:val="left"/>
            </w:pPr>
            <w:r>
              <w:t xml:space="preserve">0.518 kg CO</w:t>
            </w:r>
            <w:r>
              <w:rPr>
                <w:vertAlign w:val="subscript"/>
              </w:rPr>
              <w:t xml:space="preserve">2</w:t>
            </w:r>
            <w:r>
              <w:t xml:space="preserve">e/kg (FEFCO / DEFRA)</w:t>
            </w:r>
          </w:p>
        </w:tc>
        <w:tc>
          <w:tcPr/>
          <w:p>
            <w:pPr>
              <w:pStyle w:val="Compact"/>
              <w:jc w:val="left"/>
            </w:pPr>
            <w:r>
              <w:t xml:space="preserve">6.22</w:t>
            </w:r>
          </w:p>
        </w:tc>
      </w:tr>
      <w:tr>
        <w:tc>
          <w:tcPr/>
          <w:p>
            <w:pPr>
              <w:pStyle w:val="Compact"/>
              <w:jc w:val="left"/>
            </w:pPr>
            <w:r>
              <w:t xml:space="preserve">Scope 3.2</w:t>
            </w:r>
          </w:p>
        </w:tc>
        <w:tc>
          <w:tcPr/>
          <w:p>
            <w:pPr>
              <w:pStyle w:val="Compact"/>
              <w:jc w:val="left"/>
            </w:pPr>
            <w:r>
              <w:t xml:space="preserve">Capital Goods (Plant Tooling &amp; Press Depreciation)</w:t>
            </w:r>
          </w:p>
        </w:tc>
        <w:tc>
          <w:tcPr/>
          <w:p>
            <w:pPr>
              <w:pStyle w:val="Compact"/>
              <w:jc w:val="left"/>
            </w:pPr>
            <w:r>
              <w:t xml:space="preserve">1.0 unit alloc.</w:t>
            </w:r>
          </w:p>
        </w:tc>
        <w:tc>
          <w:tcPr/>
          <w:p>
            <w:pPr>
              <w:pStyle w:val="Compact"/>
              <w:jc w:val="left"/>
            </w:pPr>
            <w:r>
              <w:t xml:space="preserve">14.500 kg CO</w:t>
            </w:r>
            <w:r>
              <w:rPr>
                <w:vertAlign w:val="subscript"/>
              </w:rPr>
              <w:t xml:space="preserve">2</w:t>
            </w:r>
            <w:r>
              <w:t xml:space="preserve">e/unit (Facility EPD)</w:t>
            </w:r>
          </w:p>
        </w:tc>
        <w:tc>
          <w:tcPr/>
          <w:p>
            <w:pPr>
              <w:pStyle w:val="Compact"/>
              <w:jc w:val="left"/>
            </w:pPr>
            <w:r>
              <w:t xml:space="preserve">14.50</w:t>
            </w:r>
          </w:p>
        </w:tc>
      </w:tr>
      <w:tr>
        <w:tc>
          <w:tcPr/>
          <w:p>
            <w:pPr>
              <w:pStyle w:val="Compact"/>
              <w:jc w:val="left"/>
            </w:pPr>
            <w:r>
              <w:t xml:space="preserve">Scope 3.3</w:t>
            </w:r>
          </w:p>
        </w:tc>
        <w:tc>
          <w:tcPr/>
          <w:p>
            <w:pPr>
              <w:pStyle w:val="Compact"/>
              <w:jc w:val="left"/>
            </w:pPr>
            <w:r>
              <w:t xml:space="preserve">Fuel- and Energy-Related Activities (FERA, T&amp;D Losses)</w:t>
            </w:r>
          </w:p>
        </w:tc>
        <w:tc>
          <w:tcPr/>
          <w:p>
            <w:pPr>
              <w:pStyle w:val="Compact"/>
              <w:jc w:val="left"/>
            </w:pPr>
            <w:r>
              <w:t xml:space="preserve">165 kWh / 4.5 m³</w:t>
            </w:r>
          </w:p>
        </w:tc>
        <w:tc>
          <w:tcPr/>
          <w:p>
            <w:pPr>
              <w:pStyle w:val="Compact"/>
              <w:jc w:val="left"/>
            </w:pPr>
            <w:r>
              <w:t xml:space="preserve">0.0715 kg CO</w:t>
            </w:r>
            <w:r>
              <w:rPr>
                <w:vertAlign w:val="subscript"/>
              </w:rPr>
              <w:t xml:space="preserve">2</w:t>
            </w:r>
            <w:r>
              <w:t xml:space="preserve">e/kWh eq (DEFRA 2025)</w:t>
            </w:r>
          </w:p>
        </w:tc>
        <w:tc>
          <w:tcPr/>
          <w:p>
            <w:pPr>
              <w:pStyle w:val="Compact"/>
              <w:jc w:val="left"/>
            </w:pPr>
            <w:r>
              <w:t xml:space="preserve">11.80</w:t>
            </w:r>
          </w:p>
        </w:tc>
      </w:tr>
      <w:tr>
        <w:tc>
          <w:tcPr/>
          <w:p>
            <w:pPr>
              <w:pStyle w:val="Compact"/>
              <w:jc w:val="left"/>
            </w:pPr>
            <w:r>
              <w:t xml:space="preserve">Scope 3.4</w:t>
            </w:r>
          </w:p>
        </w:tc>
        <w:tc>
          <w:tcPr/>
          <w:p>
            <w:pPr>
              <w:pStyle w:val="Compact"/>
              <w:jc w:val="left"/>
            </w:pPr>
            <w:r>
              <w:t xml:space="preserve">Upstream Freight (EU Road/Rail Inbound Logistics)</w:t>
            </w:r>
          </w:p>
        </w:tc>
        <w:tc>
          <w:tcPr/>
          <w:p>
            <w:pPr>
              <w:pStyle w:val="Compact"/>
              <w:jc w:val="left"/>
            </w:pPr>
            <w:r>
              <w:t xml:space="preserve">195.4 tkm</w:t>
            </w:r>
          </w:p>
        </w:tc>
        <w:tc>
          <w:tcPr/>
          <w:p>
            <w:pPr>
              <w:pStyle w:val="Compact"/>
              <w:jc w:val="left"/>
            </w:pPr>
            <w:r>
              <w:t xml:space="preserve">0.1453 kg CO</w:t>
            </w:r>
            <w:r>
              <w:rPr>
                <w:vertAlign w:val="subscript"/>
              </w:rPr>
              <w:t xml:space="preserve">2</w:t>
            </w:r>
            <w:r>
              <w:t xml:space="preserve">e/tkm (EcoTransIT 2026)</w:t>
            </w:r>
          </w:p>
        </w:tc>
        <w:tc>
          <w:tcPr/>
          <w:p>
            <w:pPr>
              <w:pStyle w:val="Compact"/>
              <w:jc w:val="left"/>
            </w:pPr>
            <w:r>
              <w:t xml:space="preserve">28.40</w:t>
            </w:r>
          </w:p>
        </w:tc>
      </w:tr>
      <w:tr>
        <w:tc>
          <w:tcPr/>
          <w:p>
            <w:pPr>
              <w:pStyle w:val="Compact"/>
              <w:jc w:val="left"/>
            </w:pPr>
            <w:r>
              <w:t xml:space="preserve">Scope 3.5</w:t>
            </w:r>
          </w:p>
        </w:tc>
        <w:tc>
          <w:tcPr/>
          <w:p>
            <w:pPr>
              <w:pStyle w:val="Compact"/>
              <w:jc w:val="left"/>
            </w:pPr>
            <w:r>
              <w:t xml:space="preserve">Waste Generated in Operations (Metal Stamping Scrap)</w:t>
            </w:r>
          </w:p>
        </w:tc>
        <w:tc>
          <w:tcPr/>
          <w:p>
            <w:pPr>
              <w:pStyle w:val="Compact"/>
              <w:jc w:val="left"/>
            </w:pPr>
            <w:r>
              <w:t xml:space="preserve">7.20 kg scrap</w:t>
            </w:r>
          </w:p>
        </w:tc>
        <w:tc>
          <w:tcPr/>
          <w:p>
            <w:pPr>
              <w:pStyle w:val="Compact"/>
              <w:jc w:val="left"/>
            </w:pPr>
            <w:r>
              <w:t xml:space="preserve">0.669 kg CO</w:t>
            </w:r>
            <w:r>
              <w:rPr>
                <w:vertAlign w:val="subscript"/>
              </w:rPr>
              <w:t xml:space="preserve">2</w:t>
            </w:r>
            <w:r>
              <w:t xml:space="preserve">e/kg (DEFRA Treatment)</w:t>
            </w:r>
          </w:p>
        </w:tc>
        <w:tc>
          <w:tcPr/>
          <w:p>
            <w:pPr>
              <w:pStyle w:val="Compact"/>
              <w:jc w:val="left"/>
            </w:pPr>
            <w:r>
              <w:t xml:space="preserve">4.82</w:t>
            </w:r>
          </w:p>
        </w:tc>
      </w:tr>
      <w:tr>
        <w:tc>
          <w:tcPr>
            <w:gridSpan w:val="4"/>
          </w:tcPr>
          <w:p>
            <w:pPr>
              <w:pStyle w:val="Compact"/>
              <w:jc w:val="left"/>
            </w:pPr>
            <w:r>
              <w:t xml:space="preserve">Subtotal Scope 3 Upstream Value Chain Emissions</w:t>
            </w:r>
          </w:p>
        </w:tc>
        <w:tc>
          <w:tcPr/>
          <w:p>
            <w:pPr>
              <w:pStyle w:val="Compact"/>
              <w:jc w:val="left"/>
            </w:pPr>
            <w:r>
              <w:t xml:space="preserve">687.42</w:t>
            </w:r>
          </w:p>
        </w:tc>
      </w:tr>
      <w:tr>
        <w:tc>
          <w:tcPr>
            <w:gridSpan w:val="4"/>
          </w:tcPr>
          <w:p>
            <w:pPr>
              <w:pStyle w:val="Compact"/>
              <w:jc w:val="left"/>
            </w:pPr>
            <w:r>
              <w:t xml:space="preserve">TOTAL CRADLE-TO-GATE CARBON FOOTPRINT</w:t>
            </w:r>
          </w:p>
        </w:tc>
        <w:tc>
          <w:tcPr/>
          <w:p>
            <w:pPr>
              <w:pStyle w:val="Compact"/>
              <w:jc w:val="left"/>
            </w:pPr>
            <w:r>
              <w:t xml:space="preserve">752.77 kg CO</w:t>
            </w:r>
            <w:r>
              <w:rPr>
                <w:vertAlign w:val="subscript"/>
              </w:rPr>
              <w:t xml:space="preserve">2</w:t>
            </w:r>
            <w:r>
              <w:t xml:space="preserve">e</w:t>
            </w:r>
          </w:p>
        </w:tc>
      </w:tr>
    </w:tbl>
    <w:p>
      <w:r>
        <w:pict>
          <v:rect style="width:0;height:1.5pt" o:hralign="center" o:hrstd="t" o:hr="t"/>
        </w:pict>
      </w:r>
    </w:p>
    <w:bookmarkEnd w:id="24"/>
    <w:bookmarkEnd w:id="25"/>
    <w:bookmarkStart w:id="26" w:name="Xf57287e0fe5c596facbed694ad6d560a4aee268"/>
    <w:p>
      <w:pPr>
        <w:pStyle w:val="Heading2"/>
      </w:pPr>
      <w:r>
        <w:t xml:space="preserve">Step 5: 2026 Land Sector and Removals (LSR) Standard Accounting</w:t>
      </w:r>
    </w:p>
    <w:p>
      <w:pPr>
        <w:pStyle w:val="FirstParagraph"/>
      </w:pPr>
      <w:r>
        <w:t xml:space="preserve">In accordance with the</w:t>
      </w:r>
      <w:r>
        <w:t xml:space="preserve"> </w:t>
      </w:r>
      <w:r>
        <w:rPr>
          <w:bCs/>
          <w:b/>
        </w:rPr>
        <w:t xml:space="preserve">2026 GHG Protocol Land Sector and Removals (LSR) Standard</w:t>
      </w:r>
      <w:r>
        <w:t xml:space="preserve">, biogenic carbon stocks, land-use changes, and bio-based packaging removals must be segregated from fossil GHG accounting.</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LSR Inventory Element</w:t>
            </w:r>
          </w:p>
        </w:tc>
        <w:tc>
          <w:tcPr/>
          <w:p>
            <w:pPr>
              <w:pStyle w:val="Compact"/>
              <w:jc w:val="left"/>
            </w:pPr>
            <w:r>
              <w:t xml:space="preserve">Activity Reference</w:t>
            </w:r>
          </w:p>
        </w:tc>
        <w:tc>
          <w:tcPr/>
          <w:p>
            <w:pPr>
              <w:pStyle w:val="Compact"/>
              <w:jc w:val="left"/>
            </w:pPr>
            <w:r>
              <w:t xml:space="preserve">Accounting Category</w:t>
            </w:r>
          </w:p>
        </w:tc>
        <w:tc>
          <w:tcPr/>
          <w:p>
            <w:pPr>
              <w:pStyle w:val="Compact"/>
              <w:jc w:val="right"/>
            </w:pPr>
            <w:r>
              <w:t xml:space="preserve">Metric (kg CO</w:t>
            </w:r>
            <w:r>
              <w:rPr>
                <w:vertAlign w:val="subscript"/>
              </w:rPr>
              <w:t xml:space="preserve">2</w:t>
            </w:r>
            <w:r>
              <w:t xml:space="preserve">e)</w:t>
            </w:r>
          </w:p>
        </w:tc>
      </w:tr>
      <w:tr>
        <w:tc>
          <w:tcPr/>
          <w:p>
            <w:pPr>
              <w:pStyle w:val="Compact"/>
              <w:jc w:val="left"/>
            </w:pPr>
            <w:r>
              <w:t xml:space="preserve">Direct Land Use Change (dLUC)</w:t>
            </w:r>
          </w:p>
        </w:tc>
        <w:tc>
          <w:tcPr/>
          <w:p>
            <w:pPr>
              <w:pStyle w:val="Compact"/>
              <w:jc w:val="left"/>
            </w:pPr>
            <w:r>
              <w:t xml:space="preserve">100% Chain-of-Custody FSC Timber</w:t>
            </w:r>
          </w:p>
        </w:tc>
        <w:tc>
          <w:tcPr/>
          <w:p>
            <w:pPr>
              <w:pStyle w:val="Compact"/>
              <w:jc w:val="left"/>
            </w:pPr>
            <w:r>
              <w:t xml:space="preserve">Zero Deforestation Verification</w:t>
            </w:r>
          </w:p>
        </w:tc>
        <w:tc>
          <w:tcPr/>
          <w:p>
            <w:pPr>
              <w:pStyle w:val="Compact"/>
              <w:jc w:val="left"/>
            </w:pPr>
            <w:r>
              <w:t xml:space="preserve">0.00</w:t>
            </w:r>
          </w:p>
        </w:tc>
      </w:tr>
      <w:tr>
        <w:tc>
          <w:tcPr/>
          <w:p>
            <w:pPr>
              <w:pStyle w:val="Compact"/>
              <w:jc w:val="left"/>
            </w:pPr>
            <w:r>
              <w:t xml:space="preserve">Statistical Land Use Change (sLUC)</w:t>
            </w:r>
          </w:p>
        </w:tc>
        <w:tc>
          <w:tcPr/>
          <w:p>
            <w:pPr>
              <w:pStyle w:val="Compact"/>
              <w:jc w:val="left"/>
            </w:pPr>
            <w:r>
              <w:t xml:space="preserve">Sustainable Nordic Softwood Pallet</w:t>
            </w:r>
          </w:p>
        </w:tc>
        <w:tc>
          <w:tcPr/>
          <w:p>
            <w:pPr>
              <w:pStyle w:val="Compact"/>
              <w:jc w:val="left"/>
            </w:pPr>
            <w:r>
              <w:t xml:space="preserve">Managed Forest Conformance</w:t>
            </w:r>
          </w:p>
        </w:tc>
        <w:tc>
          <w:tcPr/>
          <w:p>
            <w:pPr>
              <w:pStyle w:val="Compact"/>
              <w:jc w:val="left"/>
            </w:pPr>
            <w:r>
              <w:t xml:space="preserve">0.00</w:t>
            </w:r>
          </w:p>
        </w:tc>
      </w:tr>
      <w:tr>
        <w:tc>
          <w:tcPr/>
          <w:p>
            <w:pPr>
              <w:pStyle w:val="Compact"/>
              <w:jc w:val="left"/>
            </w:pPr>
            <w:r>
              <w:t xml:space="preserve">Biogenic Carbon Storage (Removals)</w:t>
            </w:r>
          </w:p>
        </w:tc>
        <w:tc>
          <w:tcPr/>
          <w:p>
            <w:pPr>
              <w:pStyle w:val="Compact"/>
              <w:jc w:val="left"/>
            </w:pPr>
            <w:r>
              <w:t xml:space="preserve">8.0 kg kiln-dried softwood pallet</w:t>
            </w:r>
          </w:p>
        </w:tc>
        <w:tc>
          <w:tcPr/>
          <w:p>
            <w:pPr>
              <w:pStyle w:val="Compact"/>
              <w:jc w:val="left"/>
            </w:pPr>
            <w:r>
              <w:t xml:space="preserve">Temporary Biogenic Stock Removal</w:t>
            </w:r>
          </w:p>
        </w:tc>
        <w:tc>
          <w:tcPr/>
          <w:p>
            <w:pPr>
              <w:pStyle w:val="Compact"/>
              <w:jc w:val="left"/>
            </w:pPr>
            <w:r>
              <w:t xml:space="preserve">-14.68</w:t>
            </w:r>
          </w:p>
        </w:tc>
      </w:tr>
      <w:tr>
        <w:tc>
          <w:tcPr/>
          <w:p>
            <w:pPr>
              <w:pStyle w:val="Compact"/>
              <w:jc w:val="left"/>
            </w:pPr>
            <w:r>
              <w:t xml:space="preserve">Biogenic Process Emissions</w:t>
            </w:r>
          </w:p>
        </w:tc>
        <w:tc>
          <w:tcPr/>
          <w:p>
            <w:pPr>
              <w:pStyle w:val="Compact"/>
              <w:jc w:val="left"/>
            </w:pPr>
            <w:r>
              <w:t xml:space="preserve">Pulping &amp; corrugation manufacturing</w:t>
            </w:r>
          </w:p>
        </w:tc>
        <w:tc>
          <w:tcPr/>
          <w:p>
            <w:pPr>
              <w:pStyle w:val="Compact"/>
              <w:jc w:val="left"/>
            </w:pPr>
            <w:r>
              <w:t xml:space="preserve">Biogenic CO</w:t>
            </w:r>
            <w:r>
              <w:rPr>
                <w:vertAlign w:val="subscript"/>
              </w:rPr>
              <w:t xml:space="preserve">2</w:t>
            </w:r>
            <w:r>
              <w:t xml:space="preserve"> </w:t>
            </w:r>
            <w:r>
              <w:t xml:space="preserve">Release (Separate)</w:t>
            </w:r>
          </w:p>
        </w:tc>
        <w:tc>
          <w:tcPr/>
          <w:p>
            <w:pPr>
              <w:pStyle w:val="Compact"/>
              <w:jc w:val="left"/>
            </w:pPr>
            <w:r>
              <w:t xml:space="preserve">+2.45</w:t>
            </w:r>
          </w:p>
        </w:tc>
      </w:tr>
      <w:tr>
        <w:tc>
          <w:tcPr>
            <w:gridSpan w:val="3"/>
          </w:tcPr>
          <w:p>
            <w:pPr>
              <w:pStyle w:val="Compact"/>
              <w:jc w:val="left"/>
            </w:pPr>
            <w:r>
              <w:t xml:space="preserve">Net Biogenic Balance (Reported Distinctly from Fossil GWP)</w:t>
            </w:r>
          </w:p>
        </w:tc>
        <w:tc>
          <w:tcPr/>
          <w:p>
            <w:pPr>
              <w:pStyle w:val="Compact"/>
              <w:jc w:val="left"/>
            </w:pPr>
            <w:r>
              <w:t xml:space="preserve">-12.23 kg CO</w:t>
            </w:r>
            <w:r>
              <w:rPr>
                <w:vertAlign w:val="subscript"/>
              </w:rPr>
              <w:t xml:space="preserve">2</w:t>
            </w:r>
            <w:r>
              <w:t xml:space="preserve">e</w:t>
            </w:r>
          </w:p>
        </w:tc>
      </w:tr>
    </w:tbl>
    <w:p>
      <w:pPr>
        <w:pStyle w:val="BodyText"/>
      </w:pPr>
      <w:r>
        <w:rPr>
          <w:bCs/>
          <w:b/>
        </w:rPr>
        <w:t xml:space="preserve">LSR Reporting Standard Note:</w:t>
      </w:r>
      <w:r>
        <w:t xml:space="preserve"> </w:t>
      </w:r>
      <w:r>
        <w:t xml:space="preserve">As required by the 2026 LSR Standard, the biogenic removal credit (-14.68 kg CO</w:t>
      </w:r>
      <w:r>
        <w:rPr>
          <w:vertAlign w:val="subscript"/>
        </w:rPr>
        <w:t xml:space="preserve">2</w:t>
      </w:r>
      <w:r>
        <w:t xml:space="preserve">e) is</w:t>
      </w:r>
      <w:r>
        <w:t xml:space="preserve"> </w:t>
      </w:r>
      <w:r>
        <w:rPr>
          <w:bCs/>
          <w:b/>
        </w:rPr>
        <w:t xml:space="preserve">not subtracted</w:t>
      </w:r>
      <w:r>
        <w:t xml:space="preserve"> </w:t>
      </w:r>
      <w:r>
        <w:t xml:space="preserve">from the primary fossil cradle-to-gate footprint (752.77 kg CO</w:t>
      </w:r>
      <w:r>
        <w:rPr>
          <w:vertAlign w:val="subscript"/>
        </w:rPr>
        <w:t xml:space="preserve">2</w:t>
      </w:r>
      <w:r>
        <w:t xml:space="preserve">e). Net land removals must be presented independently to avert unearned carbon offsetting claims in industrial durable goods.</w:t>
      </w:r>
    </w:p>
    <w:p>
      <w:r>
        <w:pict>
          <v:rect style="width:0;height:1.5pt" o:hralign="center" o:hrstd="t" o:hr="t"/>
        </w:pict>
      </w:r>
    </w:p>
    <w:bookmarkEnd w:id="26"/>
    <w:bookmarkStart w:id="27" w:name="X291dc084ee0cf4c851de8bd2c25ef71932c7365"/>
    <w:p>
      <w:pPr>
        <w:pStyle w:val="Heading2"/>
      </w:pPr>
      <w:r>
        <w:t xml:space="preserve">Scope 3 Completeness &amp; 2026 Compliance Audit</w:t>
      </w:r>
    </w:p>
    <w:p>
      <w:pPr>
        <w:pStyle w:val="FirstParagraph"/>
      </w:pPr>
      <w:r>
        <w:t xml:space="preserve">Under the updated 2026 GHG Protocol compliance rules for Product Carbon Footprints, an inventory completeness verification must confirm that Scope 3 accounting covers at least</w:t>
      </w:r>
      <w:r>
        <w:t xml:space="preserve"> </w:t>
      </w:r>
      <w:r>
        <w:rPr>
          <w:bCs/>
          <w:b/>
        </w:rPr>
        <w:t xml:space="preserve">95% of estimated upstream footprint and mass</w:t>
      </w:r>
      <w: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Compliance Parameter</w:t>
            </w:r>
          </w:p>
        </w:tc>
        <w:tc>
          <w:tcPr/>
          <w:p>
            <w:pPr>
              <w:pStyle w:val="Compact"/>
              <w:jc w:val="left"/>
            </w:pPr>
            <w:r>
              <w:t xml:space="preserve">Calculated Level</w:t>
            </w:r>
          </w:p>
        </w:tc>
        <w:tc>
          <w:tcPr/>
          <w:p>
            <w:pPr>
              <w:pStyle w:val="Compact"/>
              <w:jc w:val="left"/>
            </w:pPr>
            <w:r>
              <w:t xml:space="preserve">Compliance Status</w:t>
            </w:r>
          </w:p>
        </w:tc>
      </w:tr>
      <w:tr>
        <w:tc>
          <w:tcPr/>
          <w:p>
            <w:pPr>
              <w:pStyle w:val="Compact"/>
              <w:jc w:val="left"/>
            </w:pPr>
            <w:r>
              <w:t xml:space="preserve">Mass Cut-Off Coverage</w:t>
            </w:r>
          </w:p>
        </w:tc>
        <w:tc>
          <w:tcPr/>
          <w:p>
            <w:pPr>
              <w:pStyle w:val="Compact"/>
              <w:jc w:val="left"/>
            </w:pPr>
            <w:r>
              <w:t xml:space="preserve">98.7% of total bill of materials analyzed</w:t>
            </w:r>
          </w:p>
        </w:tc>
        <w:tc>
          <w:tcPr/>
          <w:p>
            <w:pPr>
              <w:pStyle w:val="Compact"/>
              <w:jc w:val="left"/>
            </w:pPr>
            <w:r>
              <w:t xml:space="preserve">COMPLIANT (&gt;95%)</w:t>
            </w:r>
          </w:p>
        </w:tc>
      </w:tr>
      <w:tr>
        <w:tc>
          <w:tcPr/>
          <w:p>
            <w:pPr>
              <w:pStyle w:val="Compact"/>
              <w:jc w:val="left"/>
            </w:pPr>
            <w:r>
              <w:t xml:space="preserve">Energy Cut-Off Coverage</w:t>
            </w:r>
          </w:p>
        </w:tc>
        <w:tc>
          <w:tcPr/>
          <w:p>
            <w:pPr>
              <w:pStyle w:val="Compact"/>
              <w:jc w:val="left"/>
            </w:pPr>
            <w:r>
              <w:t xml:space="preserve">99.2% of plant sub-metering captured</w:t>
            </w:r>
          </w:p>
        </w:tc>
        <w:tc>
          <w:tcPr/>
          <w:p>
            <w:pPr>
              <w:pStyle w:val="Compact"/>
              <w:jc w:val="left"/>
            </w:pPr>
            <w:r>
              <w:t xml:space="preserve">COMPLIANT (&gt;95%)</w:t>
            </w:r>
          </w:p>
        </w:tc>
      </w:tr>
      <w:tr>
        <w:tc>
          <w:tcPr/>
          <w:p>
            <w:pPr>
              <w:pStyle w:val="Compact"/>
              <w:jc w:val="left"/>
            </w:pPr>
            <w:r>
              <w:t xml:space="preserve">Scope 3 Relevant Upstream Categories Evaluated</w:t>
            </w:r>
          </w:p>
        </w:tc>
        <w:tc>
          <w:tcPr/>
          <w:p>
            <w:pPr>
              <w:pStyle w:val="Compact"/>
              <w:jc w:val="left"/>
            </w:pPr>
            <w:r>
              <w:t xml:space="preserve">Categories 1, 2, 3, 4, and 5 included</w:t>
            </w:r>
          </w:p>
        </w:tc>
        <w:tc>
          <w:tcPr/>
          <w:p>
            <w:pPr>
              <w:pStyle w:val="Compact"/>
              <w:jc w:val="left"/>
            </w:pPr>
            <w:r>
              <w:t xml:space="preserve">COMPLIANT (Full Cradle-to-Gate)</w:t>
            </w:r>
          </w:p>
        </w:tc>
      </w:tr>
      <w:tr>
        <w:tc>
          <w:tcPr/>
          <w:p>
            <w:pPr>
              <w:pStyle w:val="Compact"/>
              <w:jc w:val="left"/>
            </w:pPr>
            <w:r>
              <w:t xml:space="preserve">Primary Supplier Data Share</w:t>
            </w:r>
          </w:p>
        </w:tc>
        <w:tc>
          <w:tcPr/>
          <w:p>
            <w:pPr>
              <w:pStyle w:val="Compact"/>
              <w:jc w:val="left"/>
            </w:pPr>
            <w:r>
              <w:t xml:space="preserve">68.4% of direct tier-1 component weight</w:t>
            </w:r>
          </w:p>
        </w:tc>
        <w:tc>
          <w:tcPr/>
          <w:p>
            <w:pPr>
              <w:pStyle w:val="Compact"/>
              <w:jc w:val="left"/>
            </w:pPr>
            <w:r>
              <w:t xml:space="preserve">HIGH DATA QUALITY</w:t>
            </w:r>
          </w:p>
        </w:tc>
      </w:tr>
    </w:tbl>
    <w:p>
      <w:r>
        <w:pict>
          <v:rect style="width:0;height:1.5pt" o:hralign="center" o:hrstd="t" o:hr="t"/>
        </w:pict>
      </w:r>
    </w:p>
    <w:bookmarkEnd w:id="27"/>
    <w:bookmarkStart w:id="28" w:name="hotspot-analysis-decarbonization-roadmap"/>
    <w:p>
      <w:pPr>
        <w:pStyle w:val="Heading2"/>
      </w:pPr>
      <w:r>
        <w:t xml:space="preserve">Hotspot Analysis &amp; Decarbonization Roadmap</w:t>
      </w:r>
    </w:p>
    <w:p>
      <w:pPr>
        <w:pStyle w:val="FirstParagraph"/>
      </w:pPr>
      <w:r>
        <w:t xml:space="preserve">The cradle-to-gate carbon intensity is concentrated heavily in three primary hotspots:</w:t>
      </w:r>
    </w:p>
    <w:p>
      <w:pPr>
        <w:numPr>
          <w:ilvl w:val="0"/>
          <w:numId w:val="1004"/>
        </w:numPr>
        <w:pStyle w:val="Compact"/>
      </w:pPr>
      <w:r>
        <w:rPr>
          <w:bCs/>
          <w:b/>
        </w:rPr>
        <w:t xml:space="preserve">Hotspot 1: Silicon Inverter &amp; Control Electronics (21.16% of total PCF):</w:t>
      </w:r>
      <w:r>
        <w:t xml:space="preserve"> </w:t>
      </w:r>
      <w:r>
        <w:t xml:space="preserve">Although the PCBA assembly comprises only 6.5 kg (4.1% of total mass), semiconductor wafer fabrication and silicon purification generate 159.25 kg CO</w:t>
      </w:r>
      <w:r>
        <w:rPr>
          <w:vertAlign w:val="subscript"/>
        </w:rPr>
        <w:t xml:space="preserve">2</w:t>
      </w:r>
      <w:r>
        <w:t xml:space="preserve">e. Supplier specification for low-carbon silicon foundries and EU-based cleanrooms is recommended.</w:t>
      </w:r>
    </w:p>
    <w:p>
      <w:pPr>
        <w:numPr>
          <w:ilvl w:val="0"/>
          <w:numId w:val="1004"/>
        </w:numPr>
        <w:pStyle w:val="Compact"/>
      </w:pPr>
      <w:r>
        <w:rPr>
          <w:bCs/>
          <w:b/>
        </w:rPr>
        <w:t xml:space="preserve">Hotspot 2: Extruded Aluminum Fins &amp; Heat Exchanger (19.87% of total PCF):</w:t>
      </w:r>
      <w:r>
        <w:t xml:space="preserve"> </w:t>
      </w:r>
      <w:r>
        <w:t xml:space="preserve">Smelting intensity yields 149.60 kg CO</w:t>
      </w:r>
      <w:r>
        <w:rPr>
          <w:vertAlign w:val="subscript"/>
        </w:rPr>
        <w:t xml:space="preserve">2</w:t>
      </w:r>
      <w:r>
        <w:t xml:space="preserve">e. Procuring certified recycled aluminum (&gt;75% post-consumer scrap) would reduce this line item by approximately 82 kg CO</w:t>
      </w:r>
      <w:r>
        <w:rPr>
          <w:vertAlign w:val="subscript"/>
        </w:rPr>
        <w:t xml:space="preserve">2</w:t>
      </w:r>
      <w:r>
        <w:t xml:space="preserve">e per unit.</w:t>
      </w:r>
    </w:p>
    <w:p>
      <w:pPr>
        <w:numPr>
          <w:ilvl w:val="0"/>
          <w:numId w:val="1004"/>
        </w:numPr>
        <w:pStyle w:val="Compact"/>
      </w:pPr>
      <w:r>
        <w:rPr>
          <w:bCs/>
          <w:b/>
        </w:rPr>
        <w:t xml:space="preserve">Hotspot 3: Primary Structural Steel Enclosure (15.71% of total PCF):</w:t>
      </w:r>
      <w:r>
        <w:t xml:space="preserve"> </w:t>
      </w:r>
      <w:r>
        <w:t xml:space="preserve">The 55 kg galvanized frame accounts for 118.25 kg CO</w:t>
      </w:r>
      <w:r>
        <w:rPr>
          <w:vertAlign w:val="subscript"/>
        </w:rPr>
        <w:t xml:space="preserve">2</w:t>
      </w:r>
      <w:r>
        <w:t xml:space="preserve">e. Transitioning to green hydrogen Direct Reduced Iron (DRI) steel producers in Northwestern Europe will lower this footprint by 70%.</w:t>
      </w:r>
    </w:p>
    <w:p>
      <w:pPr>
        <w:numPr>
          <w:ilvl w:val="0"/>
          <w:numId w:val="1004"/>
        </w:numPr>
        <w:pStyle w:val="Compact"/>
      </w:pPr>
      <w:r>
        <w:rPr>
          <w:bCs/>
          <w:b/>
        </w:rPr>
        <w:t xml:space="preserve">Hotspot 4: Factory Electricity Consumption (6.91% of total PCF):</w:t>
      </w:r>
      <w:r>
        <w:t xml:space="preserve"> </w:t>
      </w:r>
      <w:r>
        <w:t xml:space="preserve">Transitioning from the Dutch national grid mix to a facility-backed Power Purchase Agreement (PPA) with local wind/solar will reduce Scope 2 emissions from 52.00 kg CO</w:t>
      </w:r>
      <w:r>
        <w:rPr>
          <w:vertAlign w:val="subscript"/>
        </w:rPr>
        <w:t xml:space="preserve">2</w:t>
      </w:r>
      <w:r>
        <w:t xml:space="preserve">e to under 2.50 kg CO</w:t>
      </w:r>
      <w:r>
        <w:rPr>
          <w:vertAlign w:val="subscript"/>
        </w:rPr>
        <w:t xml:space="preserve">2</w:t>
      </w:r>
      <w:r>
        <w:t xml:space="preserve">e per unit.</w:t>
      </w:r>
    </w:p>
    <w:p>
      <w:pPr>
        <w:pStyle w:val="FirstParagraph"/>
      </w:pPr>
      <w:r>
        <w:t xml:space="preserve">carboncalcpcf.com • Certified GHG Protocol Product Footprint</w:t>
      </w:r>
    </w:p>
    <w:p>
      <w:pPr>
        <w:pStyle w:val="BodyText"/>
      </w:pPr>
      <w:r>
        <w:t xml:space="preserve">Confidential • Release Version 1.0 • Page 2 of 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Industrial High-Efficiency Heat Pump (15 kW) - Cradle-to-Gate</dc:title>
  <dc:creator/>
  <dc:description>Detailed Product Carbon Footprint (PCF) report for a 15 kW Commercial Heat Pump manufactured in the Netherlands, compliant with GHG Protocol Product Life Cycle Accounting and Reporting Standard and 2026 Land Sector and Removals (LSR) updates.</dc:description>
  <dc:language>en</dc:language>
  <cp:keywords/>
  <dcterms:created xsi:type="dcterms:W3CDTF">2026-10-21T14:15:49Z</dcterms:created>
  <dcterms:modified xsi:type="dcterms:W3CDTF">2026-10-21T14:15:49Z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