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Industrial</w:t>
      </w:r>
      <w:r>
        <w:t xml:space="preserve"> </w:t>
      </w:r>
      <w:r>
        <w:t xml:space="preserve">Gasket</w:t>
      </w:r>
    </w:p>
    <w:p>
      <w:pPr>
        <w:pStyle w:val="FirstParagraph"/>
      </w:pPr>
      <w:r>
        <w:t xml:space="preserve">businessanalytiq.com</w:t>
      </w:r>
    </w:p>
    <w:p>
      <w:pPr>
        <w:pStyle w:val="BodyText"/>
      </w:pPr>
      <w:r>
        <w:t xml:space="preserve">Product Carbon Footprint (PCF) Analysis</w:t>
      </w:r>
    </w:p>
    <w:p>
      <w:pPr>
        <w:pStyle w:val="BodyText"/>
      </w:pPr>
      <w:r>
        <w:t xml:space="preserve">Cradle-to-Gate Life Cycle Assessment: Industrial Composite Gasket</w:t>
      </w:r>
    </w:p>
    <w:p>
      <w:pPr>
        <w:pStyle w:val="BodyText"/>
      </w:pPr>
      <w:r>
        <w:rPr>
          <w:bCs/>
          <w:b/>
        </w:rPr>
        <w:t xml:space="preserve">Product Identification:</w:t>
      </w:r>
      <w:r>
        <w:t xml:space="preserve"> </w:t>
      </w:r>
      <w:r>
        <w:t xml:space="preserve">Standard Industrial Flange Gasket (Metal-Reinforced Elastomer)</w:t>
      </w:r>
    </w:p>
    <w:p>
      <w:pPr>
        <w:pStyle w:val="BodyText"/>
      </w:pPr>
      <w:r>
        <w:rPr>
          <w:bCs/>
          <w:b/>
        </w:rPr>
        <w:t xml:space="preserve">Functional Unit:</w:t>
      </w:r>
      <w:r>
        <w:t xml:space="preserve"> </w:t>
      </w:r>
      <w:r>
        <w:t xml:space="preserve">1.0 unit (finished product, net mass: 0.350 kg)</w:t>
      </w:r>
    </w:p>
    <w:p>
      <w:pPr>
        <w:pStyle w:val="BodyText"/>
      </w:pPr>
      <w:r>
        <w:rPr>
          <w:bCs/>
          <w:b/>
        </w:rPr>
        <w:t xml:space="preserve">Accounting Standard:</w:t>
      </w:r>
      <w:r>
        <w:t xml:space="preserve"> </w:t>
      </w:r>
      <w:r>
        <w:t xml:space="preserve">GHG Protocol Product Life Cycle Accounting and Reporting Standard</w:t>
      </w:r>
    </w:p>
    <w:p>
      <w:pPr>
        <w:pStyle w:val="BodyText"/>
      </w:pPr>
      <w:r>
        <w:rPr>
          <w:bCs/>
          <w:b/>
        </w:rPr>
        <w:t xml:space="preserve">Standard Alignment:</w:t>
      </w:r>
      <w:r>
        <w:t xml:space="preserve"> </w:t>
      </w:r>
      <w:r>
        <w:t xml:space="preserve">2026 GHG Protocol Land Sector and Removals (LSR) Standard; Scope 3 Coverage Threshold (≥ 95%)</w:t>
      </w:r>
    </w:p>
    <w:p>
      <w:pPr>
        <w:pStyle w:val="BodyText"/>
      </w:pPr>
      <w:r>
        <w:rPr>
          <w:bCs/>
          <w:b/>
        </w:rPr>
        <w:t xml:space="preserve">System Boundary:</w:t>
      </w:r>
      <w:r>
        <w:t xml:space="preserve"> </w:t>
      </w:r>
      <w:r>
        <w:t xml:space="preserve">Cradle-to-Factory Gate</w:t>
      </w:r>
    </w:p>
    <w:p>
      <w:pPr>
        <w:pStyle w:val="BodyText"/>
      </w:pPr>
      <w:r>
        <w:rPr>
          <w:bCs/>
          <w:b/>
        </w:rPr>
        <w:t xml:space="preserve">Inbound Logistics Profile:</w:t>
      </w:r>
      <w:r>
        <w:t xml:space="preserve"> </w:t>
      </w:r>
      <w:r>
        <w:t xml:space="preserve">Road Freight (1,000 km transit)</w:t>
      </w:r>
    </w:p>
    <w:p>
      <w:pPr>
        <w:pStyle w:val="BodyText"/>
      </w:pPr>
      <w:r>
        <w:rPr>
          <w:bCs/>
          <w:b/>
        </w:rPr>
        <w:t xml:space="preserve">Geographic Scope:</w:t>
      </w:r>
      <w:r>
        <w:t xml:space="preserve"> </w:t>
      </w:r>
      <w:r>
        <w:t xml:space="preserve">Supply Chain Focus: Europe Focused | Final Production Country: Other</w:t>
      </w:r>
    </w:p>
    <w:p>
      <w:pPr>
        <w:pStyle w:val="BodyText"/>
      </w:pPr>
      <w:r>
        <w:rPr>
          <w:bCs/>
          <w:b/>
        </w:rPr>
        <w:t xml:space="preserve">Publication Reference:</w:t>
      </w:r>
      <w:r>
        <w:t xml:space="preserve"> </w:t>
      </w:r>
      <w:r>
        <w:t xml:space="preserve">BA-PCF-2026-GSK-0894</w:t>
      </w:r>
    </w:p>
    <w:p>
      <w:pPr>
        <w:pStyle w:val="BodyText"/>
      </w:pPr>
      <w:r>
        <w:rPr>
          <w:bCs/>
          <w:b/>
        </w:rPr>
        <w:t xml:space="preserve">Disclaimer:</w:t>
      </w:r>
      <w:r>
        <w:t xml:space="preserve"> </w:t>
      </w:r>
      <w:r>
        <w:t xml:space="preserve">This Product Carbon Footprint report is generated based on verified engineering bills of materials, empirical activity data, recognized carbon accounting standards (GHG Protocol), and secondary emission factor datasets (e.g., Ecoinvent v3.10, DEFRA 2025/2026). Modeling outcomes, assumptions, and life cycle interpretations reflect prevailing industry standards and representative parameters at the date of analysis.</w:t>
      </w:r>
    </w:p>
    <w:p>
      <w:pPr>
        <w:pStyle w:val="BodyText"/>
      </w:pPr>
      <w:r>
        <w:t xml:space="preserve">Product Carbon Footprint Assessment • Gasket</w:t>
      </w:r>
    </w:p>
    <w:p>
      <w:pPr>
        <w:pStyle w:val="BodyText"/>
      </w:pPr>
      <w:r>
        <w:t xml:space="preserve">Generated Date: October 2026</w:t>
      </w:r>
    </w:p>
    <w:bookmarkStart w:id="30" w:name="executive-summary"/>
    <w:p>
      <w:pPr>
        <w:pStyle w:val="Heading1"/>
      </w:pPr>
      <w:r>
        <w:t xml:space="preserve">Executive Summary</w:t>
      </w:r>
    </w:p>
    <w:p>
      <w:pPr>
        <w:pStyle w:val="FirstParagraph"/>
      </w:pPr>
      <w:r>
        <w:t xml:space="preserve">This report delivers a rigorous, cradle-to-gate Product Carbon Footprint (PCF) evaluation for</w:t>
      </w:r>
      <w:r>
        <w:t xml:space="preserve"> </w:t>
      </w:r>
      <w:r>
        <w:rPr>
          <w:bCs/>
          <w:b/>
        </w:rPr>
        <w:t xml:space="preserve">1.0 unit of an industrial composite gasket</w:t>
      </w:r>
      <w:r>
        <w:t xml:space="preserve"> </w:t>
      </w:r>
      <w:r>
        <w:t xml:space="preserve">(nominal mass: 0.350 kg), conforming to the</w:t>
      </w:r>
      <w:r>
        <w:t xml:space="preserve"> </w:t>
      </w:r>
      <w:r>
        <w:rPr>
          <w:iCs/>
          <w:i/>
        </w:rPr>
        <w:t xml:space="preserve">GHG Protocol Product Life Cycle Accounting and Reporting Standard</w:t>
      </w:r>
      <w:r>
        <w:t xml:space="preserve">. The evaluation integrates the latest</w:t>
      </w:r>
      <w:r>
        <w:t xml:space="preserve"> </w:t>
      </w:r>
      <w:r>
        <w:rPr>
          <w:bCs/>
          <w:b/>
        </w:rPr>
        <w:t xml:space="preserve">2026 GHG Protocol Land Sector and Removals (LSR) Standard</w:t>
      </w:r>
      <w:r>
        <w:t xml:space="preserve"> </w:t>
      </w:r>
      <w:r>
        <w:t xml:space="preserve">and fulfills the strict requirement of achieving greater than 95% cumulative greenhouse gas coverage across Scope 3 upstream flows.</w:t>
      </w:r>
    </w:p>
    <w:p>
      <w:pPr>
        <w:pStyle w:val="BodyText"/>
      </w:pPr>
      <w:r>
        <w:rPr>
          <w:bCs/>
          <w:b/>
        </w:rPr>
        <w:t xml:space="preserve">Key Footprint Summary:</w:t>
      </w:r>
    </w:p>
    <w:p>
      <w:pPr>
        <w:numPr>
          <w:ilvl w:val="0"/>
          <w:numId w:val="1001"/>
        </w:numPr>
        <w:pStyle w:val="Compact"/>
      </w:pPr>
      <w:r>
        <w:rPr>
          <w:bCs/>
          <w:b/>
        </w:rPr>
        <w:t xml:space="preserve">Total Cradle-to-Gate Carbon Footprint:</w:t>
      </w:r>
      <w:r>
        <w:t xml:space="preserve"> </w:t>
      </w:r>
      <w:r>
        <w:rPr>
          <w:bCs/>
          <w:b/>
        </w:rPr>
        <w:t xml:space="preserve">1.239 kg CO</w:t>
      </w:r>
      <w:r>
        <w:rPr>
          <w:vertAlign w:val="subscript"/>
          <w:bCs/>
          <w:b/>
        </w:rPr>
        <w:t xml:space="preserve">2</w:t>
      </w:r>
      <w:r>
        <w:rPr>
          <w:bCs/>
          <w:b/>
        </w:rPr>
        <w:t xml:space="preserve">e per unit</w:t>
      </w:r>
    </w:p>
    <w:p>
      <w:pPr>
        <w:numPr>
          <w:ilvl w:val="0"/>
          <w:numId w:val="1001"/>
        </w:numPr>
        <w:pStyle w:val="Compact"/>
      </w:pPr>
      <w:r>
        <w:rPr>
          <w:bCs/>
          <w:b/>
        </w:rPr>
        <w:t xml:space="preserve">Scope 1 (Direct Emissions):</w:t>
      </w:r>
      <w:r>
        <w:t xml:space="preserve"> </w:t>
      </w:r>
      <w:r>
        <w:t xml:space="preserve">0.068 kg CO</w:t>
      </w:r>
      <w:r>
        <w:rPr>
          <w:vertAlign w:val="subscript"/>
        </w:rPr>
        <w:t xml:space="preserve">2</w:t>
      </w:r>
      <w:r>
        <w:t xml:space="preserve">e (5.49%)</w:t>
      </w:r>
    </w:p>
    <w:p>
      <w:pPr>
        <w:numPr>
          <w:ilvl w:val="0"/>
          <w:numId w:val="1001"/>
        </w:numPr>
        <w:pStyle w:val="Compact"/>
      </w:pPr>
      <w:r>
        <w:rPr>
          <w:bCs/>
          <w:b/>
        </w:rPr>
        <w:t xml:space="preserve">Scope 2 (Indirect - Purchased Energy, Location-Based):</w:t>
      </w:r>
      <w:r>
        <w:t xml:space="preserve"> </w:t>
      </w:r>
      <w:r>
        <w:t xml:space="preserve">0.162 kg CO</w:t>
      </w:r>
      <w:r>
        <w:rPr>
          <w:vertAlign w:val="subscript"/>
        </w:rPr>
        <w:t xml:space="preserve">2</w:t>
      </w:r>
      <w:r>
        <w:t xml:space="preserve">e (13.07%)</w:t>
      </w:r>
    </w:p>
    <w:p>
      <w:pPr>
        <w:numPr>
          <w:ilvl w:val="0"/>
          <w:numId w:val="1001"/>
        </w:numPr>
        <w:pStyle w:val="Compact"/>
      </w:pPr>
      <w:r>
        <w:rPr>
          <w:bCs/>
          <w:b/>
        </w:rPr>
        <w:t xml:space="preserve">Scope 3 (Upstream Supply Chain &amp; Inbound Transport):</w:t>
      </w:r>
      <w:r>
        <w:t xml:space="preserve"> </w:t>
      </w:r>
      <w:r>
        <w:t xml:space="preserve">1.009 kg CO</w:t>
      </w:r>
      <w:r>
        <w:rPr>
          <w:vertAlign w:val="subscript"/>
        </w:rPr>
        <w:t xml:space="preserve">2</w:t>
      </w:r>
      <w:r>
        <w:t xml:space="preserve">e (81.44%)</w:t>
      </w:r>
    </w:p>
    <w:p>
      <w:pPr>
        <w:numPr>
          <w:ilvl w:val="0"/>
          <w:numId w:val="1001"/>
        </w:numPr>
        <w:pStyle w:val="Compact"/>
      </w:pPr>
      <w:r>
        <w:rPr>
          <w:bCs/>
          <w:b/>
        </w:rPr>
        <w:t xml:space="preserve">Scope 3 Cut-off &amp; Inventory Coverage:</w:t>
      </w:r>
      <w:r>
        <w:t xml:space="preserve"> </w:t>
      </w:r>
      <w:r>
        <w:t xml:space="preserve">98.4% of total mass and energetic inputs accounted for (exceeding the 95% compliance threshold).</w:t>
      </w:r>
    </w:p>
    <w:p>
      <w:pPr>
        <w:numPr>
          <w:ilvl w:val="0"/>
          <w:numId w:val="1001"/>
        </w:numPr>
        <w:pStyle w:val="Compact"/>
      </w:pPr>
      <w:r>
        <w:rPr>
          <w:bCs/>
          <w:b/>
        </w:rPr>
        <w:t xml:space="preserve">2026 Land Sector and Removals (LSR) Footprint:</w:t>
      </w:r>
      <w:r>
        <w:t xml:space="preserve"> </w:t>
      </w:r>
      <w:r>
        <w:t xml:space="preserve">0.000 kg CO</w:t>
      </w:r>
      <w:r>
        <w:rPr>
          <w:vertAlign w:val="subscript"/>
        </w:rPr>
        <w:t xml:space="preserve">2</w:t>
      </w:r>
      <w:r>
        <w:t xml:space="preserve">e biogenic removals / emissions (100% synthetic fossil/mineral matrix).</w:t>
      </w:r>
    </w:p>
    <w:p>
      <w:r>
        <w:pict>
          <v:rect style="width:0;height:1.5pt" o:hralign="center" o:hrstd="t" o:hr="t"/>
        </w:pict>
      </w:r>
    </w:p>
    <w:bookmarkStart w:id="20" w:name="Xffa206418d5c9e5d38ed5ae29f3bef7adf6775a"/>
    <w:p>
      <w:pPr>
        <w:pStyle w:val="Heading2"/>
      </w:pPr>
      <w:r>
        <w:t xml:space="preserve">Step 1: Scope Definition &amp; Methodological Framework</w:t>
      </w:r>
    </w:p>
    <w:p>
      <w:pPr>
        <w:pStyle w:val="FirstParagraph"/>
      </w:pPr>
      <w:r>
        <w:t xml:space="preserve">The scope defines the accounting boundaries, inventory criteria, and specific modeling rules applicable to the gasket lifecycle assessment:</w:t>
      </w:r>
    </w:p>
    <w:p>
      <w:pPr>
        <w:numPr>
          <w:ilvl w:val="0"/>
          <w:numId w:val="1002"/>
        </w:numPr>
        <w:pStyle w:val="Compact"/>
      </w:pPr>
      <w:r>
        <w:rPr>
          <w:bCs/>
          <w:b/>
        </w:rPr>
        <w:t xml:space="preserve">Functional Unit:</w:t>
      </w:r>
      <w:r>
        <w:t xml:space="preserve"> </w:t>
      </w:r>
      <w:r>
        <w:t xml:space="preserve">Exactly</w:t>
      </w:r>
      <w:r>
        <w:t xml:space="preserve"> </w:t>
      </w:r>
      <w:r>
        <w:rPr>
          <w:bCs/>
          <w:b/>
        </w:rPr>
        <w:t xml:space="preserve">1.0 unit</w:t>
      </w:r>
      <w:r>
        <w:t xml:space="preserve"> </w:t>
      </w:r>
      <w:r>
        <w:t xml:space="preserve">of finished industrial flange gasket (mass: 0.350 kg, comprising 0.200 kg EPDM synthetic elastomer, 0.050 kg carbon black and curatives, and 0.100 kg austenitic 304 stainless steel core insert), engineered for high-pressure sealing.</w:t>
      </w:r>
    </w:p>
    <w:p>
      <w:pPr>
        <w:numPr>
          <w:ilvl w:val="0"/>
          <w:numId w:val="1002"/>
        </w:numPr>
        <w:pStyle w:val="Compact"/>
      </w:pPr>
      <w:r>
        <w:rPr>
          <w:bCs/>
          <w:b/>
        </w:rPr>
        <w:t xml:space="preserve">System Boundary:</w:t>
      </w:r>
      <w:r>
        <w:t xml:space="preserve"> </w:t>
      </w:r>
      <w:r>
        <w:rPr>
          <w:iCs/>
          <w:i/>
        </w:rPr>
        <w:t xml:space="preserve">Factory Gate</w:t>
      </w:r>
      <w:r>
        <w:t xml:space="preserve"> </w:t>
      </w:r>
      <w:r>
        <w:t xml:space="preserve">(Cradle-to-Gate). This system boundary accounts for:</w:t>
      </w:r>
    </w:p>
    <w:p>
      <w:pPr>
        <w:numPr>
          <w:ilvl w:val="1"/>
          <w:numId w:val="1003"/>
        </w:numPr>
        <w:pStyle w:val="Compact"/>
      </w:pPr>
      <w:r>
        <w:t xml:space="preserve">Raw material extraction, refining, and compounding (Scope 3, Category 1).</w:t>
      </w:r>
    </w:p>
    <w:p>
      <w:pPr>
        <w:numPr>
          <w:ilvl w:val="1"/>
          <w:numId w:val="1003"/>
        </w:numPr>
        <w:pStyle w:val="Compact"/>
      </w:pPr>
      <w:r>
        <w:t xml:space="preserve">Inbound logistics of all precursors via Road across 1,000 km (Scope 3, Category 4).</w:t>
      </w:r>
    </w:p>
    <w:p>
      <w:pPr>
        <w:numPr>
          <w:ilvl w:val="1"/>
          <w:numId w:val="1003"/>
        </w:numPr>
        <w:pStyle w:val="Compact"/>
      </w:pPr>
      <w:r>
        <w:t xml:space="preserve">Direct fuel combustion for vulcanization, thermal curing, and space heating (Scope 1).</w:t>
      </w:r>
    </w:p>
    <w:p>
      <w:pPr>
        <w:numPr>
          <w:ilvl w:val="1"/>
          <w:numId w:val="1003"/>
        </w:numPr>
        <w:pStyle w:val="Compact"/>
      </w:pPr>
      <w:r>
        <w:t xml:space="preserve">Imported electricity for mechanical blanking, rubber injection/compression molding, and waterjet trimming (Scope 2).</w:t>
      </w:r>
    </w:p>
    <w:p>
      <w:pPr>
        <w:numPr>
          <w:ilvl w:val="1"/>
          <w:numId w:val="1003"/>
        </w:numPr>
        <w:pStyle w:val="Compact"/>
      </w:pPr>
      <w:r>
        <w:t xml:space="preserve">Direct operational waste disposal and upstream energy supply chain losses (Scope 3, Categories 3 &amp; 5).</w:t>
      </w:r>
    </w:p>
    <w:p>
      <w:pPr>
        <w:numPr>
          <w:ilvl w:val="0"/>
          <w:numId w:val="1000"/>
        </w:numPr>
        <w:pStyle w:val="Compact"/>
      </w:pPr>
      <w:r>
        <w:t xml:space="preserve">Downstream gate-to-grave phases (product distribution, customer installation, operational lifespan, and end-of-life disposal) are excluded per the system boundary definition.</w:t>
      </w:r>
    </w:p>
    <w:p>
      <w:pPr>
        <w:numPr>
          <w:ilvl w:val="0"/>
          <w:numId w:val="1002"/>
        </w:numPr>
        <w:pStyle w:val="Compact"/>
      </w:pPr>
      <w:r>
        <w:rPr>
          <w:bCs/>
          <w:b/>
        </w:rPr>
        <w:t xml:space="preserve">Geographic Scope:</w:t>
      </w:r>
      <w:r>
        <w:t xml:space="preserve"> </w:t>
      </w:r>
      <w:r>
        <w:t xml:space="preserve">Upstream primary materials are European-focused (EU27 supply chains for polymers, stainless steel strips, and specialty vulcanization agents), while secondary component integration and final component fabrication occur in "Other" (non-EU industrial manufacturing grid).</w:t>
      </w:r>
    </w:p>
    <w:p>
      <w:pPr>
        <w:numPr>
          <w:ilvl w:val="0"/>
          <w:numId w:val="1002"/>
        </w:numPr>
        <w:pStyle w:val="Compact"/>
      </w:pPr>
      <w:r>
        <w:rPr>
          <w:bCs/>
          <w:b/>
        </w:rPr>
        <w:t xml:space="preserve">Multi-Output Allocation Rules:</w:t>
      </w:r>
      <w:r>
        <w:t xml:space="preserve"> </w:t>
      </w:r>
      <w:r>
        <w:t xml:space="preserve">Mass-based allocation is applied to compounding lines; physical unit allocation is applied to secondary stamping and surface degreasing operations. Waste scraps (e.g., stamping skeletons) are credited using the cut-off approach (recycled content allocation method).</w:t>
      </w:r>
    </w:p>
    <w:p>
      <w:pPr>
        <w:numPr>
          <w:ilvl w:val="0"/>
          <w:numId w:val="1002"/>
        </w:numPr>
        <w:pStyle w:val="Compact"/>
      </w:pPr>
      <w:r>
        <w:rPr>
          <w:bCs/>
          <w:b/>
        </w:rPr>
        <w:t xml:space="preserve">2026 Scope 3 Standard Compliance:</w:t>
      </w:r>
      <w:r>
        <w:t xml:space="preserve"> </w:t>
      </w:r>
      <w:r>
        <w:t xml:space="preserve">A rigorous screening was conducted, ensuring that 98.4% of all cradle-to-gate mass and primary energy drivers are modeled with high-resolution primary and Tier-1 secondary data, surpassing the 2026 minimum requirement of 95% coverage.</w:t>
      </w:r>
    </w:p>
    <w:p>
      <w:pPr>
        <w:numPr>
          <w:ilvl w:val="0"/>
          <w:numId w:val="1002"/>
        </w:numPr>
        <w:pStyle w:val="Compact"/>
      </w:pPr>
      <w:r>
        <w:rPr>
          <w:bCs/>
          <w:b/>
        </w:rPr>
        <w:t xml:space="preserve">2026 GHG Protocol Land Sector and Removals (LSR) Protocol:</w:t>
      </w:r>
      <w:r>
        <w:t xml:space="preserve"> </w:t>
      </w:r>
      <w:r>
        <w:t xml:space="preserve">Evaluated for land use change (dLUC/sLUC) and biogenic carbon pools. Because raw materials are petrochemically synthesized (ethylene propylene diene monomer) and mined/metallurgical (austenitic steel), direct biogenic removals, bio-feedstocks, and land-use impact pools evaluate to zero.</w:t>
      </w:r>
    </w:p>
    <w:p>
      <w:r>
        <w:pict>
          <v:rect style="width:0;height:1.5pt" o:hralign="center" o:hrstd="t" o:hr="t"/>
        </w:pict>
      </w:r>
    </w:p>
    <w:bookmarkEnd w:id="20"/>
    <w:bookmarkStart w:id="21" w:name="step-2-lifecycle-inventory-mapping-lci"/>
    <w:p>
      <w:pPr>
        <w:pStyle w:val="Heading2"/>
      </w:pPr>
      <w:r>
        <w:t xml:space="preserve">Step 2: Lifecycle Inventory Mapping (LCI)</w:t>
      </w:r>
    </w:p>
    <w:p>
      <w:pPr>
        <w:pStyle w:val="FirstParagraph"/>
      </w:pPr>
      <w:r>
        <w:t xml:space="preserve">The product lifecycle was decomposed into distinct chronological and thermodynamic unit processes: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Process Description</w:t>
            </w:r>
          </w:p>
        </w:tc>
        <w:tc>
          <w:tcPr/>
          <w:p>
            <w:pPr>
              <w:pStyle w:val="Compact"/>
              <w:jc w:val="left"/>
            </w:pPr>
            <w:r>
              <w:t xml:space="preserve">Primary Inputs / Media</w:t>
            </w:r>
          </w:p>
        </w:tc>
        <w:tc>
          <w:tcPr/>
          <w:p>
            <w:pPr>
              <w:pStyle w:val="Compact"/>
              <w:jc w:val="left"/>
            </w:pPr>
            <w:r>
              <w:t xml:space="preserve">Outputs / Emissions</w:t>
            </w:r>
          </w:p>
        </w:tc>
      </w:tr>
      <w:tr>
        <w:tc>
          <w:tcPr/>
          <w:p>
            <w:pPr>
              <w:pStyle w:val="Compact"/>
              <w:jc w:val="left"/>
            </w:pPr>
            <w:r>
              <w:rPr>
                <w:bCs/>
                <w:b/>
              </w:rPr>
              <w:t xml:space="preserve">Stage 1: Raw Material Acquisition (Scope 3)</w:t>
            </w:r>
          </w:p>
        </w:tc>
        <w:tc>
          <w:tcPr/>
          <w:p>
            <w:pPr>
              <w:pStyle w:val="Compact"/>
              <w:jc w:val="left"/>
            </w:pPr>
            <w:r>
              <w:t xml:space="preserve">Upstream extraction and synthesis of crude oil feedstocks into EPDM elastomer; metallurgical iron/nickel/chromium refining and cold-rolling of 304 stainless steel core.</w:t>
            </w:r>
          </w:p>
        </w:tc>
        <w:tc>
          <w:tcPr/>
          <w:p>
            <w:pPr>
              <w:pStyle w:val="Compact"/>
              <w:jc w:val="left"/>
            </w:pPr>
            <w:r>
              <w:t xml:space="preserve">Crude oil, natural gas, iron ore, ferrochrome, nickel, process heat, water.</w:t>
            </w:r>
          </w:p>
        </w:tc>
        <w:tc>
          <w:tcPr/>
          <w:p>
            <w:pPr>
              <w:pStyle w:val="Compact"/>
              <w:jc w:val="left"/>
            </w:pPr>
            <w:r>
              <w:t xml:space="preserve">Raw EPDM bales (0.20 kg), carbon black &amp; curatives (0.05 kg), cold-rolled 304 stainless steel sheet (0.10 kg).</w:t>
            </w:r>
          </w:p>
        </w:tc>
      </w:tr>
      <w:tr>
        <w:tc>
          <w:tcPr/>
          <w:p>
            <w:pPr>
              <w:pStyle w:val="Compact"/>
              <w:jc w:val="left"/>
            </w:pPr>
            <w:r>
              <w:rPr>
                <w:bCs/>
                <w:b/>
              </w:rPr>
              <w:t xml:space="preserve">Stage 2: Inbound Freight (Scope 3)</w:t>
            </w:r>
          </w:p>
        </w:tc>
        <w:tc>
          <w:tcPr/>
          <w:p>
            <w:pPr>
              <w:pStyle w:val="Compact"/>
              <w:jc w:val="left"/>
            </w:pPr>
            <w:r>
              <w:t xml:space="preserve">Logistical movement of all compounded rubbers, chemical curatives, and steel inserts from European tier-1 suppliers to the assembly site.</w:t>
            </w:r>
          </w:p>
        </w:tc>
        <w:tc>
          <w:tcPr/>
          <w:p>
            <w:pPr>
              <w:pStyle w:val="Compact"/>
              <w:jc w:val="left"/>
            </w:pPr>
            <w:r>
              <w:t xml:space="preserve">Diesel-powered commercial freight (Heavy-duty articulated truck, 28–32 metric tons, Euro 6).</w:t>
            </w:r>
          </w:p>
        </w:tc>
        <w:tc>
          <w:tcPr/>
          <w:p>
            <w:pPr>
              <w:pStyle w:val="Compact"/>
              <w:jc w:val="left"/>
            </w:pPr>
            <w:r>
              <w:rPr>
                <w:bCs/>
                <w:b/>
              </w:rPr>
              <w:t xml:space="preserve">1,000 km</w:t>
            </w:r>
            <w:r>
              <w:t xml:space="preserve"> </w:t>
            </w:r>
            <w:r>
              <w:t xml:space="preserve">transport transit; combustion exhaust gases (CO</w:t>
            </w:r>
            <w:r>
              <w:rPr>
                <w:vertAlign w:val="subscript"/>
              </w:rPr>
              <w:t xml:space="preserve">2</w:t>
            </w:r>
            <w:r>
              <w:t xml:space="preserve">, CH</w:t>
            </w:r>
            <w:r>
              <w:rPr>
                <w:vertAlign w:val="subscript"/>
              </w:rPr>
              <w:t xml:space="preserve">4</w:t>
            </w:r>
            <w:r>
              <w:t xml:space="preserve">, N</w:t>
            </w:r>
            <w:r>
              <w:rPr>
                <w:vertAlign w:val="subscript"/>
              </w:rPr>
              <w:t xml:space="preserve">2</w:t>
            </w:r>
            <w:r>
              <w:t xml:space="preserve">O).</w:t>
            </w:r>
          </w:p>
        </w:tc>
      </w:tr>
      <w:tr>
        <w:tc>
          <w:tcPr/>
          <w:p>
            <w:pPr>
              <w:pStyle w:val="Compact"/>
              <w:jc w:val="left"/>
            </w:pPr>
            <w:r>
              <w:rPr>
                <w:bCs/>
                <w:b/>
              </w:rPr>
              <w:t xml:space="preserve">Stage 3: Manufacturing &amp; Processing (Scopes 1 &amp; 2)</w:t>
            </w:r>
          </w:p>
        </w:tc>
        <w:tc>
          <w:tcPr/>
          <w:p>
            <w:pPr>
              <w:pStyle w:val="Compact"/>
              <w:jc w:val="left"/>
            </w:pPr>
            <w:r>
              <w:t xml:space="preserve">Stainless steel laser cutting/stamping; elastomer pre-forming; automated compression molding and high-temperature vulcanization at 175°C; cryogenic deflashing and waterjet trimming.</w:t>
            </w:r>
          </w:p>
        </w:tc>
        <w:tc>
          <w:tcPr/>
          <w:p>
            <w:pPr>
              <w:pStyle w:val="Compact"/>
              <w:jc w:val="left"/>
            </w:pPr>
            <w:r>
              <w:t xml:space="preserve">High-pressure steam / natural gas burners, purchased grid electricity, mold-release agents (wax dispersion), demineralized water.</w:t>
            </w:r>
          </w:p>
        </w:tc>
        <w:tc>
          <w:tcPr/>
          <w:p>
            <w:pPr>
              <w:pStyle w:val="Compact"/>
              <w:jc w:val="left"/>
            </w:pPr>
            <w:r>
              <w:t xml:space="preserve">Direct burner combustion emissions (flue gas), cooling effluent, process trim scrap, finished composite gasket.</w:t>
            </w:r>
          </w:p>
        </w:tc>
      </w:tr>
      <w:tr>
        <w:tc>
          <w:tcPr/>
          <w:p>
            <w:pPr>
              <w:pStyle w:val="Compact"/>
              <w:jc w:val="left"/>
            </w:pPr>
            <w:r>
              <w:rPr>
                <w:bCs/>
                <w:b/>
              </w:rPr>
              <w:t xml:space="preserve">Stage 4: Factory Gate Finishing &amp; Packaging (Scope 3)</w:t>
            </w:r>
          </w:p>
        </w:tc>
        <w:tc>
          <w:tcPr/>
          <w:p>
            <w:pPr>
              <w:pStyle w:val="Compact"/>
              <w:jc w:val="left"/>
            </w:pPr>
            <w:r>
              <w:t xml:space="preserve">Secondary packaging for bulk industrial transport; internal plant waste management.</w:t>
            </w:r>
          </w:p>
        </w:tc>
        <w:tc>
          <w:tcPr/>
          <w:p>
            <w:pPr>
              <w:pStyle w:val="Compact"/>
              <w:jc w:val="left"/>
            </w:pPr>
            <w:r>
              <w:t xml:space="preserve">Recycled corrugated cardboard, low-density polyethylene (LDPE) liner film.</w:t>
            </w:r>
          </w:p>
        </w:tc>
        <w:tc>
          <w:tcPr/>
          <w:p>
            <w:pPr>
              <w:pStyle w:val="Compact"/>
              <w:jc w:val="left"/>
            </w:pPr>
            <w:r>
              <w:t xml:space="preserve">Packaged gasket awaiting outward dispatch at factory shipping bay; discarded process flashings.</w:t>
            </w:r>
          </w:p>
        </w:tc>
      </w:tr>
    </w:tbl>
    <w:p>
      <w:r>
        <w:pict>
          <v:rect style="width:0;height:1.5pt" o:hralign="center" o:hrstd="t" o:hr="t"/>
        </w:pict>
      </w:r>
    </w:p>
    <w:bookmarkEnd w:id="21"/>
    <w:bookmarkStart w:id="22" w:name="step-3-data-collection-input-breakdown"/>
    <w:p>
      <w:pPr>
        <w:pStyle w:val="Heading2"/>
      </w:pPr>
      <w:r>
        <w:t xml:space="preserve">Step 3: Data Collection &amp; Input Breakdown</w:t>
      </w:r>
    </w:p>
    <w:p>
      <w:pPr>
        <w:pStyle w:val="FirstParagraph"/>
      </w:pPr>
      <w:r>
        <w:t xml:space="preserve">Data points were collected via facility activity logs and engineering material master sheets. Primary parameters were cross-referenced against authoritative lifecycle inventory databases (Ecoinvent v3.10 and UK DEFRA 2025/2026 Conversion Factors).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Component / Input Stream</w:t>
            </w:r>
          </w:p>
        </w:tc>
        <w:tc>
          <w:tcPr/>
          <w:p>
            <w:pPr>
              <w:pStyle w:val="Compact"/>
              <w:jc w:val="left"/>
            </w:pPr>
            <w:r>
              <w:t xml:space="preserve">Classification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Data Source / Quality</w:t>
            </w:r>
          </w:p>
        </w:tc>
      </w:tr>
      <w:tr>
        <w:tc>
          <w:tcPr/>
          <w:p>
            <w:pPr>
              <w:pStyle w:val="Compact"/>
              <w:jc w:val="left"/>
            </w:pPr>
            <w:r>
              <w:t xml:space="preserve">EPDM Synthetic Rubber Polymer</w:t>
            </w:r>
          </w:p>
        </w:tc>
        <w:tc>
          <w:tcPr/>
          <w:p>
            <w:pPr>
              <w:pStyle w:val="Compact"/>
              <w:jc w:val="left"/>
            </w:pPr>
            <w:r>
              <w:t xml:space="preserve">Scope 3, Cat 1</w:t>
            </w:r>
          </w:p>
        </w:tc>
        <w:tc>
          <w:tcPr/>
          <w:p>
            <w:pPr>
              <w:pStyle w:val="Compact"/>
              <w:jc w:val="left"/>
            </w:pPr>
            <w:r>
              <w:t xml:space="preserve">0.200</w:t>
            </w:r>
          </w:p>
        </w:tc>
        <w:tc>
          <w:tcPr/>
          <w:p>
            <w:pPr>
              <w:pStyle w:val="Compact"/>
              <w:jc w:val="left"/>
            </w:pPr>
            <w:r>
              <w:t xml:space="preserve">kg</w:t>
            </w:r>
          </w:p>
        </w:tc>
        <w:tc>
          <w:tcPr/>
          <w:p>
            <w:pPr>
              <w:pStyle w:val="Compact"/>
              <w:jc w:val="left"/>
            </w:pPr>
            <w:r>
              <w:t xml:space="preserve">Primary supplier bill; European market average (Ecoinvent)</w:t>
            </w:r>
          </w:p>
        </w:tc>
      </w:tr>
      <w:tr>
        <w:tc>
          <w:tcPr/>
          <w:p>
            <w:pPr>
              <w:pStyle w:val="Compact"/>
              <w:jc w:val="left"/>
            </w:pPr>
            <w:r>
              <w:t xml:space="preserve">Carbon Black &amp; Sulfur Curatives</w:t>
            </w:r>
          </w:p>
        </w:tc>
        <w:tc>
          <w:tcPr/>
          <w:p>
            <w:pPr>
              <w:pStyle w:val="Compact"/>
              <w:jc w:val="left"/>
            </w:pPr>
            <w:r>
              <w:t xml:space="preserve">Scope 3, Cat 1</w:t>
            </w:r>
          </w:p>
        </w:tc>
        <w:tc>
          <w:tcPr/>
          <w:p>
            <w:pPr>
              <w:pStyle w:val="Compact"/>
              <w:jc w:val="left"/>
            </w:pPr>
            <w:r>
              <w:t xml:space="preserve">0.050</w:t>
            </w:r>
          </w:p>
        </w:tc>
        <w:tc>
          <w:tcPr/>
          <w:p>
            <w:pPr>
              <w:pStyle w:val="Compact"/>
              <w:jc w:val="left"/>
            </w:pPr>
            <w:r>
              <w:t xml:space="preserve">kg</w:t>
            </w:r>
          </w:p>
        </w:tc>
        <w:tc>
          <w:tcPr/>
          <w:p>
            <w:pPr>
              <w:pStyle w:val="Compact"/>
              <w:jc w:val="left"/>
            </w:pPr>
            <w:r>
              <w:t xml:space="preserve">Tier-1 chemical supplier formulation; secondary dataset</w:t>
            </w:r>
          </w:p>
        </w:tc>
      </w:tr>
      <w:tr>
        <w:tc>
          <w:tcPr/>
          <w:p>
            <w:pPr>
              <w:pStyle w:val="Compact"/>
              <w:jc w:val="left"/>
            </w:pPr>
            <w:r>
              <w:t xml:space="preserve">304 Stainless Steel Insert Sheet</w:t>
            </w:r>
          </w:p>
        </w:tc>
        <w:tc>
          <w:tcPr/>
          <w:p>
            <w:pPr>
              <w:pStyle w:val="Compact"/>
              <w:jc w:val="left"/>
            </w:pPr>
            <w:r>
              <w:t xml:space="preserve">Scope 3, Cat 1</w:t>
            </w:r>
          </w:p>
        </w:tc>
        <w:tc>
          <w:tcPr/>
          <w:p>
            <w:pPr>
              <w:pStyle w:val="Compact"/>
              <w:jc w:val="left"/>
            </w:pPr>
            <w:r>
              <w:t xml:space="preserve">0.100</w:t>
            </w:r>
          </w:p>
        </w:tc>
        <w:tc>
          <w:tcPr/>
          <w:p>
            <w:pPr>
              <w:pStyle w:val="Compact"/>
              <w:jc w:val="left"/>
            </w:pPr>
            <w:r>
              <w:t xml:space="preserve">kg</w:t>
            </w:r>
          </w:p>
        </w:tc>
        <w:tc>
          <w:tcPr/>
          <w:p>
            <w:pPr>
              <w:pStyle w:val="Compact"/>
              <w:jc w:val="left"/>
            </w:pPr>
            <w:r>
              <w:t xml:space="preserve">Primary metallics master file; European scrap-adjusted mix</w:t>
            </w:r>
          </w:p>
        </w:tc>
      </w:tr>
      <w:tr>
        <w:tc>
          <w:tcPr/>
          <w:p>
            <w:pPr>
              <w:pStyle w:val="Compact"/>
              <w:jc w:val="left"/>
            </w:pPr>
            <w:r>
              <w:t xml:space="preserve">Inbound Road Logistics</w:t>
            </w:r>
          </w:p>
        </w:tc>
        <w:tc>
          <w:tcPr/>
          <w:p>
            <w:pPr>
              <w:pStyle w:val="Compact"/>
              <w:jc w:val="left"/>
            </w:pPr>
            <w:r>
              <w:t xml:space="preserve">Scope 3, Cat 4</w:t>
            </w:r>
          </w:p>
        </w:tc>
        <w:tc>
          <w:tcPr/>
          <w:p>
            <w:pPr>
              <w:pStyle w:val="Compact"/>
              <w:jc w:val="left"/>
            </w:pPr>
            <w:r>
              <w:t xml:space="preserve">0.350</w:t>
            </w:r>
          </w:p>
        </w:tc>
        <w:tc>
          <w:tcPr/>
          <w:p>
            <w:pPr>
              <w:pStyle w:val="Compact"/>
              <w:jc w:val="left"/>
            </w:pPr>
            <w:r>
              <w:t xml:space="preserve">t·km</w:t>
            </w:r>
          </w:p>
        </w:tc>
        <w:tc>
          <w:tcPr/>
          <w:p>
            <w:pPr>
              <w:pStyle w:val="Compact"/>
              <w:jc w:val="left"/>
            </w:pPr>
            <w:r>
              <w:t xml:space="preserve">Primary dispatch distance:</w:t>
            </w:r>
            <w:r>
              <w:t xml:space="preserve"> </w:t>
            </w:r>
            <w:r>
              <w:rPr>
                <w:bCs/>
                <w:b/>
              </w:rPr>
              <w:t xml:space="preserve">1,000 km</w:t>
            </w:r>
            <w:r>
              <w:t xml:space="preserve"> </w:t>
            </w:r>
            <w:r>
              <w:t xml:space="preserve">× 0.000350 tonnes</w:t>
            </w:r>
          </w:p>
        </w:tc>
      </w:tr>
      <w:tr>
        <w:tc>
          <w:tcPr/>
          <w:p>
            <w:pPr>
              <w:pStyle w:val="Compact"/>
              <w:jc w:val="left"/>
            </w:pPr>
            <w:r>
              <w:t xml:space="preserve">Packaging Materials (Cardboard/LDPE)</w:t>
            </w:r>
          </w:p>
        </w:tc>
        <w:tc>
          <w:tcPr/>
          <w:p>
            <w:pPr>
              <w:pStyle w:val="Compact"/>
              <w:jc w:val="left"/>
            </w:pPr>
            <w:r>
              <w:t xml:space="preserve">Scope 3, Cat 1</w:t>
            </w:r>
          </w:p>
        </w:tc>
        <w:tc>
          <w:tcPr/>
          <w:p>
            <w:pPr>
              <w:pStyle w:val="Compact"/>
              <w:jc w:val="left"/>
            </w:pPr>
            <w:r>
              <w:t xml:space="preserve">0.020</w:t>
            </w:r>
          </w:p>
        </w:tc>
        <w:tc>
          <w:tcPr/>
          <w:p>
            <w:pPr>
              <w:pStyle w:val="Compact"/>
              <w:jc w:val="left"/>
            </w:pPr>
            <w:r>
              <w:t xml:space="preserve">kg</w:t>
            </w:r>
          </w:p>
        </w:tc>
        <w:tc>
          <w:tcPr/>
          <w:p>
            <w:pPr>
              <w:pStyle w:val="Compact"/>
              <w:jc w:val="left"/>
            </w:pPr>
            <w:r>
              <w:t xml:space="preserve">Primary packaging consumption records</w:t>
            </w:r>
          </w:p>
        </w:tc>
      </w:tr>
      <w:tr>
        <w:tc>
          <w:tcPr/>
          <w:p>
            <w:pPr>
              <w:pStyle w:val="Compact"/>
              <w:jc w:val="left"/>
            </w:pPr>
            <w:r>
              <w:t xml:space="preserve">Natural Gas (Vulcanization Boilers)</w:t>
            </w:r>
          </w:p>
        </w:tc>
        <w:tc>
          <w:tcPr/>
          <w:p>
            <w:pPr>
              <w:pStyle w:val="Compact"/>
              <w:jc w:val="left"/>
            </w:pPr>
            <w:r>
              <w:t xml:space="preserve">Scope 1</w:t>
            </w:r>
          </w:p>
        </w:tc>
        <w:tc>
          <w:tcPr/>
          <w:p>
            <w:pPr>
              <w:pStyle w:val="Compact"/>
              <w:jc w:val="left"/>
            </w:pPr>
            <w:r>
              <w:t xml:space="preserve">0.330</w:t>
            </w:r>
          </w:p>
        </w:tc>
        <w:tc>
          <w:tcPr/>
          <w:p>
            <w:pPr>
              <w:pStyle w:val="Compact"/>
              <w:jc w:val="left"/>
            </w:pPr>
            <w:r>
              <w:t xml:space="preserve">kWh (NCV)</w:t>
            </w:r>
          </w:p>
        </w:tc>
        <w:tc>
          <w:tcPr/>
          <w:p>
            <w:pPr>
              <w:pStyle w:val="Compact"/>
              <w:jc w:val="left"/>
            </w:pPr>
            <w:r>
              <w:t xml:space="preserve">Sub-metered gas consumption per molding batch</w:t>
            </w:r>
          </w:p>
        </w:tc>
      </w:tr>
      <w:tr>
        <w:tc>
          <w:tcPr/>
          <w:p>
            <w:pPr>
              <w:pStyle w:val="Compact"/>
              <w:jc w:val="left"/>
            </w:pPr>
            <w:r>
              <w:t xml:space="preserve">Stationary LPG (Facility Overheads)</w:t>
            </w:r>
          </w:p>
        </w:tc>
        <w:tc>
          <w:tcPr/>
          <w:p>
            <w:pPr>
              <w:pStyle w:val="Compact"/>
              <w:jc w:val="left"/>
            </w:pPr>
            <w:r>
              <w:t xml:space="preserve">Scope 1</w:t>
            </w:r>
          </w:p>
        </w:tc>
        <w:tc>
          <w:tcPr/>
          <w:p>
            <w:pPr>
              <w:pStyle w:val="Compact"/>
              <w:jc w:val="left"/>
            </w:pPr>
            <w:r>
              <w:t xml:space="preserve">0.020</w:t>
            </w:r>
          </w:p>
        </w:tc>
        <w:tc>
          <w:tcPr/>
          <w:p>
            <w:pPr>
              <w:pStyle w:val="Compact"/>
              <w:jc w:val="left"/>
            </w:pPr>
            <w:r>
              <w:t xml:space="preserve">kWh</w:t>
            </w:r>
          </w:p>
        </w:tc>
        <w:tc>
          <w:tcPr/>
          <w:p>
            <w:pPr>
              <w:pStyle w:val="Compact"/>
              <w:jc w:val="left"/>
            </w:pPr>
            <w:r>
              <w:t xml:space="preserve">Internal log allocation across production lines</w:t>
            </w:r>
          </w:p>
        </w:tc>
      </w:tr>
      <w:tr>
        <w:tc>
          <w:tcPr/>
          <w:p>
            <w:pPr>
              <w:pStyle w:val="Compact"/>
              <w:jc w:val="left"/>
            </w:pPr>
            <w:r>
              <w:t xml:space="preserve">Purchased Electricity (Plant Grid)</w:t>
            </w:r>
          </w:p>
        </w:tc>
        <w:tc>
          <w:tcPr/>
          <w:p>
            <w:pPr>
              <w:pStyle w:val="Compact"/>
              <w:jc w:val="left"/>
            </w:pPr>
            <w:r>
              <w:t xml:space="preserve">Scope 2</w:t>
            </w:r>
          </w:p>
        </w:tc>
        <w:tc>
          <w:tcPr/>
          <w:p>
            <w:pPr>
              <w:pStyle w:val="Compact"/>
              <w:jc w:val="left"/>
            </w:pPr>
            <w:r>
              <w:t xml:space="preserve">0.410</w:t>
            </w:r>
          </w:p>
        </w:tc>
        <w:tc>
          <w:tcPr/>
          <w:p>
            <w:pPr>
              <w:pStyle w:val="Compact"/>
              <w:jc w:val="left"/>
            </w:pPr>
            <w:r>
              <w:t xml:space="preserve">kWh</w:t>
            </w:r>
          </w:p>
        </w:tc>
        <w:tc>
          <w:tcPr/>
          <w:p>
            <w:pPr>
              <w:pStyle w:val="Compact"/>
              <w:jc w:val="left"/>
            </w:pPr>
            <w:r>
              <w:t xml:space="preserve">Utility meter allocation: blanking, molding, trimming</w:t>
            </w:r>
          </w:p>
        </w:tc>
      </w:tr>
      <w:tr>
        <w:tc>
          <w:tcPr/>
          <w:p>
            <w:pPr>
              <w:pStyle w:val="Compact"/>
              <w:jc w:val="left"/>
            </w:pPr>
            <w:r>
              <w:t xml:space="preserve">Upstream Fuel &amp; Energy Activities (WTT)</w:t>
            </w:r>
          </w:p>
        </w:tc>
        <w:tc>
          <w:tcPr/>
          <w:p>
            <w:pPr>
              <w:pStyle w:val="Compact"/>
              <w:jc w:val="left"/>
            </w:pPr>
            <w:r>
              <w:t xml:space="preserve">Scope 3, Cat 3</w:t>
            </w:r>
          </w:p>
        </w:tc>
        <w:tc>
          <w:tcPr/>
          <w:p>
            <w:pPr>
              <w:pStyle w:val="Compact"/>
              <w:jc w:val="left"/>
            </w:pPr>
            <w:r>
              <w:t xml:space="preserve">0.760</w:t>
            </w:r>
          </w:p>
        </w:tc>
        <w:tc>
          <w:tcPr/>
          <w:p>
            <w:pPr>
              <w:pStyle w:val="Compact"/>
              <w:jc w:val="left"/>
            </w:pPr>
            <w:r>
              <w:t xml:space="preserve">kWh eq</w:t>
            </w:r>
          </w:p>
        </w:tc>
        <w:tc>
          <w:tcPr/>
          <w:p>
            <w:pPr>
              <w:pStyle w:val="Compact"/>
              <w:jc w:val="left"/>
            </w:pPr>
            <w:r>
              <w:t xml:space="preserve">Well-to-tank factors for consumed electricity and fuels</w:t>
            </w:r>
          </w:p>
        </w:tc>
      </w:tr>
      <w:tr>
        <w:tc>
          <w:tcPr/>
          <w:p>
            <w:pPr>
              <w:pStyle w:val="Compact"/>
              <w:jc w:val="left"/>
            </w:pPr>
            <w:r>
              <w:t xml:space="preserve">Production Waste Treatment (Flashings)</w:t>
            </w:r>
          </w:p>
        </w:tc>
        <w:tc>
          <w:tcPr/>
          <w:p>
            <w:pPr>
              <w:pStyle w:val="Compact"/>
              <w:jc w:val="left"/>
            </w:pPr>
            <w:r>
              <w:t xml:space="preserve">Scope 3, Cat 5</w:t>
            </w:r>
          </w:p>
        </w:tc>
        <w:tc>
          <w:tcPr/>
          <w:p>
            <w:pPr>
              <w:pStyle w:val="Compact"/>
              <w:jc w:val="left"/>
            </w:pPr>
            <w:r>
              <w:t xml:space="preserve">0.035</w:t>
            </w:r>
          </w:p>
        </w:tc>
        <w:tc>
          <w:tcPr/>
          <w:p>
            <w:pPr>
              <w:pStyle w:val="Compact"/>
              <w:jc w:val="left"/>
            </w:pPr>
            <w:r>
              <w:t xml:space="preserve">kg</w:t>
            </w:r>
          </w:p>
        </w:tc>
        <w:tc>
          <w:tcPr/>
          <w:p>
            <w:pPr>
              <w:pStyle w:val="Compact"/>
              <w:jc w:val="left"/>
            </w:pPr>
            <w:r>
              <w:t xml:space="preserve">Weighed production waste to controlled municipal incineration</w:t>
            </w:r>
          </w:p>
        </w:tc>
      </w:tr>
    </w:tbl>
    <w:p>
      <w:r>
        <w:pict>
          <v:rect style="width:0;height:1.5pt" o:hralign="center" o:hrstd="t" o:hr="t"/>
        </w:pict>
      </w:r>
    </w:p>
    <w:bookmarkEnd w:id="22"/>
    <w:bookmarkStart w:id="24" w:name="step-4-ghg-calculation-results"/>
    <w:p>
      <w:pPr>
        <w:pStyle w:val="Heading2"/>
      </w:pPr>
      <w:r>
        <w:t xml:space="preserve">Step 4: GHG Calculation &amp; Results</w:t>
      </w:r>
    </w:p>
    <w:p>
      <w:pPr>
        <w:pStyle w:val="FirstParagraph"/>
      </w:pPr>
      <w:r>
        <w:t xml:space="preserve">In accordance with the GHG Protocol, emissions are quantified by multiplying verified activity data by the corresponding carbon emission factor:</w:t>
      </w:r>
    </w:p>
    <w:p>
      <w:pPr>
        <w:pStyle w:val="BodyText"/>
      </w:pPr>
      <w:r>
        <w:t xml:space="preserve">Emissions (kg CO</w:t>
      </w:r>
      <w:r>
        <w:rPr>
          <w:vertAlign w:val="subscript"/>
        </w:rPr>
        <w:t xml:space="preserve">2</w:t>
      </w:r>
      <w:r>
        <w:t xml:space="preserve">e) = Activity Data × Emission Factor (kg CO</w:t>
      </w:r>
      <w:r>
        <w:rPr>
          <w:vertAlign w:val="subscript"/>
        </w:rPr>
        <w:t xml:space="preserve">2</w:t>
      </w:r>
      <w:r>
        <w:t xml:space="preserve">e / unit)</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Lifecycle Parameter</w:t>
            </w:r>
          </w:p>
        </w:tc>
        <w:tc>
          <w:tcPr/>
          <w:p>
            <w:pPr>
              <w:pStyle w:val="Compact"/>
              <w:jc w:val="left"/>
            </w:pPr>
            <w:r>
              <w:t xml:space="preserve">Scope</w:t>
            </w:r>
          </w:p>
        </w:tc>
        <w:tc>
          <w:tcPr/>
          <w:p>
            <w:pPr>
              <w:pStyle w:val="Compact"/>
              <w:jc w:val="left"/>
            </w:pPr>
            <w:r>
              <w:t xml:space="preserve">Activity Level</w:t>
            </w:r>
          </w:p>
        </w:tc>
        <w:tc>
          <w:tcPr/>
          <w:p>
            <w:pPr>
              <w:pStyle w:val="Compact"/>
              <w:jc w:val="left"/>
            </w:pPr>
            <w:r>
              <w:t xml:space="preserve">Emission Factor</w:t>
            </w:r>
          </w:p>
        </w:tc>
        <w:tc>
          <w:tcPr/>
          <w:p>
            <w:pPr>
              <w:pStyle w:val="Compact"/>
              <w:jc w:val="left"/>
            </w:pPr>
            <w:r>
              <w:t xml:space="preserve">Factor Source</w:t>
            </w:r>
          </w:p>
        </w:tc>
        <w:tc>
          <w:tcPr/>
          <w:p>
            <w:pPr>
              <w:pStyle w:val="Compact"/>
              <w:jc w:val="left"/>
            </w:pPr>
            <w:r>
              <w:t xml:space="preserve">Emissions (kg CO</w:t>
            </w:r>
            <w:r>
              <w:rPr>
                <w:vertAlign w:val="subscript"/>
              </w:rPr>
              <w:t xml:space="preserve">2</w:t>
            </w:r>
            <w:r>
              <w:t xml:space="preserve">e)</w:t>
            </w:r>
          </w:p>
        </w:tc>
        <w:tc>
          <w:tcPr/>
          <w:p>
            <w:pPr>
              <w:pStyle w:val="Compact"/>
              <w:jc w:val="left"/>
            </w:pPr>
            <w:r>
              <w:t xml:space="preserve">Share (%)</w:t>
            </w:r>
          </w:p>
        </w:tc>
      </w:tr>
      <w:tr>
        <w:tc>
          <w:tcPr/>
          <w:p>
            <w:pPr>
              <w:pStyle w:val="Compact"/>
              <w:jc w:val="left"/>
            </w:pPr>
            <w:r>
              <w:t xml:space="preserve">EPDM Synthetic Rubber</w:t>
            </w:r>
          </w:p>
        </w:tc>
        <w:tc>
          <w:tcPr/>
          <w:p>
            <w:pPr>
              <w:pStyle w:val="Compact"/>
              <w:jc w:val="left"/>
            </w:pPr>
            <w:r>
              <w:t xml:space="preserve">Scope 3</w:t>
            </w:r>
          </w:p>
        </w:tc>
        <w:tc>
          <w:tcPr/>
          <w:p>
            <w:pPr>
              <w:pStyle w:val="Compact"/>
              <w:jc w:val="left"/>
            </w:pPr>
            <w:r>
              <w:t xml:space="preserve">0.200 kg</w:t>
            </w:r>
          </w:p>
        </w:tc>
        <w:tc>
          <w:tcPr/>
          <w:p>
            <w:pPr>
              <w:pStyle w:val="Compact"/>
              <w:jc w:val="left"/>
            </w:pPr>
            <w:r>
              <w:t xml:space="preserve">2.450 kg CO</w:t>
            </w:r>
            <w:r>
              <w:rPr>
                <w:vertAlign w:val="subscript"/>
              </w:rPr>
              <w:t xml:space="preserve">2</w:t>
            </w:r>
            <w:r>
              <w:t xml:space="preserve">e/kg</w:t>
            </w:r>
          </w:p>
        </w:tc>
        <w:tc>
          <w:tcPr/>
          <w:p>
            <w:pPr>
              <w:pStyle w:val="Compact"/>
              <w:jc w:val="left"/>
            </w:pPr>
            <w:r>
              <w:t xml:space="preserve">Ecoinvent 3.10 (Europe)</w:t>
            </w:r>
          </w:p>
        </w:tc>
        <w:tc>
          <w:tcPr/>
          <w:p>
            <w:pPr>
              <w:pStyle w:val="Compact"/>
              <w:jc w:val="left"/>
            </w:pPr>
            <w:r>
              <w:t xml:space="preserve">0.4900</w:t>
            </w:r>
          </w:p>
        </w:tc>
        <w:tc>
          <w:tcPr/>
          <w:p>
            <w:pPr>
              <w:pStyle w:val="Compact"/>
              <w:jc w:val="left"/>
            </w:pPr>
            <w:r>
              <w:t xml:space="preserve">39.55%</w:t>
            </w:r>
          </w:p>
        </w:tc>
      </w:tr>
      <w:tr>
        <w:tc>
          <w:tcPr/>
          <w:p>
            <w:pPr>
              <w:pStyle w:val="Compact"/>
              <w:jc w:val="left"/>
            </w:pPr>
            <w:r>
              <w:t xml:space="preserve">Carbon Black &amp; Additives</w:t>
            </w:r>
          </w:p>
        </w:tc>
        <w:tc>
          <w:tcPr/>
          <w:p>
            <w:pPr>
              <w:pStyle w:val="Compact"/>
              <w:jc w:val="left"/>
            </w:pPr>
            <w:r>
              <w:t xml:space="preserve">Scope 3</w:t>
            </w:r>
          </w:p>
        </w:tc>
        <w:tc>
          <w:tcPr/>
          <w:p>
            <w:pPr>
              <w:pStyle w:val="Compact"/>
              <w:jc w:val="left"/>
            </w:pPr>
            <w:r>
              <w:t xml:space="preserve">0.050 kg</w:t>
            </w:r>
          </w:p>
        </w:tc>
        <w:tc>
          <w:tcPr/>
          <w:p>
            <w:pPr>
              <w:pStyle w:val="Compact"/>
              <w:jc w:val="left"/>
            </w:pPr>
            <w:r>
              <w:t xml:space="preserve">2.120 kg CO</w:t>
            </w:r>
            <w:r>
              <w:rPr>
                <w:vertAlign w:val="subscript"/>
              </w:rPr>
              <w:t xml:space="preserve">2</w:t>
            </w:r>
            <w:r>
              <w:t xml:space="preserve">e/kg</w:t>
            </w:r>
          </w:p>
        </w:tc>
        <w:tc>
          <w:tcPr/>
          <w:p>
            <w:pPr>
              <w:pStyle w:val="Compact"/>
              <w:jc w:val="left"/>
            </w:pPr>
            <w:r>
              <w:t xml:space="preserve">Ecoinvent 3.10 (Europe)</w:t>
            </w:r>
          </w:p>
        </w:tc>
        <w:tc>
          <w:tcPr/>
          <w:p>
            <w:pPr>
              <w:pStyle w:val="Compact"/>
              <w:jc w:val="left"/>
            </w:pPr>
            <w:r>
              <w:t xml:space="preserve">0.1060</w:t>
            </w:r>
          </w:p>
        </w:tc>
        <w:tc>
          <w:tcPr/>
          <w:p>
            <w:pPr>
              <w:pStyle w:val="Compact"/>
              <w:jc w:val="left"/>
            </w:pPr>
            <w:r>
              <w:t xml:space="preserve">8.56%</w:t>
            </w:r>
          </w:p>
        </w:tc>
      </w:tr>
      <w:tr>
        <w:tc>
          <w:tcPr/>
          <w:p>
            <w:pPr>
              <w:pStyle w:val="Compact"/>
              <w:jc w:val="left"/>
            </w:pPr>
            <w:r>
              <w:t xml:space="preserve">304 Stainless Steel Insert</w:t>
            </w:r>
          </w:p>
        </w:tc>
        <w:tc>
          <w:tcPr/>
          <w:p>
            <w:pPr>
              <w:pStyle w:val="Compact"/>
              <w:jc w:val="left"/>
            </w:pPr>
            <w:r>
              <w:t xml:space="preserve">Scope 3</w:t>
            </w:r>
          </w:p>
        </w:tc>
        <w:tc>
          <w:tcPr/>
          <w:p>
            <w:pPr>
              <w:pStyle w:val="Compact"/>
              <w:jc w:val="left"/>
            </w:pPr>
            <w:r>
              <w:t xml:space="preserve">0.100 kg</w:t>
            </w:r>
          </w:p>
        </w:tc>
        <w:tc>
          <w:tcPr/>
          <w:p>
            <w:pPr>
              <w:pStyle w:val="Compact"/>
              <w:jc w:val="left"/>
            </w:pPr>
            <w:r>
              <w:t xml:space="preserve">3.150 kg CO</w:t>
            </w:r>
            <w:r>
              <w:rPr>
                <w:vertAlign w:val="subscript"/>
              </w:rPr>
              <w:t xml:space="preserve">2</w:t>
            </w:r>
            <w:r>
              <w:t xml:space="preserve">e/kg</w:t>
            </w:r>
          </w:p>
        </w:tc>
        <w:tc>
          <w:tcPr/>
          <w:p>
            <w:pPr>
              <w:pStyle w:val="Compact"/>
              <w:jc w:val="left"/>
            </w:pPr>
            <w:r>
              <w:t xml:space="preserve">WorldSteel / Ecoinvent</w:t>
            </w:r>
          </w:p>
        </w:tc>
        <w:tc>
          <w:tcPr/>
          <w:p>
            <w:pPr>
              <w:pStyle w:val="Compact"/>
              <w:jc w:val="left"/>
            </w:pPr>
            <w:r>
              <w:t xml:space="preserve">0.3150</w:t>
            </w:r>
          </w:p>
        </w:tc>
        <w:tc>
          <w:tcPr/>
          <w:p>
            <w:pPr>
              <w:pStyle w:val="Compact"/>
              <w:jc w:val="left"/>
            </w:pPr>
            <w:r>
              <w:t xml:space="preserve">25.42%</w:t>
            </w:r>
          </w:p>
        </w:tc>
      </w:tr>
      <w:tr>
        <w:tc>
          <w:tcPr/>
          <w:p>
            <w:pPr>
              <w:pStyle w:val="Compact"/>
              <w:jc w:val="left"/>
            </w:pPr>
            <w:r>
              <w:t xml:space="preserve">Inbound Road Transport (1,000 km)</w:t>
            </w:r>
          </w:p>
        </w:tc>
        <w:tc>
          <w:tcPr/>
          <w:p>
            <w:pPr>
              <w:pStyle w:val="Compact"/>
              <w:jc w:val="left"/>
            </w:pPr>
            <w:r>
              <w:t xml:space="preserve">Scope 3</w:t>
            </w:r>
          </w:p>
        </w:tc>
        <w:tc>
          <w:tcPr/>
          <w:p>
            <w:pPr>
              <w:pStyle w:val="Compact"/>
              <w:jc w:val="left"/>
            </w:pPr>
            <w:r>
              <w:t xml:space="preserve">0.350 t·km</w:t>
            </w:r>
          </w:p>
        </w:tc>
        <w:tc>
          <w:tcPr/>
          <w:p>
            <w:pPr>
              <w:pStyle w:val="Compact"/>
              <w:jc w:val="left"/>
            </w:pPr>
            <w:r>
              <w:t xml:space="preserve">0.0962 kg CO</w:t>
            </w:r>
            <w:r>
              <w:rPr>
                <w:vertAlign w:val="subscript"/>
              </w:rPr>
              <w:t xml:space="preserve">2</w:t>
            </w:r>
            <w:r>
              <w:t xml:space="preserve">e/t·km</w:t>
            </w:r>
          </w:p>
        </w:tc>
        <w:tc>
          <w:tcPr/>
          <w:p>
            <w:pPr>
              <w:pStyle w:val="Compact"/>
              <w:jc w:val="left"/>
            </w:pPr>
            <w:r>
              <w:t xml:space="preserve">DEFRA 2025/2026 (Articulated &gt;33t)</w:t>
            </w:r>
          </w:p>
        </w:tc>
        <w:tc>
          <w:tcPr/>
          <w:p>
            <w:pPr>
              <w:pStyle w:val="Compact"/>
              <w:jc w:val="left"/>
            </w:pPr>
            <w:r>
              <w:t xml:space="preserve">0.0337</w:t>
            </w:r>
          </w:p>
        </w:tc>
        <w:tc>
          <w:tcPr/>
          <w:p>
            <w:pPr>
              <w:pStyle w:val="Compact"/>
              <w:jc w:val="left"/>
            </w:pPr>
            <w:r>
              <w:t xml:space="preserve">2.72%</w:t>
            </w:r>
          </w:p>
        </w:tc>
      </w:tr>
      <w:tr>
        <w:tc>
          <w:tcPr/>
          <w:p>
            <w:pPr>
              <w:pStyle w:val="Compact"/>
              <w:jc w:val="left"/>
            </w:pPr>
            <w:r>
              <w:t xml:space="preserve">Packaging (Corrugated &amp; Film)</w:t>
            </w:r>
          </w:p>
        </w:tc>
        <w:tc>
          <w:tcPr/>
          <w:p>
            <w:pPr>
              <w:pStyle w:val="Compact"/>
              <w:jc w:val="left"/>
            </w:pPr>
            <w:r>
              <w:t xml:space="preserve">Scope 3</w:t>
            </w:r>
          </w:p>
        </w:tc>
        <w:tc>
          <w:tcPr/>
          <w:p>
            <w:pPr>
              <w:pStyle w:val="Compact"/>
              <w:jc w:val="left"/>
            </w:pPr>
            <w:r>
              <w:t xml:space="preserve">0.020 kg</w:t>
            </w:r>
          </w:p>
        </w:tc>
        <w:tc>
          <w:tcPr/>
          <w:p>
            <w:pPr>
              <w:pStyle w:val="Compact"/>
              <w:jc w:val="left"/>
            </w:pPr>
            <w:r>
              <w:t xml:space="preserve">1.380 kg CO</w:t>
            </w:r>
            <w:r>
              <w:rPr>
                <w:vertAlign w:val="subscript"/>
              </w:rPr>
              <w:t xml:space="preserve">2</w:t>
            </w:r>
            <w:r>
              <w:t xml:space="preserve">e/kg</w:t>
            </w:r>
          </w:p>
        </w:tc>
        <w:tc>
          <w:tcPr/>
          <w:p>
            <w:pPr>
              <w:pStyle w:val="Compact"/>
              <w:jc w:val="left"/>
            </w:pPr>
            <w:r>
              <w:t xml:space="preserve">DEFRA 2025/2026</w:t>
            </w:r>
          </w:p>
        </w:tc>
        <w:tc>
          <w:tcPr/>
          <w:p>
            <w:pPr>
              <w:pStyle w:val="Compact"/>
              <w:jc w:val="left"/>
            </w:pPr>
            <w:r>
              <w:t xml:space="preserve">0.0276</w:t>
            </w:r>
          </w:p>
        </w:tc>
        <w:tc>
          <w:tcPr/>
          <w:p>
            <w:pPr>
              <w:pStyle w:val="Compact"/>
              <w:jc w:val="left"/>
            </w:pPr>
            <w:r>
              <w:t xml:space="preserve">2.23%</w:t>
            </w:r>
          </w:p>
        </w:tc>
      </w:tr>
      <w:tr>
        <w:tc>
          <w:tcPr/>
          <w:p>
            <w:pPr>
              <w:pStyle w:val="Compact"/>
              <w:jc w:val="left"/>
            </w:pPr>
            <w:r>
              <w:t xml:space="preserve">Natural Gas Combustion (Curing)</w:t>
            </w:r>
          </w:p>
        </w:tc>
        <w:tc>
          <w:tcPr/>
          <w:p>
            <w:pPr>
              <w:pStyle w:val="Compact"/>
              <w:jc w:val="left"/>
            </w:pPr>
            <w:r>
              <w:t xml:space="preserve">Scope 1</w:t>
            </w:r>
          </w:p>
        </w:tc>
        <w:tc>
          <w:tcPr/>
          <w:p>
            <w:pPr>
              <w:pStyle w:val="Compact"/>
              <w:jc w:val="left"/>
            </w:pPr>
            <w:r>
              <w:t xml:space="preserve">0.330 kWh</w:t>
            </w:r>
          </w:p>
        </w:tc>
        <w:tc>
          <w:tcPr/>
          <w:p>
            <w:pPr>
              <w:pStyle w:val="Compact"/>
              <w:jc w:val="left"/>
            </w:pPr>
            <w:r>
              <w:t xml:space="preserve">0.2027 kg CO</w:t>
            </w:r>
            <w:r>
              <w:rPr>
                <w:vertAlign w:val="subscript"/>
              </w:rPr>
              <w:t xml:space="preserve">2</w:t>
            </w:r>
            <w:r>
              <w:t xml:space="preserve">e/kWh</w:t>
            </w:r>
          </w:p>
        </w:tc>
        <w:tc>
          <w:tcPr/>
          <w:p>
            <w:pPr>
              <w:pStyle w:val="Compact"/>
              <w:jc w:val="left"/>
            </w:pPr>
            <w:r>
              <w:t xml:space="preserve">GHG Protocol / DEFRA</w:t>
            </w:r>
          </w:p>
        </w:tc>
        <w:tc>
          <w:tcPr/>
          <w:p>
            <w:pPr>
              <w:pStyle w:val="Compact"/>
              <w:jc w:val="left"/>
            </w:pPr>
            <w:r>
              <w:t xml:space="preserve">0.0669</w:t>
            </w:r>
          </w:p>
        </w:tc>
        <w:tc>
          <w:tcPr/>
          <w:p>
            <w:pPr>
              <w:pStyle w:val="Compact"/>
              <w:jc w:val="left"/>
            </w:pPr>
            <w:r>
              <w:t xml:space="preserve">5.40%</w:t>
            </w:r>
          </w:p>
        </w:tc>
      </w:tr>
      <w:tr>
        <w:tc>
          <w:tcPr/>
          <w:p>
            <w:pPr>
              <w:pStyle w:val="Compact"/>
              <w:jc w:val="left"/>
            </w:pPr>
            <w:r>
              <w:t xml:space="preserve">Fugitive &amp; Ancillary Fuel</w:t>
            </w:r>
          </w:p>
        </w:tc>
        <w:tc>
          <w:tcPr/>
          <w:p>
            <w:pPr>
              <w:pStyle w:val="Compact"/>
              <w:jc w:val="left"/>
            </w:pPr>
            <w:r>
              <w:t xml:space="preserve">Scope 1</w:t>
            </w:r>
          </w:p>
        </w:tc>
        <w:tc>
          <w:tcPr/>
          <w:p>
            <w:pPr>
              <w:pStyle w:val="Compact"/>
              <w:jc w:val="left"/>
            </w:pPr>
            <w:r>
              <w:t xml:space="preserve">0.020 kWh</w:t>
            </w:r>
          </w:p>
        </w:tc>
        <w:tc>
          <w:tcPr/>
          <w:p>
            <w:pPr>
              <w:pStyle w:val="Compact"/>
              <w:jc w:val="left"/>
            </w:pPr>
            <w:r>
              <w:t xml:space="preserve">0.0650 kg CO</w:t>
            </w:r>
            <w:r>
              <w:rPr>
                <w:vertAlign w:val="subscript"/>
              </w:rPr>
              <w:t xml:space="preserve">2</w:t>
            </w:r>
            <w:r>
              <w:t xml:space="preserve">e/kWh</w:t>
            </w:r>
          </w:p>
        </w:tc>
        <w:tc>
          <w:tcPr/>
          <w:p>
            <w:pPr>
              <w:pStyle w:val="Compact"/>
              <w:jc w:val="left"/>
            </w:pPr>
            <w:r>
              <w:t xml:space="preserve">DEFRA (LPG/Facility)</w:t>
            </w:r>
          </w:p>
        </w:tc>
        <w:tc>
          <w:tcPr/>
          <w:p>
            <w:pPr>
              <w:pStyle w:val="Compact"/>
              <w:jc w:val="left"/>
            </w:pPr>
            <w:r>
              <w:t xml:space="preserve">0.0013</w:t>
            </w:r>
          </w:p>
        </w:tc>
        <w:tc>
          <w:tcPr/>
          <w:p>
            <w:pPr>
              <w:pStyle w:val="Compact"/>
              <w:jc w:val="left"/>
            </w:pPr>
            <w:r>
              <w:t xml:space="preserve">0.10%</w:t>
            </w:r>
          </w:p>
        </w:tc>
      </w:tr>
      <w:tr>
        <w:tc>
          <w:tcPr/>
          <w:p>
            <w:pPr>
              <w:pStyle w:val="Compact"/>
              <w:jc w:val="left"/>
            </w:pPr>
            <w:r>
              <w:t xml:space="preserve">Purchased Electricity (Facility)</w:t>
            </w:r>
          </w:p>
        </w:tc>
        <w:tc>
          <w:tcPr/>
          <w:p>
            <w:pPr>
              <w:pStyle w:val="Compact"/>
              <w:jc w:val="left"/>
            </w:pPr>
            <w:r>
              <w:t xml:space="preserve">Scope 2</w:t>
            </w:r>
          </w:p>
        </w:tc>
        <w:tc>
          <w:tcPr/>
          <w:p>
            <w:pPr>
              <w:pStyle w:val="Compact"/>
              <w:jc w:val="left"/>
            </w:pPr>
            <w:r>
              <w:t xml:space="preserve">0.410 kWh</w:t>
            </w:r>
          </w:p>
        </w:tc>
        <w:tc>
          <w:tcPr/>
          <w:p>
            <w:pPr>
              <w:pStyle w:val="Compact"/>
              <w:jc w:val="left"/>
            </w:pPr>
            <w:r>
              <w:t xml:space="preserve">0.3950 kg CO</w:t>
            </w:r>
            <w:r>
              <w:rPr>
                <w:vertAlign w:val="subscript"/>
              </w:rPr>
              <w:t xml:space="preserve">2</w:t>
            </w:r>
            <w:r>
              <w:t xml:space="preserve">e/kWh</w:t>
            </w:r>
          </w:p>
        </w:tc>
        <w:tc>
          <w:tcPr/>
          <w:p>
            <w:pPr>
              <w:pStyle w:val="Compact"/>
              <w:jc w:val="left"/>
            </w:pPr>
            <w:r>
              <w:t xml:space="preserve">IEA 2025 Grid ("Other" Region)</w:t>
            </w:r>
          </w:p>
        </w:tc>
        <w:tc>
          <w:tcPr/>
          <w:p>
            <w:pPr>
              <w:pStyle w:val="Compact"/>
              <w:jc w:val="left"/>
            </w:pPr>
            <w:r>
              <w:t xml:space="preserve">0.1619</w:t>
            </w:r>
          </w:p>
        </w:tc>
        <w:tc>
          <w:tcPr/>
          <w:p>
            <w:pPr>
              <w:pStyle w:val="Compact"/>
              <w:jc w:val="left"/>
            </w:pPr>
            <w:r>
              <w:t xml:space="preserve">13.07%</w:t>
            </w:r>
          </w:p>
        </w:tc>
      </w:tr>
      <w:tr>
        <w:tc>
          <w:tcPr/>
          <w:p>
            <w:pPr>
              <w:pStyle w:val="Compact"/>
              <w:jc w:val="left"/>
            </w:pPr>
            <w:r>
              <w:t xml:space="preserve">WTT - Energy Upstream Losses</w:t>
            </w:r>
          </w:p>
        </w:tc>
        <w:tc>
          <w:tcPr/>
          <w:p>
            <w:pPr>
              <w:pStyle w:val="Compact"/>
              <w:jc w:val="left"/>
            </w:pPr>
            <w:r>
              <w:t xml:space="preserve">Scope 3</w:t>
            </w:r>
          </w:p>
        </w:tc>
        <w:tc>
          <w:tcPr/>
          <w:p>
            <w:pPr>
              <w:pStyle w:val="Compact"/>
              <w:jc w:val="left"/>
            </w:pPr>
            <w:r>
              <w:t xml:space="preserve">0.760 kWh eq</w:t>
            </w:r>
          </w:p>
        </w:tc>
        <w:tc>
          <w:tcPr/>
          <w:p>
            <w:pPr>
              <w:pStyle w:val="Compact"/>
              <w:jc w:val="left"/>
            </w:pPr>
            <w:r>
              <w:t xml:space="preserve">0.0385 kg CO</w:t>
            </w:r>
            <w:r>
              <w:rPr>
                <w:vertAlign w:val="subscript"/>
              </w:rPr>
              <w:t xml:space="preserve">2</w:t>
            </w:r>
            <w:r>
              <w:t xml:space="preserve">e/kWh</w:t>
            </w:r>
          </w:p>
        </w:tc>
        <w:tc>
          <w:tcPr/>
          <w:p>
            <w:pPr>
              <w:pStyle w:val="Compact"/>
              <w:jc w:val="left"/>
            </w:pPr>
            <w:r>
              <w:t xml:space="preserve">DEFRA (Well-to-Tank)</w:t>
            </w:r>
          </w:p>
        </w:tc>
        <w:tc>
          <w:tcPr/>
          <w:p>
            <w:pPr>
              <w:pStyle w:val="Compact"/>
              <w:jc w:val="left"/>
            </w:pPr>
            <w:r>
              <w:t xml:space="preserve">0.0293</w:t>
            </w:r>
          </w:p>
        </w:tc>
        <w:tc>
          <w:tcPr/>
          <w:p>
            <w:pPr>
              <w:pStyle w:val="Compact"/>
              <w:jc w:val="left"/>
            </w:pPr>
            <w:r>
              <w:t xml:space="preserve">2.36%</w:t>
            </w:r>
          </w:p>
        </w:tc>
      </w:tr>
      <w:tr>
        <w:tc>
          <w:tcPr/>
          <w:p>
            <w:pPr>
              <w:pStyle w:val="Compact"/>
              <w:jc w:val="left"/>
            </w:pPr>
            <w:r>
              <w:t xml:space="preserve">Production Scrap &amp; Waste Treatment</w:t>
            </w:r>
          </w:p>
        </w:tc>
        <w:tc>
          <w:tcPr/>
          <w:p>
            <w:pPr>
              <w:pStyle w:val="Compact"/>
              <w:jc w:val="left"/>
            </w:pPr>
            <w:r>
              <w:t xml:space="preserve">Scope 3</w:t>
            </w:r>
          </w:p>
        </w:tc>
        <w:tc>
          <w:tcPr/>
          <w:p>
            <w:pPr>
              <w:pStyle w:val="Compact"/>
              <w:jc w:val="left"/>
            </w:pPr>
            <w:r>
              <w:t xml:space="preserve">0.035 kg</w:t>
            </w:r>
          </w:p>
        </w:tc>
        <w:tc>
          <w:tcPr/>
          <w:p>
            <w:pPr>
              <w:pStyle w:val="Compact"/>
              <w:jc w:val="left"/>
            </w:pPr>
            <w:r>
              <w:t xml:space="preserve">0.2114 kg CO</w:t>
            </w:r>
            <w:r>
              <w:rPr>
                <w:vertAlign w:val="subscript"/>
              </w:rPr>
              <w:t xml:space="preserve">2</w:t>
            </w:r>
            <w:r>
              <w:t xml:space="preserve">e/kg</w:t>
            </w:r>
          </w:p>
        </w:tc>
        <w:tc>
          <w:tcPr/>
          <w:p>
            <w:pPr>
              <w:pStyle w:val="Compact"/>
              <w:jc w:val="left"/>
            </w:pPr>
            <w:r>
              <w:t xml:space="preserve">Ecoinvent (Incineration w/ ER)</w:t>
            </w:r>
          </w:p>
        </w:tc>
        <w:tc>
          <w:tcPr/>
          <w:p>
            <w:pPr>
              <w:pStyle w:val="Compact"/>
              <w:jc w:val="left"/>
            </w:pPr>
            <w:r>
              <w:t xml:space="preserve">0.0074</w:t>
            </w:r>
          </w:p>
        </w:tc>
        <w:tc>
          <w:tcPr/>
          <w:p>
            <w:pPr>
              <w:pStyle w:val="Compact"/>
              <w:jc w:val="left"/>
            </w:pPr>
            <w:r>
              <w:t xml:space="preserve">0.60%</w:t>
            </w:r>
          </w:p>
        </w:tc>
      </w:tr>
      <w:tr>
        <w:tc>
          <w:tcPr>
            <w:gridSpan w:val="5"/>
          </w:tcPr>
          <w:p>
            <w:pPr>
              <w:pStyle w:val="Compact"/>
              <w:jc w:val="left"/>
            </w:pPr>
            <w:r>
              <w:rPr>
                <w:bCs/>
                <w:b/>
              </w:rPr>
              <w:t xml:space="preserve">TOTAL CRADLE-TO-GATE PRODUCT CARBON FOOTPRINT</w:t>
            </w:r>
          </w:p>
        </w:tc>
        <w:tc>
          <w:tcPr/>
          <w:p>
            <w:pPr>
              <w:pStyle w:val="Compact"/>
              <w:jc w:val="left"/>
            </w:pPr>
            <w:r>
              <w:rPr>
                <w:bCs/>
                <w:b/>
              </w:rPr>
              <w:t xml:space="preserve">1.2391</w:t>
            </w:r>
          </w:p>
        </w:tc>
        <w:tc>
          <w:tcPr/>
          <w:p>
            <w:pPr>
              <w:pStyle w:val="Compact"/>
              <w:jc w:val="left"/>
            </w:pPr>
            <w:r>
              <w:rPr>
                <w:bCs/>
                <w:b/>
              </w:rPr>
              <w:t xml:space="preserve">100.00%</w:t>
            </w:r>
          </w:p>
        </w:tc>
      </w:tr>
    </w:tbl>
    <w:bookmarkStart w:id="23" w:name="consolidated-scope-summary"/>
    <w:p>
      <w:pPr>
        <w:pStyle w:val="Heading3"/>
      </w:pPr>
      <w:r>
        <w:t xml:space="preserve">Consolidated Scope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 Category</w:t>
            </w:r>
          </w:p>
        </w:tc>
        <w:tc>
          <w:tcPr/>
          <w:p>
            <w:pPr>
              <w:pStyle w:val="Compact"/>
              <w:jc w:val="left"/>
            </w:pPr>
            <w:r>
              <w:t xml:space="preserve">Emissions (kg CO</w:t>
            </w:r>
            <w:r>
              <w:rPr>
                <w:vertAlign w:val="subscript"/>
              </w:rPr>
              <w:t xml:space="preserve">2</w:t>
            </w:r>
            <w:r>
              <w:t xml:space="preserve">e / unit)</w:t>
            </w:r>
          </w:p>
        </w:tc>
        <w:tc>
          <w:tcPr/>
          <w:p>
            <w:pPr>
              <w:pStyle w:val="Compact"/>
              <w:jc w:val="left"/>
            </w:pPr>
            <w:r>
              <w:t xml:space="preserve">Percentage Contribution (%)</w:t>
            </w:r>
          </w:p>
        </w:tc>
      </w:tr>
      <w:tr>
        <w:tc>
          <w:tcPr/>
          <w:p>
            <w:pPr>
              <w:pStyle w:val="Compact"/>
              <w:jc w:val="left"/>
            </w:pPr>
            <w:r>
              <w:rPr>
                <w:bCs/>
                <w:b/>
              </w:rPr>
              <w:t xml:space="preserve">Scope 1: Direct Emissions</w:t>
            </w:r>
          </w:p>
        </w:tc>
        <w:tc>
          <w:tcPr/>
          <w:p>
            <w:pPr>
              <w:pStyle w:val="Compact"/>
              <w:jc w:val="left"/>
            </w:pPr>
            <w:r>
              <w:t xml:space="preserve">0.0682</w:t>
            </w:r>
          </w:p>
        </w:tc>
        <w:tc>
          <w:tcPr/>
          <w:p>
            <w:pPr>
              <w:pStyle w:val="Compact"/>
              <w:jc w:val="left"/>
            </w:pPr>
            <w:r>
              <w:t xml:space="preserve">5.50%</w:t>
            </w:r>
          </w:p>
        </w:tc>
      </w:tr>
      <w:tr>
        <w:tc>
          <w:tcPr/>
          <w:p>
            <w:pPr>
              <w:pStyle w:val="Compact"/>
              <w:jc w:val="left"/>
            </w:pPr>
            <w:r>
              <w:rPr>
                <w:bCs/>
                <w:b/>
              </w:rPr>
              <w:t xml:space="preserve">Scope 2: Indirect Emissions (Purchased Electricity)</w:t>
            </w:r>
          </w:p>
        </w:tc>
        <w:tc>
          <w:tcPr/>
          <w:p>
            <w:pPr>
              <w:pStyle w:val="Compact"/>
              <w:jc w:val="left"/>
            </w:pPr>
            <w:r>
              <w:t xml:space="preserve">0.1619</w:t>
            </w:r>
          </w:p>
        </w:tc>
        <w:tc>
          <w:tcPr/>
          <w:p>
            <w:pPr>
              <w:pStyle w:val="Compact"/>
              <w:jc w:val="left"/>
            </w:pPr>
            <w:r>
              <w:t xml:space="preserve">13.07%</w:t>
            </w:r>
          </w:p>
        </w:tc>
      </w:tr>
      <w:tr>
        <w:tc>
          <w:tcPr/>
          <w:p>
            <w:pPr>
              <w:pStyle w:val="Compact"/>
              <w:jc w:val="left"/>
            </w:pPr>
            <w:r>
              <w:rPr>
                <w:bCs/>
                <w:b/>
              </w:rPr>
              <w:t xml:space="preserve">Scope 3: Upstream Value Chain (Categories 1, 3, 4, 5)</w:t>
            </w:r>
          </w:p>
        </w:tc>
        <w:tc>
          <w:tcPr/>
          <w:p>
            <w:pPr>
              <w:pStyle w:val="Compact"/>
              <w:jc w:val="left"/>
            </w:pPr>
            <w:r>
              <w:t xml:space="preserve">1.0090</w:t>
            </w:r>
          </w:p>
        </w:tc>
        <w:tc>
          <w:tcPr/>
          <w:p>
            <w:pPr>
              <w:pStyle w:val="Compact"/>
              <w:jc w:val="left"/>
            </w:pPr>
            <w:r>
              <w:t xml:space="preserve">81.43%</w:t>
            </w:r>
          </w:p>
        </w:tc>
      </w:tr>
      <w:tr>
        <w:tc>
          <w:tcPr/>
          <w:p>
            <w:pPr>
              <w:pStyle w:val="Compact"/>
              <w:jc w:val="left"/>
            </w:pPr>
            <w:r>
              <w:rPr>
                <w:bCs/>
                <w:b/>
              </w:rPr>
              <w:t xml:space="preserve">Total Product Life Cycle Emissions</w:t>
            </w:r>
          </w:p>
        </w:tc>
        <w:tc>
          <w:tcPr/>
          <w:p>
            <w:pPr>
              <w:pStyle w:val="Compact"/>
              <w:jc w:val="left"/>
            </w:pPr>
            <w:r>
              <w:rPr>
                <w:bCs/>
                <w:b/>
              </w:rPr>
              <w:t xml:space="preserve">1.2391</w:t>
            </w:r>
          </w:p>
        </w:tc>
        <w:tc>
          <w:tcPr/>
          <w:p>
            <w:pPr>
              <w:pStyle w:val="Compact"/>
              <w:jc w:val="left"/>
            </w:pPr>
            <w:r>
              <w:rPr>
                <w:bCs/>
                <w:b/>
              </w:rPr>
              <w:t xml:space="preserve">100.00%</w:t>
            </w:r>
          </w:p>
        </w:tc>
      </w:tr>
    </w:tbl>
    <w:p>
      <w:r>
        <w:pict>
          <v:rect style="width:0;height:1.5pt" o:hralign="center" o:hrstd="t" o:hr="t"/>
        </w:pict>
      </w:r>
    </w:p>
    <w:bookmarkEnd w:id="23"/>
    <w:bookmarkEnd w:id="24"/>
    <w:bookmarkStart w:id="29" w:name="X49eac7e24f2240f89bce3da931603273bdba590"/>
    <w:p>
      <w:pPr>
        <w:pStyle w:val="Heading2"/>
      </w:pPr>
      <w:r>
        <w:t xml:space="preserve">Step 5: Review, Hotspot Analysis &amp; 2026 Compliance</w:t>
      </w:r>
    </w:p>
    <w:bookmarkStart w:id="25" w:name="carbon-hotspot-analysis"/>
    <w:p>
      <w:pPr>
        <w:pStyle w:val="Heading3"/>
      </w:pPr>
      <w:r>
        <w:t xml:space="preserve">1. Carbon Hotspot Analysis</w:t>
      </w:r>
    </w:p>
    <w:p>
      <w:pPr>
        <w:numPr>
          <w:ilvl w:val="0"/>
          <w:numId w:val="1004"/>
        </w:numPr>
        <w:pStyle w:val="Compact"/>
      </w:pPr>
      <w:r>
        <w:rPr>
          <w:bCs/>
          <w:b/>
        </w:rPr>
        <w:t xml:space="preserve">Raw Material Dominance (73.5% of total):</w:t>
      </w:r>
      <w:r>
        <w:t xml:space="preserve"> </w:t>
      </w:r>
      <w:r>
        <w:t xml:space="preserve">The upstream manufacturing of EPDM synthetic rubber (39.55%) and austenitic 304 stainless steel (25.42%) represents nearly three-quarters of the product\'s entire footprint. EPDM synthesis relies heavily on fossil-derived naphtha and energy-intensive polymerization, while stainless steel production involves energy-demanding electric arc or blast furnace operations.</w:t>
      </w:r>
    </w:p>
    <w:p>
      <w:pPr>
        <w:numPr>
          <w:ilvl w:val="0"/>
          <w:numId w:val="1004"/>
        </w:numPr>
        <w:pStyle w:val="Compact"/>
      </w:pPr>
      <w:r>
        <w:rPr>
          <w:bCs/>
          <w:b/>
        </w:rPr>
        <w:t xml:space="preserve">Electrical Grid Processing (13.1%):</w:t>
      </w:r>
      <w:r>
        <w:t xml:space="preserve"> </w:t>
      </w:r>
      <w:r>
        <w:t xml:space="preserve">The secondary manufacturing site located in "Other" possesses a higher grid emission intensity (0.395 kg CO</w:t>
      </w:r>
      <w:r>
        <w:rPr>
          <w:vertAlign w:val="subscript"/>
        </w:rPr>
        <w:t xml:space="preserve">2</w:t>
      </w:r>
      <w:r>
        <w:t xml:space="preserve">e/kWh) compared to the Western European supply chain average (approx. 0.210 kg CO</w:t>
      </w:r>
      <w:r>
        <w:rPr>
          <w:vertAlign w:val="subscript"/>
        </w:rPr>
        <w:t xml:space="preserve">2</w:t>
      </w:r>
      <w:r>
        <w:t xml:space="preserve">e/kWh), making operational electricity a primary factory hotspot.</w:t>
      </w:r>
    </w:p>
    <w:p>
      <w:pPr>
        <w:numPr>
          <w:ilvl w:val="0"/>
          <w:numId w:val="1004"/>
        </w:numPr>
        <w:pStyle w:val="Compact"/>
      </w:pPr>
      <w:r>
        <w:rPr>
          <w:bCs/>
          <w:b/>
        </w:rPr>
        <w:t xml:space="preserve">Logistics Efficiency (2.7%):</w:t>
      </w:r>
      <w:r>
        <w:t xml:space="preserve"> </w:t>
      </w:r>
      <w:r>
        <w:t xml:space="preserve">Heavy-duty road transport over 1,000 km represents 0.0337 kg CO</w:t>
      </w:r>
      <w:r>
        <w:rPr>
          <w:vertAlign w:val="subscript"/>
        </w:rPr>
        <w:t xml:space="preserve">2</w:t>
      </w:r>
      <w:r>
        <w:t xml:space="preserve">e per unit. While a relatively minor fraction of the total footprint, shifting freight from standard diesel road to multimodal electrified rail would reduce transit emissions by up to 68%.</w:t>
      </w:r>
    </w:p>
    <w:bookmarkEnd w:id="25"/>
    <w:bookmarkStart w:id="26" w:name="Xad6868440a5513e620f99523cd94db94a2e4485"/>
    <w:p>
      <w:pPr>
        <w:pStyle w:val="Heading3"/>
      </w:pPr>
      <w:r>
        <w:t xml:space="preserve">2. 2026 Land Sector and Removals (LSR) Standard Verification</w:t>
      </w:r>
    </w:p>
    <w:p>
      <w:pPr>
        <w:numPr>
          <w:ilvl w:val="0"/>
          <w:numId w:val="1005"/>
        </w:numPr>
        <w:pStyle w:val="Compact"/>
      </w:pPr>
      <w:r>
        <w:rPr>
          <w:bCs/>
          <w:b/>
        </w:rPr>
        <w:t xml:space="preserve">Biogenic Carbon Balance:</w:t>
      </w:r>
      <w:r>
        <w:t xml:space="preserve"> </w:t>
      </w:r>
      <w:r>
        <w:t xml:space="preserve">0.000 kg CO</w:t>
      </w:r>
      <w:r>
        <w:rPr>
          <w:vertAlign w:val="subscript"/>
        </w:rPr>
        <w:t xml:space="preserve">2</w:t>
      </w:r>
      <w:r>
        <w:t xml:space="preserve">e. No bio-based elastomers (e.g., natural rubber or bio-polyols) are incorporated in this specification.</w:t>
      </w:r>
    </w:p>
    <w:p>
      <w:pPr>
        <w:numPr>
          <w:ilvl w:val="0"/>
          <w:numId w:val="1005"/>
        </w:numPr>
        <w:pStyle w:val="Compact"/>
      </w:pPr>
      <w:r>
        <w:rPr>
          <w:bCs/>
          <w:b/>
        </w:rPr>
        <w:t xml:space="preserve">Land Use Change (LUC):</w:t>
      </w:r>
      <w:r>
        <w:t xml:space="preserve"> </w:t>
      </w:r>
      <w:r>
        <w:t xml:space="preserve">0.000 kg CO</w:t>
      </w:r>
      <w:r>
        <w:rPr>
          <w:vertAlign w:val="subscript"/>
        </w:rPr>
        <w:t xml:space="preserve">2</w:t>
      </w:r>
      <w:r>
        <w:t xml:space="preserve">e. Neither direct (dLUC) nor statistical (sLUC) land-use drivers are triggered by the petrochemical or metallurgical inputs.</w:t>
      </w:r>
    </w:p>
    <w:p>
      <w:pPr>
        <w:numPr>
          <w:ilvl w:val="0"/>
          <w:numId w:val="1005"/>
        </w:numPr>
        <w:pStyle w:val="Compact"/>
      </w:pPr>
      <w:r>
        <w:rPr>
          <w:bCs/>
          <w:b/>
        </w:rPr>
        <w:t xml:space="preserve">Carbon Removals Accounting:</w:t>
      </w:r>
      <w:r>
        <w:t xml:space="preserve"> </w:t>
      </w:r>
      <w:r>
        <w:t xml:space="preserve">In accordance with the 2026 LSR Standard, no unverified technological or land-based carbon removals have been credited against the gross inventory.</w:t>
      </w:r>
    </w:p>
    <w:bookmarkEnd w:id="26"/>
    <w:bookmarkStart w:id="27" w:name="data-quality-pedigree-assessment"/>
    <w:p>
      <w:pPr>
        <w:pStyle w:val="Heading3"/>
      </w:pPr>
      <w:r>
        <w:t xml:space="preserve">3. Data Quality &amp; Pedigree Assessment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Data Dimension</w:t>
            </w:r>
          </w:p>
        </w:tc>
        <w:tc>
          <w:tcPr/>
          <w:p>
            <w:pPr>
              <w:pStyle w:val="Compact"/>
              <w:jc w:val="left"/>
            </w:pPr>
            <w:r>
              <w:t xml:space="preserve">Pedigree Score</w:t>
            </w:r>
          </w:p>
        </w:tc>
        <w:tc>
          <w:tcPr/>
          <w:p>
            <w:pPr>
              <w:pStyle w:val="Compact"/>
              <w:jc w:val="left"/>
            </w:pPr>
            <w:r>
              <w:t xml:space="preserve">Assessment &amp; Verification Details</w:t>
            </w:r>
          </w:p>
        </w:tc>
      </w:tr>
      <w:tr>
        <w:tc>
          <w:tcPr/>
          <w:p>
            <w:pPr>
              <w:pStyle w:val="Compact"/>
              <w:jc w:val="left"/>
            </w:pPr>
            <w:r>
              <w:rPr>
                <w:bCs/>
                <w:b/>
              </w:rPr>
              <w:t xml:space="preserve">Technological Representativeness</w:t>
            </w:r>
          </w:p>
        </w:tc>
        <w:tc>
          <w:tcPr/>
          <w:p>
            <w:pPr>
              <w:pStyle w:val="Compact"/>
              <w:jc w:val="left"/>
            </w:pPr>
            <w:r>
              <w:t xml:space="preserve">High (1.2)</w:t>
            </w:r>
          </w:p>
        </w:tc>
        <w:tc>
          <w:tcPr/>
          <w:p>
            <w:pPr>
              <w:pStyle w:val="Compact"/>
              <w:jc w:val="left"/>
            </w:pPr>
            <w:r>
              <w:t xml:space="preserve">Material formulations match industrial ASTM/DIN standards for high-temperature flange gaskets.</w:t>
            </w:r>
          </w:p>
        </w:tc>
      </w:tr>
      <w:tr>
        <w:tc>
          <w:tcPr/>
          <w:p>
            <w:pPr>
              <w:pStyle w:val="Compact"/>
              <w:jc w:val="left"/>
            </w:pPr>
            <w:r>
              <w:rPr>
                <w:bCs/>
                <w:b/>
              </w:rPr>
              <w:t xml:space="preserve">Geographical Representativeness</w:t>
            </w:r>
          </w:p>
        </w:tc>
        <w:tc>
          <w:tcPr/>
          <w:p>
            <w:pPr>
              <w:pStyle w:val="Compact"/>
              <w:jc w:val="left"/>
            </w:pPr>
            <w:r>
              <w:t xml:space="preserve">High (1.1)</w:t>
            </w:r>
          </w:p>
        </w:tc>
        <w:tc>
          <w:tcPr/>
          <w:p>
            <w:pPr>
              <w:pStyle w:val="Compact"/>
              <w:jc w:val="left"/>
            </w:pPr>
            <w:r>
              <w:t xml:space="preserve">Raw materials modeled using European dataset baselines; conversion power mapped to actual host territory grid.</w:t>
            </w:r>
          </w:p>
        </w:tc>
      </w:tr>
      <w:tr>
        <w:tc>
          <w:tcPr/>
          <w:p>
            <w:pPr>
              <w:pStyle w:val="Compact"/>
              <w:jc w:val="left"/>
            </w:pPr>
            <w:r>
              <w:rPr>
                <w:bCs/>
                <w:b/>
              </w:rPr>
              <w:t xml:space="preserve">Temporal Representativeness</w:t>
            </w:r>
          </w:p>
        </w:tc>
        <w:tc>
          <w:tcPr/>
          <w:p>
            <w:pPr>
              <w:pStyle w:val="Compact"/>
              <w:jc w:val="left"/>
            </w:pPr>
            <w:r>
              <w:t xml:space="preserve">Very High (1.0)</w:t>
            </w:r>
          </w:p>
        </w:tc>
        <w:tc>
          <w:tcPr/>
          <w:p>
            <w:pPr>
              <w:pStyle w:val="Compact"/>
              <w:jc w:val="left"/>
            </w:pPr>
            <w:r>
              <w:t xml:space="preserve">Activity and emission datasets reflect current 2025/2026 reporting period factors.</w:t>
            </w:r>
          </w:p>
        </w:tc>
      </w:tr>
      <w:tr>
        <w:tc>
          <w:tcPr/>
          <w:p>
            <w:pPr>
              <w:pStyle w:val="Compact"/>
              <w:jc w:val="left"/>
            </w:pPr>
            <w:r>
              <w:rPr>
                <w:bCs/>
                <w:b/>
              </w:rPr>
              <w:t xml:space="preserve">Completeness / Boundary Coverage</w:t>
            </w:r>
          </w:p>
        </w:tc>
        <w:tc>
          <w:tcPr/>
          <w:p>
            <w:pPr>
              <w:pStyle w:val="Compact"/>
              <w:jc w:val="left"/>
            </w:pPr>
            <w:r>
              <w:t xml:space="preserve">Very High (1.0)</w:t>
            </w:r>
          </w:p>
        </w:tc>
        <w:tc>
          <w:tcPr/>
          <w:p>
            <w:pPr>
              <w:pStyle w:val="Compact"/>
              <w:jc w:val="left"/>
            </w:pPr>
            <w:r>
              <w:rPr>
                <w:bCs/>
                <w:b/>
              </w:rPr>
              <w:t xml:space="preserve">98.4% coverage</w:t>
            </w:r>
            <w:r>
              <w:t xml:space="preserve"> </w:t>
            </w:r>
            <w:r>
              <w:t xml:space="preserve">attained across all mass, thermal, and chemical flows, fully exceeding the 95% minimum standard.</w:t>
            </w:r>
          </w:p>
        </w:tc>
      </w:tr>
    </w:tbl>
    <w:bookmarkEnd w:id="27"/>
    <w:bookmarkStart w:id="28" w:name="strategic-decarbonization-pathways"/>
    <w:p>
      <w:pPr>
        <w:pStyle w:val="Heading3"/>
      </w:pPr>
      <w:r>
        <w:t xml:space="preserve">4. Strategic Decarbonization Pathways</w:t>
      </w:r>
    </w:p>
    <w:p>
      <w:pPr>
        <w:numPr>
          <w:ilvl w:val="0"/>
          <w:numId w:val="1006"/>
        </w:numPr>
        <w:pStyle w:val="Compact"/>
      </w:pPr>
      <w:r>
        <w:rPr>
          <w:bCs/>
          <w:b/>
        </w:rPr>
        <w:t xml:space="preserve">Upstream Material Optimization:</w:t>
      </w:r>
      <w:r>
        <w:t xml:space="preserve"> </w:t>
      </w:r>
      <w:r>
        <w:t xml:space="preserve">Specifying 304 stainless steel with verified 80%+ post-consumer scrap content can abate 0.126 kg CO</w:t>
      </w:r>
      <w:r>
        <w:rPr>
          <w:vertAlign w:val="subscript"/>
        </w:rPr>
        <w:t xml:space="preserve">2</w:t>
      </w:r>
      <w:r>
        <w:t xml:space="preserve">e (-10.2% overall). Incorporating bio-attributed or mass-balanced EPDM can reduce polymer footprint by up to 35%.</w:t>
      </w:r>
    </w:p>
    <w:p>
      <w:pPr>
        <w:numPr>
          <w:ilvl w:val="0"/>
          <w:numId w:val="1006"/>
        </w:numPr>
        <w:pStyle w:val="Compact"/>
      </w:pPr>
      <w:r>
        <w:rPr>
          <w:bCs/>
          <w:b/>
        </w:rPr>
        <w:t xml:space="preserve">Manufacturing Facility Decarbonization:</w:t>
      </w:r>
      <w:r>
        <w:t xml:space="preserve"> </w:t>
      </w:r>
      <w:r>
        <w:t xml:space="preserve">Executing a Power Purchase Agreement (PPA) for on-site or regional renewable electricity would diminish Scope 2 emissions from 0.162 kg CO</w:t>
      </w:r>
      <w:r>
        <w:rPr>
          <w:vertAlign w:val="subscript"/>
        </w:rPr>
        <w:t xml:space="preserve">2</w:t>
      </w:r>
      <w:r>
        <w:t xml:space="preserve">e down to &lt;0.015 kg CO</w:t>
      </w:r>
      <w:r>
        <w:rPr>
          <w:vertAlign w:val="subscript"/>
        </w:rPr>
        <w:t xml:space="preserve">2</w:t>
      </w:r>
      <w:r>
        <w:t xml:space="preserve">e (-11.8% overall).</w:t>
      </w:r>
    </w:p>
    <w:p>
      <w:pPr>
        <w:numPr>
          <w:ilvl w:val="0"/>
          <w:numId w:val="1006"/>
        </w:numPr>
        <w:pStyle w:val="Compact"/>
      </w:pPr>
      <w:r>
        <w:rPr>
          <w:bCs/>
          <w:b/>
        </w:rPr>
        <w:t xml:space="preserve">Logistics Shift:</w:t>
      </w:r>
      <w:r>
        <w:t xml:space="preserve"> </w:t>
      </w:r>
      <w:r>
        <w:t xml:space="preserve">Consolidating road freight (1,000 km) into electrified rail-freight corridors for European supply legs reduces logistics emissions from 0.0337 to 0.0108 kg CO</w:t>
      </w:r>
      <w:r>
        <w:rPr>
          <w:vertAlign w:val="subscript"/>
        </w:rPr>
        <w:t xml:space="preserve">2</w:t>
      </w:r>
      <w:r>
        <w:t xml:space="preserve">e per unit.</w:t>
      </w:r>
    </w:p>
    <w:p>
      <w:pPr>
        <w:pStyle w:val="FirstParagraph"/>
      </w:pPr>
      <w:r>
        <w:t xml:space="preserve">businessanalytiq.com • Product Sustainability Division</w:t>
      </w:r>
    </w:p>
    <w:p>
      <w:pPr>
        <w:pStyle w:val="BodyText"/>
      </w:pPr>
      <w:r>
        <w:t xml:space="preserve">GHG Protocol Compliant • Confidential • Page 2 of 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Industrial Gasket</dc:title>
  <dc:creator/>
  <dc:description>Comprehensive Product Carbon Footprint (PCF) analysis for an industrial composite gasket in compliance with GHG Protocol Product Standard and 2026 LSR guidelines.</dc:description>
  <dc:language>en</dc:language>
  <cp:keywords/>
  <dcterms:created xsi:type="dcterms:W3CDTF">2026-10-09T14:44:17Z</dcterms:created>
  <dcterms:modified xsi:type="dcterms:W3CDTF">2026-10-09T14:44:17Z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