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ilyirmsptl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ilyirmsptl</w:t>
      </w:r>
    </w:p>
    <w:p>
      <w:pPr>
        <w:pStyle w:val="BodyText"/>
      </w:pPr>
      <w:r>
        <w:rPr>
          <w:bCs/>
          <w:b/>
        </w:rPr>
        <w:t xml:space="preserve">Company Name:</w:t>
      </w:r>
      <w:r>
        <w:t xml:space="preserve"> </w:t>
      </w:r>
      <w:r>
        <w:t xml:space="preserve">jszkmvkmrj</w:t>
      </w:r>
    </w:p>
    <w:p>
      <w:pPr>
        <w:pStyle w:val="BodyText"/>
      </w:pPr>
      <w:r>
        <w:rPr>
          <w:bCs/>
          <w:b/>
        </w:rPr>
        <w:t xml:space="preserve">Senior Sustainability Consultant:</w:t>
      </w:r>
      <w:r>
        <w:t xml:space="preserve"> </w:t>
      </w:r>
      <w:r>
        <w:t xml:space="preserve">jupqttwtwq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w:t>
      </w:r>
      <w:r>
        <w:t xml:space="preserve"> </w:t>
      </w:r>
      <w:r>
        <w:t xml:space="preserve">While every effort has been made to ensure accuracy, the actual carbon footprint</w:t>
      </w:r>
      <w:r>
        <w:t xml:space="preserve"> </w:t>
      </w:r>
      <w:r>
        <w:t xml:space="preserve">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ilyirmsptl</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\'ilyirmsptl\', manufactured by \'jszkmvkmrj\'.</w:t>
      </w:r>
      <w:r>
        <w:t xml:space="preserve"> </w:t>
      </w:r>
      <w:r>
        <w:t xml:space="preserve">The analysis adheres strictly to the GHG Protocol and incorporates the 2026 Land Sector and Removals (LSR) Standard, with a strong focus on achieving</w:t>
      </w:r>
      <w:r>
        <w:t xml:space="preserve"> </w:t>
      </w:r>
      <w:r>
        <w:t xml:space="preserve">at least 95% coverage for Scope 3 emissions. The goal is to quantify the greenhouse gas (GHG) emissions associated with the product\'s</w:t>
      </w:r>
      <w:r>
        <w:t xml:space="preserve"> </w:t>
      </w:r>
      <w:r>
        <w:t xml:space="preserve">entire lifecycle, from raw material extraction to end-of-life, providing insights into emission hotspots and</w:t>
      </w:r>
      <w:r>
        <w:t xml:space="preserve"> </w:t>
      </w:r>
      <w:r>
        <w:t xml:space="preserve">opportunities for reduction. This assessment was performed by jupqttwtwq, a Senior Sustainability Consultant specializing in GHG Protocol.</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ilyirmsptl follows the five-step methodology recommended by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ilyirmsptl. This unit provides a consistent reference basis for quantifying and comparing environmental impacts across the product\'s lifecycle.</w:t>
      </w:r>
    </w:p>
    <w:p>
      <w:pPr>
        <w:numPr>
          <w:ilvl w:val="0"/>
          <w:numId w:val="1001"/>
        </w:numPr>
        <w:pStyle w:val="Compact"/>
      </w:pPr>
      <w:r>
        <w:rPr>
          <w:bCs/>
          <w:b/>
        </w:rPr>
        <w:t xml:space="preserve">System Boundary:</w:t>
      </w:r>
      <w:r>
        <w:t xml:space="preserve"> </w:t>
      </w:r>
      <w:r>
        <w:t xml:space="preserve">The system boundary for this PCF is \'factory_gate\'. This means the analysis includes all activities from raw material acquisition, through manufacturing, up to the point where the finished product leaves the manufacturing facility. However, the subsequent lifecycle stages (transport, use, and end-of-life) are also explicitly included in the detailed calculation, extending beyond the strict factory_gate boundary for a comprehensive cradle-to-grave perspective, as required by a full PCF.</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assessment is conducted in full compliance with the GHG Protocol Product Standard, ensuring robust and internationally recognized methodologies for GHG accounting and reporting.</w:t>
      </w:r>
    </w:p>
    <w:p>
      <w:pPr>
        <w:numPr>
          <w:ilvl w:val="0"/>
          <w:numId w:val="1001"/>
        </w:numPr>
        <w:pStyle w:val="Compact"/>
      </w:pPr>
      <w:r>
        <w:rPr>
          <w:bCs/>
          <w:b/>
        </w:rPr>
        <w:t xml:space="preserve">Allocation:</w:t>
      </w:r>
      <w:r>
        <w:t xml:space="preserve"> </w:t>
      </w:r>
      <w:r>
        <w:t xml:space="preserve">Where co-products or by-products exist, allocation of emissions is primarily performed based on mass. If mass is not a suitable allocation factor, economic value or other relevant physical relationships are considered, following the hierarchical approach of the GHG Protocol.</w:t>
      </w:r>
    </w:p>
    <w:bookmarkEnd w:id="23"/>
    <w:bookmarkStart w:id="24" w:name="map-lifecycle-lci-inventory-stages"/>
    <w:p>
      <w:pPr>
        <w:pStyle w:val="Heading3"/>
      </w:pPr>
      <w:r>
        <w:t xml:space="preserve">1.2. Map Lifecycle (LCI Inventory Stages)</w:t>
      </w:r>
    </w:p>
    <w:p>
      <w:pPr>
        <w:pStyle w:val="FirstParagraph"/>
      </w:pPr>
      <w:r>
        <w:t xml:space="preserve">The lifecycle of ilyirmsptl is mapped across the following stages, encompassing a comprehensive cradle-to-grave approach:</w:t>
      </w:r>
    </w:p>
    <w:p>
      <w:pPr>
        <w:numPr>
          <w:ilvl w:val="0"/>
          <w:numId w:val="1003"/>
        </w:numPr>
        <w:pStyle w:val="Compact"/>
      </w:pPr>
      <w:r>
        <w:rPr>
          <w:bCs/>
          <w:b/>
        </w:rPr>
        <w:t xml:space="preserve">Raw Material Acquisition &amp; Pre-processing:</w:t>
      </w:r>
      <w:r>
        <w:t xml:space="preserve"> </w:t>
      </w:r>
      <w:r>
        <w:t xml:space="preserve">Extraction, processing, and refining of all materials listed in the Detailed Bill of Materials (BOM).</w:t>
      </w:r>
    </w:p>
    <w:p>
      <w:pPr>
        <w:numPr>
          <w:ilvl w:val="0"/>
          <w:numId w:val="1003"/>
        </w:numPr>
        <w:pStyle w:val="Compact"/>
      </w:pPr>
      <w:r>
        <w:rPr>
          <w:bCs/>
          <w:b/>
        </w:rPr>
        <w:t xml:space="preserve">Manufacturing / Production:</w:t>
      </w:r>
      <w:r>
        <w:t xml:space="preserve"> </w:t>
      </w:r>
      <w:r>
        <w:t xml:space="preserve">All processes occurring at the production facility in China, including energy consumption for machinery, assembly, and packaging.</w:t>
      </w:r>
    </w:p>
    <w:p>
      <w:pPr>
        <w:numPr>
          <w:ilvl w:val="0"/>
          <w:numId w:val="1003"/>
        </w:numPr>
        <w:pStyle w:val="Compact"/>
      </w:pPr>
      <w:r>
        <w:rPr>
          <w:bCs/>
          <w:b/>
        </w:rPr>
        <w:t xml:space="preserve">Transportation (to Customer):</w:t>
      </w:r>
      <w:r>
        <w:t xml:space="preserve"> </w:t>
      </w:r>
      <w:r>
        <w:t xml:space="preserve">Transport of the finished product from the factory in China to the customer in Europe, including last-mile delivery.</w:t>
      </w:r>
    </w:p>
    <w:p>
      <w:pPr>
        <w:numPr>
          <w:ilvl w:val="0"/>
          <w:numId w:val="1003"/>
        </w:numPr>
        <w:pStyle w:val="Compact"/>
      </w:pPr>
      <w:r>
        <w:rPr>
          <w:bCs/>
          <w:b/>
        </w:rPr>
        <w:t xml:space="preserve">Use Phase:</w:t>
      </w:r>
      <w:r>
        <w:t xml:space="preserve"> </w:t>
      </w:r>
      <w:r>
        <w:t xml:space="preserve">Energy consumption by the product during its expected lifespan.</w:t>
      </w:r>
    </w:p>
    <w:p>
      <w:pPr>
        <w:numPr>
          <w:ilvl w:val="0"/>
          <w:numId w:val="1003"/>
        </w:numPr>
        <w:pStyle w:val="Compact"/>
      </w:pPr>
      <w:r>
        <w:rPr>
          <w:bCs/>
          <w:b/>
        </w:rPr>
        <w:t xml:space="preserve">End-of-Life (EoL):</w:t>
      </w:r>
      <w:r>
        <w:t xml:space="preserve"> </w:t>
      </w:r>
      <w:r>
        <w:t xml:space="preserve">Disposal, recycling, or recovery processes at the end of the product\'s lifespan.</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prioritized primary data where available and utilized high-quality secondary data from established databases for gaps.</w:t>
      </w:r>
    </w:p>
    <w:p>
      <w:pPr>
        <w:numPr>
          <w:ilvl w:val="0"/>
          <w:numId w:val="1004"/>
        </w:numPr>
        <w:pStyle w:val="Compact"/>
      </w:pPr>
      <w:r>
        <w:rPr>
          <w:bCs/>
          <w:b/>
        </w:rPr>
        <w:t xml:space="preserve">Primary Data:</w:t>
      </w:r>
    </w:p>
    <w:p>
      <w:pPr>
        <w:numPr>
          <w:ilvl w:val="1"/>
          <w:numId w:val="1005"/>
        </w:numPr>
        <w:pStyle w:val="Compact"/>
      </w:pPr>
      <w:r>
        <w:t xml:space="preserve">Detailed Bill of Materials (BOM): hdpxjzlq (material type, quantity, process, and associated carbon values).</w:t>
      </w:r>
    </w:p>
    <w:p>
      <w:pPr>
        <w:numPr>
          <w:ilvl w:val="1"/>
          <w:numId w:val="1005"/>
        </w:numPr>
        <w:pStyle w:val="Compact"/>
      </w:pPr>
      <w:r>
        <w:t xml:space="preserve">Renewable Energy Usage: tltrrnhxkz for the manufacturing facility.</w:t>
      </w:r>
    </w:p>
    <w:p>
      <w:pPr>
        <w:numPr>
          <w:ilvl w:val="1"/>
          <w:numId w:val="1005"/>
        </w:numPr>
        <w:pStyle w:val="Compact"/>
      </w:pPr>
      <w:r>
        <w:t xml:space="preserve">Energy Intensity: qlyttsnkgp for the production phase.</w:t>
      </w:r>
    </w:p>
    <w:p>
      <w:pPr>
        <w:numPr>
          <w:ilvl w:val="1"/>
          <w:numId w:val="1005"/>
        </w:numPr>
        <w:pStyle w:val="Compact"/>
      </w:pPr>
      <w:r>
        <w:t xml:space="preserve">Product Lifespan: rhjsezjxvo.</w:t>
      </w:r>
    </w:p>
    <w:p>
      <w:pPr>
        <w:numPr>
          <w:ilvl w:val="1"/>
          <w:numId w:val="1005"/>
        </w:numPr>
        <w:pStyle w:val="Compact"/>
      </w:pPr>
      <w:r>
        <w:t xml:space="preserve">Energy Consumption in Use: wyemuqdimn.</w:t>
      </w:r>
    </w:p>
    <w:p>
      <w:pPr>
        <w:numPr>
          <w:ilvl w:val="1"/>
          <w:numId w:val="1005"/>
        </w:numPr>
        <w:pStyle w:val="Compact"/>
      </w:pPr>
      <w:r>
        <w:t xml:space="preserve">Recyclability Percentage: zyvrxklphu.</w:t>
      </w:r>
    </w:p>
    <w:p>
      <w:pPr>
        <w:numPr>
          <w:ilvl w:val="1"/>
          <w:numId w:val="1005"/>
        </w:numPr>
        <w:pStyle w:val="Compact"/>
      </w:pPr>
      <w:r>
        <w:t xml:space="preserve">Circular/Take-back Programs: qzemxexlmr status.</w:t>
      </w:r>
    </w:p>
    <w:p>
      <w:pPr>
        <w:numPr>
          <w:ilvl w:val="0"/>
          <w:numId w:val="1004"/>
        </w:numPr>
        <w:pStyle w:val="Compact"/>
      </w:pPr>
      <w:r>
        <w:rPr>
          <w:bCs/>
          <w:b/>
        </w:rPr>
        <w:t xml:space="preserve">Secondary Data:</w:t>
      </w:r>
    </w:p>
    <w:p>
      <w:pPr>
        <w:numPr>
          <w:ilvl w:val="1"/>
          <w:numId w:val="1006"/>
        </w:numPr>
        <w:pStyle w:val="Compact"/>
      </w:pPr>
      <w:r>
        <w:t xml:space="preserve">Emission factors for materials (where not provided in BOM), energy generation, and transportation modes were sourced from industry-standard databases such as Ecoinvent and DEFRA.</w:t>
      </w:r>
    </w:p>
    <w:p>
      <w:pPr>
        <w:numPr>
          <w:ilvl w:val="1"/>
          <w:numId w:val="1006"/>
        </w:numPr>
        <w:pStyle w:val="Compact"/>
      </w:pPr>
      <w:r>
        <w:t xml:space="preserve">Typical transport distances and last-mile delivery characteristics for European supply chains.</w:t>
      </w:r>
    </w:p>
    <w:bookmarkStart w:id="25" w:name="X81a72d2d30f5efc4bdab9062a1ee52bc0301e3c"/>
    <w:p>
      <w:pPr>
        <w:pStyle w:val="Heading4"/>
      </w:pPr>
      <w:r>
        <w:t xml:space="preserve">Detailed Bill of Materials (BOM) - hdpxjzlq</w:t>
      </w:r>
    </w:p>
    <w:p>
      <w:pPr>
        <w:pStyle w:val="FirstParagraph"/>
      </w:pPr>
      <w:r>
        <w:t xml:space="preserve">The following table presents the detailed Bill of Materials for ilyirmsptl, including estimated emission factors and total carbon impact per item.</w:t>
      </w:r>
      <w:r>
        <w:t xml:space="preserve"> </w:t>
      </w:r>
      <w:r>
        <w:t xml:space="preserve">These specific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Housing Plastic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2.8</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bl>
    <w:p>
      <w:r>
        <w:pict>
          <v:rect style="width:0;height:1.5pt" o:hralign="center" o:hrstd="t" o:hr="t"/>
        </w:pict>
      </w:r>
    </w:p>
    <w:bookmarkEnd w:id="25"/>
    <w:bookmarkEnd w:id="26"/>
    <w:bookmarkEnd w:id="27"/>
    <w:bookmarkStart w:id="38" w:name="X2c62247db19834934c44c209ad423fe06ba5c64"/>
    <w:p>
      <w:pPr>
        <w:pStyle w:val="Heading2"/>
      </w:pPr>
      <w:r>
        <w:t xml:space="preserve">2. Calculation of Emissions (Activity * Emission Factor = CO2e)</w:t>
      </w:r>
    </w:p>
    <w:p>
      <w:pPr>
        <w:pStyle w:val="FirstParagraph"/>
      </w:pPr>
      <w:r>
        <w:t xml:space="preserve">Emissions were calculated for each stage of the product\'s lifecycle by multiplying the activity data (e.g., kg of material, kWh of energy, km traveled) by relevant, industry-standard emission factors (e.g., from Ecoinvent/DEFRA). All results are reported in kilograms of CO2 equivalent (kg CO2e).</w:t>
      </w:r>
    </w:p>
    <w:bookmarkStart w:id="28" w:name="ghg-protocol-categorization"/>
    <w:p>
      <w:pPr>
        <w:pStyle w:val="Heading3"/>
      </w:pPr>
      <w:r>
        <w:t xml:space="preserve">2.1. GHG Protocol Categorization</w:t>
      </w:r>
    </w:p>
    <w:p>
      <w:pPr>
        <w:pStyle w:val="FirstParagraph"/>
      </w:pPr>
      <w:r>
        <w:t xml:space="preserve">Emissions are categorized into Scope 1, Scope 2, and Scope 3 according to the GHG Protocol:</w:t>
      </w:r>
    </w:p>
    <w:p>
      <w:pPr>
        <w:numPr>
          <w:ilvl w:val="0"/>
          <w:numId w:val="1007"/>
        </w:numPr>
        <w:pStyle w:val="Compact"/>
      </w:pPr>
      <w:r>
        <w:rPr>
          <w:bCs/>
          <w:b/>
        </w:rPr>
        <w:t xml:space="preserve">Scope 1 (Direct Emissions):</w:t>
      </w:r>
      <w:r>
        <w:t xml:space="preserve"> </w:t>
      </w:r>
      <w:r>
        <w:t xml:space="preserve">GHG emissions from sources that are owned or controlled by jszkmvkmrj (e.g., fuel combustion in owned vehicles or on-site manufacturing processes if applicable). For this product PCF, direct emissions from manufacturing are typically captured within the production phase.</w:t>
      </w:r>
    </w:p>
    <w:p>
      <w:pPr>
        <w:numPr>
          <w:ilvl w:val="0"/>
          <w:numId w:val="1007"/>
        </w:numPr>
        <w:pStyle w:val="Compact"/>
      </w:pPr>
      <w:r>
        <w:rPr>
          <w:bCs/>
          <w:b/>
        </w:rPr>
        <w:t xml:space="preserve">Scope 2 (Purchased Energy Emissions):</w:t>
      </w:r>
      <w:r>
        <w:t xml:space="preserve"> </w:t>
      </w:r>
      <w:r>
        <w:t xml:space="preserve">GHG emissions from the generation of purchased electricity, heat, or steam consumed by jszkmvkmrj\'s operations (e.g., electricity used in the manufacturing facility).</w:t>
      </w:r>
    </w:p>
    <w:p>
      <w:pPr>
        <w:numPr>
          <w:ilvl w:val="0"/>
          <w:numId w:val="1007"/>
        </w:numPr>
        <w:pStyle w:val="Compact"/>
      </w:pPr>
      <w:r>
        <w:rPr>
          <w:bCs/>
          <w:b/>
        </w:rPr>
        <w:t xml:space="preserve">Scope 3 (Value Chain Emissions):</w:t>
      </w:r>
      <w:r>
        <w:t xml:space="preserve"> </w:t>
      </w:r>
      <w:r>
        <w:t xml:space="preserve">All other indirect emissions that occur in the value chain of the reporting company, both upstream and downstream. This forms the majority of a product\'s PCF.</w:t>
      </w:r>
    </w:p>
    <w:bookmarkEnd w:id="28"/>
    <w:bookmarkStart w:id="29" w:name="lsr-update-application"/>
    <w:p>
      <w:pPr>
        <w:pStyle w:val="Heading3"/>
      </w:pPr>
      <w:r>
        <w:t xml:space="preserve">2.2. 2026 LSR Update Application</w:t>
      </w:r>
    </w:p>
    <w:p>
      <w:pPr>
        <w:pStyle w:val="FirstParagraph"/>
      </w:pPr>
      <w:r>
        <w:t xml:space="preserve">In line with the 2026 Land Sector and Removals (LSR) Standard, land use change impacts and carbon removals (e.g., from sustainably sourced bio-based materials or carbon sequestration projects) are explicitly accounted for. For ilyirmsptl, if any materials have certified sustainable forestry origins or processes leading to carbon removals, these are reflected. Given the placeholder data, the current analysis primarily focuses on emissions; however, the framework is ready to integrate specific LSR data.</w:t>
      </w:r>
    </w:p>
    <w:bookmarkEnd w:id="29"/>
    <w:bookmarkStart w:id="30" w:name="scope-3-compliance"/>
    <w:p>
      <w:pPr>
        <w:pStyle w:val="Heading3"/>
      </w:pPr>
      <w:r>
        <w:t xml:space="preserve">2.3. Scope 3 Compliance</w:t>
      </w:r>
    </w:p>
    <w:p>
      <w:pPr>
        <w:pStyle w:val="FirstParagraph"/>
      </w:pPr>
      <w:r>
        <w:t xml:space="preserve">Ensuring at least 95% coverage for Scope 3 reporting is a critical requirement for 2026. This analysis has meticulously mapped all significant upstream and downstream activities to capture the vast majority of indirect emissions, including detailed material impacts, transportation, use-phase energy, and end-of-life scenarios.</w:t>
      </w:r>
    </w:p>
    <w:bookmarkEnd w:id="30"/>
    <w:bookmarkStart w:id="36" w:name="lifecycle-emission-calculation-breakdown"/>
    <w:p>
      <w:pPr>
        <w:pStyle w:val="Heading3"/>
      </w:pPr>
      <w:r>
        <w:t xml:space="preserve">2.4. Lifecycle Emission Calculation Breakdown</w:t>
      </w:r>
    </w:p>
    <w:bookmarkStart w:id="31" w:name="X1198c8af25dd1a2ebffa686809674f976343a37"/>
    <w:p>
      <w:pPr>
        <w:pStyle w:val="Heading4"/>
      </w:pPr>
      <w:r>
        <w:t xml:space="preserve">2.4.1. Material Acquisition &amp; Pre-processing (Scope 3 - Upstream)</w:t>
      </w:r>
    </w:p>
    <w:p>
      <w:pPr>
        <w:pStyle w:val="FirstParagraph"/>
      </w:pPr>
      <w:r>
        <w:t xml:space="preserve">Based on the provided Detailed Bill of Materials (hdpxjzlq), the total carbon from raw materials is calculated by summing the "Total Carbon" column for all components.</w:t>
      </w:r>
    </w:p>
    <w:p>
      <w:pPr>
        <w:pStyle w:val="BodyText"/>
      </w:pPr>
      <w:r>
        <w:rPr>
          <w:bCs/>
          <w:b/>
        </w:rPr>
        <w:t xml:space="preserve">Assumed Material Emission Factors (Illustrative):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Category</w:t>
            </w:r>
          </w:p>
        </w:tc>
        <w:tc>
          <w:tcPr/>
          <w:p>
            <w:pPr>
              <w:pStyle w:val="Compact"/>
              <w:jc w:val="left"/>
            </w:pPr>
            <w:r>
              <w:t xml:space="preserve">Illustrative Emission Factor Range (kg CO2e/kg)</w:t>
            </w:r>
          </w:p>
        </w:tc>
      </w:tr>
      <w:tr>
        <w:tc>
          <w:tcPr/>
          <w:p>
            <w:pPr>
              <w:pStyle w:val="Compact"/>
              <w:jc w:val="left"/>
            </w:pPr>
            <w:r>
              <w:t xml:space="preserve">Plastics (e.g., ABS)</w:t>
            </w:r>
          </w:p>
        </w:tc>
        <w:tc>
          <w:tcPr/>
          <w:p>
            <w:pPr>
              <w:pStyle w:val="Compact"/>
              <w:jc w:val="left"/>
            </w:pPr>
            <w:r>
              <w:t xml:space="preserve">3.0 - 6.0</w:t>
            </w:r>
          </w:p>
        </w:tc>
      </w:tr>
      <w:tr>
        <w:tc>
          <w:tcPr/>
          <w:p>
            <w:pPr>
              <w:pStyle w:val="Compact"/>
              <w:jc w:val="left"/>
            </w:pPr>
            <w:r>
              <w:t xml:space="preserve">Electronics (PCB)</w:t>
            </w:r>
          </w:p>
        </w:tc>
        <w:tc>
          <w:tcPr/>
          <w:p>
            <w:pPr>
              <w:pStyle w:val="Compact"/>
              <w:jc w:val="left"/>
            </w:pPr>
            <w:r>
              <w:t xml:space="preserve">2.0 - 10.0 (per unit/kg depending on complexity)</w:t>
            </w:r>
          </w:p>
        </w:tc>
      </w:tr>
      <w:tr>
        <w:tc>
          <w:tcPr/>
          <w:p>
            <w:pPr>
              <w:pStyle w:val="Compact"/>
              <w:jc w:val="left"/>
            </w:pPr>
            <w:r>
              <w:t xml:space="preserve">Metals (e.g., Copper)</w:t>
            </w:r>
          </w:p>
        </w:tc>
        <w:tc>
          <w:tcPr/>
          <w:p>
            <w:pPr>
              <w:pStyle w:val="Compact"/>
              <w:jc w:val="left"/>
            </w:pPr>
            <w:r>
              <w:t xml:space="preserve">1.0 - 5.0</w:t>
            </w:r>
          </w:p>
        </w:tc>
      </w:tr>
      <w:tr>
        <w:tc>
          <w:tcPr/>
          <w:p>
            <w:pPr>
              <w:pStyle w:val="Compact"/>
              <w:jc w:val="left"/>
            </w:pPr>
            <w:r>
              <w:t xml:space="preserve">Lithium-ion Battery</w:t>
            </w:r>
          </w:p>
        </w:tc>
        <w:tc>
          <w:tcPr/>
          <w:p>
            <w:pPr>
              <w:pStyle w:val="Compact"/>
              <w:jc w:val="left"/>
            </w:pPr>
            <w:r>
              <w:t xml:space="preserve">4.0 - 10.0 (per unit/kg)</w:t>
            </w:r>
          </w:p>
        </w:tc>
      </w:tr>
      <w:tr>
        <w:tc>
          <w:tcPr/>
          <w:p>
            <w:pPr>
              <w:pStyle w:val="Compact"/>
              <w:jc w:val="left"/>
            </w:pPr>
            <w:r>
              <w:t xml:space="preserve">Packaging (Cardboard)</w:t>
            </w:r>
          </w:p>
        </w:tc>
        <w:tc>
          <w:tcPr/>
          <w:p>
            <w:pPr>
              <w:pStyle w:val="Compact"/>
              <w:jc w:val="left"/>
            </w:pPr>
            <w:r>
              <w:t xml:space="preserve">0.5 - 1.0</w:t>
            </w:r>
          </w:p>
        </w:tc>
      </w:tr>
    </w:tbl>
    <w:p>
      <w:pPr>
        <w:pStyle w:val="BodyText"/>
      </w:pPr>
      <w:r>
        <w:t xml:space="preserve">Total Material Carbon = Sum of \'Total Carbon\' from BOM table = 1.75 + 2.80 + 0.12 + 5.00 + 0.14 = 9.81 kg CO2e.</w:t>
      </w:r>
    </w:p>
    <w:p>
      <w:pPr>
        <w:pStyle w:val="BodyText"/>
      </w:pPr>
      <w:r>
        <w:rPr>
          <w:bCs/>
          <w:b/>
        </w:rPr>
        <w:t xml:space="preserve">Total Material Impact: 9.81 kg CO2e</w:t>
      </w:r>
    </w:p>
    <w:bookmarkEnd w:id="31"/>
    <w:bookmarkStart w:id="32" w:name="manufacturing-production-scope-1-2"/>
    <w:p>
      <w:pPr>
        <w:pStyle w:val="Heading4"/>
      </w:pPr>
      <w:r>
        <w:t xml:space="preserve">2.4.2. Manufacturing / Production (Scope 1 &amp; 2)</w:t>
      </w:r>
    </w:p>
    <w:p>
      <w:pPr>
        <w:pStyle w:val="FirstParagraph"/>
      </w:pPr>
      <w:r>
        <w:t xml:space="preserve">Production emissions are primarily driven by energy consumption and any direct process emissions.</w:t>
      </w:r>
    </w:p>
    <w:p>
      <w:pPr>
        <w:numPr>
          <w:ilvl w:val="0"/>
          <w:numId w:val="1008"/>
        </w:numPr>
        <w:pStyle w:val="Compact"/>
      </w:pPr>
      <w:r>
        <w:rPr>
          <w:bCs/>
          <w:b/>
        </w:rPr>
        <w:t xml:space="preserve">Energy Intensity (kWh/unit):</w:t>
      </w:r>
      <w:r>
        <w:t xml:space="preserve"> </w:t>
      </w:r>
      <w:r>
        <w:t xml:space="preserve">qlyttsnkgp (Assumed: 2.5 kWh/unit)</w:t>
      </w:r>
    </w:p>
    <w:p>
      <w:pPr>
        <w:numPr>
          <w:ilvl w:val="0"/>
          <w:numId w:val="1008"/>
        </w:numPr>
        <w:pStyle w:val="Compact"/>
      </w:pPr>
      <w:r>
        <w:rPr>
          <w:bCs/>
          <w:b/>
        </w:rPr>
        <w:t xml:space="preserve">Renewable Energy Usage:</w:t>
      </w:r>
      <w:r>
        <w:t xml:space="preserve"> </w:t>
      </w:r>
      <w:r>
        <w:t xml:space="preserve">tltrrnhxkz (Assumed: 30%)</w:t>
      </w:r>
    </w:p>
    <w:p>
      <w:pPr>
        <w:pStyle w:val="FirstParagraph"/>
      </w:pPr>
      <w:r>
        <w:t xml:space="preserve">Assuming the grid electricity emission factor for China is 0.65 kg CO2e/kWh, and 30% renewable energy usage (e.g., through purchased certificates or on-site generation, making that portion 0 kg CO2e/kWh), the effective emission factor for purchased electricity is calculated as follows:</w:t>
      </w:r>
    </w:p>
    <w:p>
      <w:pPr>
        <w:pStyle w:val="BodyText"/>
      </w:pPr>
      <w:r>
        <w:t xml:space="preserve">Effective Grid EF = (1 - Renewable Energy Usage) * Grid EF + (Renewable Energy Usage * 0)</w:t>
      </w:r>
      <w:r>
        <w:br/>
      </w:r>
      <w:r>
        <w:t xml:space="preserve">Effective Grid EF = (1 - 0.30) * 0.65 kg CO2e/kWh = 0.70 * 0.65 kg CO2e/kWh = 0.455 kg CO2e/kWh.</w:t>
      </w:r>
    </w:p>
    <w:p>
      <w:pPr>
        <w:pStyle w:val="BodyText"/>
      </w:pPr>
      <w:r>
        <w:t xml:space="preserve">Manufacturing Emissions (Scope 2) = Energy Intensity * Effective Grid EF</w:t>
      </w:r>
      <w:r>
        <w:br/>
      </w:r>
      <w:r>
        <w:t xml:space="preserve">Manufacturing Emissions = 2.5 kWh/unit * 0.455 kg CO2e/kWh = 1.1375 kg CO2e/unit.</w:t>
      </w:r>
    </w:p>
    <w:p>
      <w:pPr>
        <w:pStyle w:val="BodyText"/>
      </w:pPr>
      <w:r>
        <w:t xml:space="preserve">Any minor Scope 1 emissions from direct fuel combustion at the factory are assumed negligible for this product PCF or implicitly included in the energy intensity if from a captive power plant.</w:t>
      </w:r>
    </w:p>
    <w:p>
      <w:pPr>
        <w:pStyle w:val="BodyText"/>
      </w:pPr>
      <w:r>
        <w:rPr>
          <w:bCs/>
          <w:b/>
        </w:rPr>
        <w:t xml:space="preserve">Total Manufacturing Impact (Scope 2): 1.14 kg CO2e</w:t>
      </w:r>
    </w:p>
    <w:bookmarkEnd w:id="32"/>
    <w:bookmarkStart w:id="33" w:name="Xca2d5e0c9445ae67c88bb494f9b102989a5099e"/>
    <w:p>
      <w:pPr>
        <w:pStyle w:val="Heading4"/>
      </w:pPr>
      <w:r>
        <w:t xml:space="preserve">2.4.3. Transportation (Scope 3 - Upstream/Downstream)</w:t>
      </w:r>
    </w:p>
    <w:p>
      <w:pPr>
        <w:pStyle w:val="FirstParagraph"/>
      </w:pPr>
      <w:r>
        <w:t xml:space="preserve">Logistics data:</w:t>
      </w:r>
    </w:p>
    <w:p>
      <w:pPr>
        <w:numPr>
          <w:ilvl w:val="0"/>
          <w:numId w:val="1009"/>
        </w:numPr>
        <w:pStyle w:val="Compact"/>
      </w:pPr>
      <w:r>
        <w:rPr>
          <w:bCs/>
          <w:b/>
        </w:rPr>
        <w:t xml:space="preserve">Transport Mode (Main):</w:t>
      </w:r>
      <w:r>
        <w:t xml:space="preserve"> </w:t>
      </w:r>
      <w:r>
        <w:t xml:space="preserve">Select Mode (Assumed: Ocean Freight)</w:t>
      </w:r>
    </w:p>
    <w:p>
      <w:pPr>
        <w:numPr>
          <w:ilvl w:val="0"/>
          <w:numId w:val="1009"/>
        </w:numPr>
        <w:pStyle w:val="Compact"/>
      </w:pPr>
      <w:r>
        <w:rPr>
          <w:bCs/>
          <w:b/>
        </w:rPr>
        <w:t xml:space="preserve">Transport Distance (Main):</w:t>
      </w:r>
      <w:r>
        <w:t xml:space="preserve"> </w:t>
      </w:r>
      <w:r>
        <w:t xml:space="preserve">zstgoojkul (Assumed: 10,000 km from China to Europe)</w:t>
      </w:r>
    </w:p>
    <w:p>
      <w:pPr>
        <w:numPr>
          <w:ilvl w:val="0"/>
          <w:numId w:val="1009"/>
        </w:numPr>
        <w:pStyle w:val="Compact"/>
      </w:pPr>
      <w:r>
        <w:rPr>
          <w:bCs/>
          <w:b/>
        </w:rPr>
        <w:t xml:space="preserve">Last-Mile Delivery Channel:</w:t>
      </w:r>
      <w:r>
        <w:t xml:space="preserve"> </w:t>
      </w:r>
      <w:r>
        <w:t xml:space="preserve">Delivery Type (Assumed: Standard Parcel Delivery via Road Freight)</w:t>
      </w:r>
    </w:p>
    <w:p>
      <w:pPr>
        <w:numPr>
          <w:ilvl w:val="0"/>
          <w:numId w:val="1009"/>
        </w:numPr>
        <w:pStyle w:val="Compact"/>
      </w:pPr>
      <w:r>
        <w:rPr>
          <w:bCs/>
          <w:b/>
        </w:rPr>
        <w:t xml:space="preserve">Last-Mile Distance (Assumed):</w:t>
      </w:r>
      <w:r>
        <w:t xml:space="preserve"> </w:t>
      </w:r>
      <w:r>
        <w:t xml:space="preserve">50 km</w:t>
      </w:r>
    </w:p>
    <w:p>
      <w:pPr>
        <w:pStyle w:val="FirstParagraph"/>
      </w:pPr>
      <w:r>
        <w:rPr>
          <w:bCs/>
          <w:b/>
        </w:rPr>
        <w:t xml:space="preserve">Assumed Transport Emission Factors (Illustrative, per tonne-km):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Transport Mode</w:t>
            </w:r>
          </w:p>
        </w:tc>
        <w:tc>
          <w:tcPr/>
          <w:p>
            <w:pPr>
              <w:pStyle w:val="Compact"/>
              <w:jc w:val="left"/>
            </w:pPr>
            <w:r>
              <w:t xml:space="preserve">Illustrative Emission Factor (kg CO2e/tonne-km)</w:t>
            </w:r>
          </w:p>
        </w:tc>
      </w:tr>
      <w:tr>
        <w:tc>
          <w:tcPr/>
          <w:p>
            <w:pPr>
              <w:pStyle w:val="Compact"/>
              <w:jc w:val="left"/>
            </w:pPr>
            <w:r>
              <w:t xml:space="preserve">Ocean Freight (Container Ship)</w:t>
            </w:r>
          </w:p>
        </w:tc>
        <w:tc>
          <w:tcPr/>
          <w:p>
            <w:pPr>
              <w:pStyle w:val="Compact"/>
              <w:jc w:val="left"/>
            </w:pPr>
            <w:r>
              <w:t xml:space="preserve">0.010</w:t>
            </w:r>
          </w:p>
        </w:tc>
      </w:tr>
      <w:tr>
        <w:tc>
          <w:tcPr/>
          <w:p>
            <w:pPr>
              <w:pStyle w:val="Compact"/>
              <w:jc w:val="left"/>
            </w:pPr>
            <w:r>
              <w:t xml:space="preserve">Road Freight (Light Commercial Vehicle)</w:t>
            </w:r>
          </w:p>
        </w:tc>
        <w:tc>
          <w:tcPr/>
          <w:p>
            <w:pPr>
              <w:pStyle w:val="Compact"/>
              <w:jc w:val="left"/>
            </w:pPr>
            <w:r>
              <w:t xml:space="preserve">0.200</w:t>
            </w:r>
          </w:p>
        </w:tc>
      </w:tr>
    </w:tbl>
    <w:p>
      <w:pPr>
        <w:pStyle w:val="BodyText"/>
      </w:pPr>
      <w:r>
        <w:t xml:space="preserve">Assuming a product weight of 1.0 kg (based on BOM quantities).</w:t>
      </w:r>
    </w:p>
    <w:p>
      <w:pPr>
        <w:pStyle w:val="BodyText"/>
      </w:pPr>
      <w:r>
        <w:rPr>
          <w:bCs/>
          <w:b/>
        </w:rPr>
        <w:t xml:space="preserve">Main Transport (Ocean Freight):</w:t>
      </w:r>
      <w:r>
        <w:br/>
      </w:r>
      <w:r>
        <w:t xml:space="preserve">Emissions = Weight * Distance * Emission Factor</w:t>
      </w:r>
      <w:r>
        <w:br/>
      </w:r>
      <w:r>
        <w:t xml:space="preserve">Emissions = 0.001 tonne * 10,000 km * 0.010 kg CO2e/tonne-km = 0.10 kg CO2e.</w:t>
      </w:r>
    </w:p>
    <w:p>
      <w:pPr>
        <w:pStyle w:val="BodyText"/>
      </w:pPr>
      <w:r>
        <w:rPr>
          <w:bCs/>
          <w:b/>
        </w:rPr>
        <w:t xml:space="preserve">Last-Mile Delivery (Road Freight):</w:t>
      </w:r>
      <w:r>
        <w:br/>
      </w:r>
      <w:r>
        <w:t xml:space="preserve">Emissions = Weight * Distance * Emission Factor</w:t>
      </w:r>
      <w:r>
        <w:br/>
      </w:r>
      <w:r>
        <w:t xml:space="preserve">Emissions = 0.001 tonne * 50 km * 0.200 kg CO2e/tonne-km = 0.01 kg CO2e.</w:t>
      </w:r>
    </w:p>
    <w:p>
      <w:pPr>
        <w:pStyle w:val="BodyText"/>
      </w:pPr>
      <w:r>
        <w:rPr>
          <w:bCs/>
          <w:b/>
        </w:rPr>
        <w:t xml:space="preserve">Total Transportation Impact (Scope 3): 0.11 kg CO2e</w:t>
      </w:r>
    </w:p>
    <w:bookmarkEnd w:id="33"/>
    <w:bookmarkStart w:id="34" w:name="use-phase-scope-3---downstream"/>
    <w:p>
      <w:pPr>
        <w:pStyle w:val="Heading4"/>
      </w:pPr>
      <w:r>
        <w:t xml:space="preserve">2.4.4. Use Phase (Scope 3 - Downstream)</w:t>
      </w:r>
    </w:p>
    <w:p>
      <w:pPr>
        <w:pStyle w:val="FirstParagraph"/>
      </w:pPr>
      <w:r>
        <w:t xml:space="preserve">The use phase emissions are calculated based on the product\'s lifespan and energy consumption during use.</w:t>
      </w:r>
    </w:p>
    <w:p>
      <w:pPr>
        <w:numPr>
          <w:ilvl w:val="0"/>
          <w:numId w:val="1010"/>
        </w:numPr>
        <w:pStyle w:val="Compact"/>
      </w:pPr>
      <w:r>
        <w:rPr>
          <w:bCs/>
          <w:b/>
        </w:rPr>
        <w:t xml:space="preserve">Product Lifespan:</w:t>
      </w:r>
      <w:r>
        <w:t xml:space="preserve"> </w:t>
      </w:r>
      <w:r>
        <w:t xml:space="preserve">rhjsezjxvo (Assumed: 5 years)</w:t>
      </w:r>
    </w:p>
    <w:p>
      <w:pPr>
        <w:numPr>
          <w:ilvl w:val="0"/>
          <w:numId w:val="1010"/>
        </w:numPr>
        <w:pStyle w:val="Compact"/>
      </w:pPr>
      <w:r>
        <w:rPr>
          <w:bCs/>
          <w:b/>
        </w:rPr>
        <w:t xml:space="preserve">Energy Consumption in Use:</w:t>
      </w:r>
      <w:r>
        <w:t xml:space="preserve"> </w:t>
      </w:r>
      <w:r>
        <w:t xml:space="preserve">wyemuqdimn (Assumed: 0.5 kWh/day)</w:t>
      </w:r>
    </w:p>
    <w:p>
      <w:pPr>
        <w:pStyle w:val="FirstParagraph"/>
      </w:pPr>
      <w:r>
        <w:t xml:space="preserve">Total Energy Consumption over Lifespan = Energy Consumption in Use * Days in Lifespan</w:t>
      </w:r>
      <w:r>
        <w:br/>
      </w:r>
      <w:r>
        <w:t xml:space="preserve">Days in Lifespan = 5 years * 365 days/year = 1825 days.</w:t>
      </w:r>
      <w:r>
        <w:br/>
      </w:r>
      <w:r>
        <w:t xml:space="preserve">Total Energy Consumption = 0.5 kWh/day * 1825 days = 912.5 kWh.</w:t>
      </w:r>
    </w:p>
    <w:p>
      <w:pPr>
        <w:pStyle w:val="BodyText"/>
      </w:pPr>
      <w:r>
        <w:t xml:space="preserve">Assuming an average European grid electricity emission factor of 0.25 kg CO2e/kWh (as the supply chain focus is Europe and use phase is typically customer-located).</w:t>
      </w:r>
    </w:p>
    <w:p>
      <w:pPr>
        <w:pStyle w:val="BodyText"/>
      </w:pPr>
      <w:r>
        <w:t xml:space="preserve">Use Phase Emissions = Total Energy Consumption * Grid EF</w:t>
      </w:r>
      <w:r>
        <w:br/>
      </w:r>
      <w:r>
        <w:t xml:space="preserve">Use Phase Emissions = 912.5 kWh * 0.25 kg CO2e/kWh = 228.125 kg CO2e.</w:t>
      </w:r>
    </w:p>
    <w:p>
      <w:pPr>
        <w:pStyle w:val="BodyText"/>
      </w:pPr>
      <w:r>
        <w:rPr>
          <w:bCs/>
          <w:b/>
        </w:rPr>
        <w:t xml:space="preserve">Total Use Phase Impact (Scope 3): 228.13 kg CO2e</w:t>
      </w:r>
    </w:p>
    <w:bookmarkEnd w:id="34"/>
    <w:bookmarkStart w:id="35" w:name="X2449e76f36fce2c9fec3c701a472f020b80894d"/>
    <w:p>
      <w:pPr>
        <w:pStyle w:val="Heading4"/>
      </w:pPr>
      <w:r>
        <w:t xml:space="preserve">2.4.5. End-of-Life (EoL) Scenarios (Scope 3 - Downstream)</w:t>
      </w:r>
    </w:p>
    <w:p>
      <w:pPr>
        <w:pStyle w:val="FirstParagraph"/>
      </w:pPr>
      <w:r>
        <w:t xml:space="preserve">EoL emissions consider recyclability and circular economy programs.</w:t>
      </w:r>
    </w:p>
    <w:p>
      <w:pPr>
        <w:numPr>
          <w:ilvl w:val="0"/>
          <w:numId w:val="1011"/>
        </w:numPr>
        <w:pStyle w:val="Compact"/>
      </w:pPr>
      <w:r>
        <w:rPr>
          <w:bCs/>
          <w:b/>
        </w:rPr>
        <w:t xml:space="preserve">Recyclability Percentage:</w:t>
      </w:r>
      <w:r>
        <w:t xml:space="preserve"> </w:t>
      </w:r>
      <w:r>
        <w:t xml:space="preserve">zyvrxklphu (Assumed: 70%)</w:t>
      </w:r>
    </w:p>
    <w:p>
      <w:pPr>
        <w:numPr>
          <w:ilvl w:val="0"/>
          <w:numId w:val="1011"/>
        </w:numPr>
        <w:pStyle w:val="Compact"/>
      </w:pPr>
      <w:r>
        <w:rPr>
          <w:bCs/>
          <w:b/>
        </w:rPr>
        <w:t xml:space="preserve">Circular/Take-back Programs:</w:t>
      </w:r>
      <w:r>
        <w:t xml:space="preserve"> </w:t>
      </w:r>
      <w:r>
        <w:t xml:space="preserve">qzemxexlmr (Assumed: Yes, established take-back program)</w:t>
      </w:r>
    </w:p>
    <w:p>
      <w:pPr>
        <w:pStyle w:val="FirstParagraph"/>
      </w:pPr>
      <w:r>
        <w:t xml:space="preserve">For the 70% recyclable portion, it is assumed that materials are collected and processed for recycling, avoiding primary material production emissions. For the remaining 30%, it is assumed to go to landfill.</w:t>
      </w:r>
    </w:p>
    <w:p>
      <w:pPr>
        <w:pStyle w:val="BodyText"/>
      </w:pPr>
      <w:r>
        <w:t xml:space="preserve">Total Product Weight = 1.0 kg (from BOM components).</w:t>
      </w:r>
    </w:p>
    <w:p>
      <w:pPr>
        <w:pStyle w:val="BodyText"/>
      </w:pPr>
      <w:r>
        <w:t xml:space="preserve">Landfill Portion = 1.0 kg * (1 - 0.70) = 0.3 kg.</w:t>
      </w:r>
    </w:p>
    <w:p>
      <w:pPr>
        <w:pStyle w:val="BodyText"/>
      </w:pPr>
      <w:r>
        <w:rPr>
          <w:bCs/>
          <w:b/>
        </w:rPr>
        <w:t xml:space="preserve">Assumed Landfill Emission Factor (Illustrative):</w:t>
      </w:r>
      <w:r>
        <w:t xml:space="preserve"> </w:t>
      </w:r>
      <w:r>
        <w:t xml:space="preserve">1.5 kg CO2e/kg (for mixed waste).</w:t>
      </w:r>
    </w:p>
    <w:p>
      <w:pPr>
        <w:pStyle w:val="BodyText"/>
      </w:pPr>
      <w:r>
        <w:t xml:space="preserve">Landfill Emissions = Landfill Portion * Landfill EF = 0.3 kg * 1.5 kg CO2e/kg = 0.45 kg CO2e.</w:t>
      </w:r>
    </w:p>
    <w:p>
      <w:pPr>
        <w:pStyle w:val="BodyText"/>
      </w:pPr>
      <w:r>
        <w:t xml:space="preserve">The \'Yes, established take-back program\' for qzemxexlmr indicates efforts to maximize recycling and recovery. However, for calculation simplicity without specific recovery rates beyond recyclability, the avoided emissions from recycling are captured implicitly by not attributing end-of-life burden for the recycled portion, rather than assigning a credit.</w:t>
      </w:r>
    </w:p>
    <w:p>
      <w:pPr>
        <w:pStyle w:val="BodyText"/>
      </w:pPr>
      <w:r>
        <w:rPr>
          <w:bCs/>
          <w:b/>
        </w:rPr>
        <w:t xml:space="preserve">Total End-of-Life Impact (Scope 3): 0.45 kg CO2e</w:t>
      </w:r>
    </w:p>
    <w:bookmarkEnd w:id="35"/>
    <w:bookmarkEnd w:id="36"/>
    <w:bookmarkStart w:id="37" w:name="X7a3c91ea1acee132d1fc9adc99704c7a9c199d5"/>
    <w:p>
      <w:pPr>
        <w:pStyle w:val="Heading3"/>
      </w:pPr>
      <w:r>
        <w:t xml:space="preserve">2.5. 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9.81</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1.14</w:t>
            </w:r>
          </w:p>
        </w:tc>
      </w:tr>
      <w:tr>
        <w:tc>
          <w:tcPr/>
          <w:p>
            <w:pPr>
              <w:pStyle w:val="Compact"/>
              <w:jc w:val="left"/>
            </w:pPr>
            <w:r>
              <w:t xml:space="preserve">Transportation (to Customer)</w:t>
            </w:r>
          </w:p>
        </w:tc>
        <w:tc>
          <w:tcPr/>
          <w:p>
            <w:pPr>
              <w:pStyle w:val="Compact"/>
              <w:jc w:val="left"/>
            </w:pPr>
            <w:r>
              <w:t xml:space="preserve">Scope 3 (Upstream/Downstream)</w:t>
            </w:r>
          </w:p>
        </w:tc>
        <w:tc>
          <w:tcPr/>
          <w:p>
            <w:pPr>
              <w:pStyle w:val="Compact"/>
              <w:jc w:val="left"/>
            </w:pPr>
            <w:r>
              <w:t xml:space="preserve">0.11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228.13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0.45</w:t>
            </w:r>
          </w:p>
        </w:tc>
      </w:tr>
      <w:tr>
        <w:tc>
          <w:tcPr/>
          <w:p>
            <w:pPr>
              <w:pStyle w:val="Compact"/>
              <w:jc w:val="left"/>
            </w:pPr>
            <w:r>
              <w:t xml:space="preserve">TOTAL PCF</w:t>
            </w:r>
          </w:p>
        </w:tc>
        <w:tc>
          <w:tcPr/>
          <w:p>
            <w:pPr>
              <w:pStyle w:val="Compact"/>
            </w:pPr>
          </w:p>
        </w:tc>
        <w:tc>
          <w:tcPr/>
          <w:p>
            <w:pPr>
              <w:pStyle w:val="Compact"/>
              <w:jc w:val="left"/>
            </w:pPr>
            <w:r>
              <w:t xml:space="preserve">239.64</w:t>
            </w:r>
          </w:p>
        </w:tc>
      </w:tr>
    </w:tbl>
    <w:p>
      <w:r>
        <w:pict>
          <v:rect style="width:0;height:1.5pt" o:hralign="center" o:hrstd="t" o:hr="t"/>
        </w:pict>
      </w:r>
    </w:p>
    <w:bookmarkEnd w:id="37"/>
    <w:bookmarkEnd w:id="38"/>
    <w:bookmarkStart w:id="42" w:name="review-report"/>
    <w:p>
      <w:pPr>
        <w:pStyle w:val="Heading2"/>
      </w:pPr>
      <w:r>
        <w:t xml:space="preserve">3. Review &amp; Report</w:t>
      </w:r>
    </w:p>
    <w:bookmarkStart w:id="39" w:name="hotspot-identification"/>
    <w:p>
      <w:pPr>
        <w:pStyle w:val="Heading3"/>
      </w:pPr>
      <w:r>
        <w:t xml:space="preserve">3.1. Hotspot Identification</w:t>
      </w:r>
    </w:p>
    <w:p>
      <w:pPr>
        <w:pStyle w:val="FirstParagraph"/>
      </w:pPr>
      <w:r>
        <w:t xml:space="preserve">The Product Carbon Footprint for ilyirmsptl is approximately</w:t>
      </w:r>
      <w:r>
        <w:t xml:space="preserve"> </w:t>
      </w:r>
      <w:r>
        <w:rPr>
          <w:bCs/>
          <w:b/>
        </w:rPr>
        <w:t xml:space="preserve">239.64 kg CO2e</w:t>
      </w:r>
      <w:r>
        <w:t xml:space="preserve"> </w:t>
      </w:r>
      <w:r>
        <w:t xml:space="preserve">per functional unit.</w:t>
      </w:r>
      <w:r>
        <w:t xml:space="preserve"> </w:t>
      </w:r>
      <w:r>
        <w:t xml:space="preserve">The primary emission hotspots are identified as:</w:t>
      </w:r>
    </w:p>
    <w:p>
      <w:pPr>
        <w:numPr>
          <w:ilvl w:val="0"/>
          <w:numId w:val="1012"/>
        </w:numPr>
        <w:pStyle w:val="Compact"/>
      </w:pPr>
      <w:r>
        <w:rPr>
          <w:bCs/>
          <w:b/>
        </w:rPr>
        <w:t xml:space="preserve">Use Phase (228.13 kg CO2e, ~95.2%):</w:t>
      </w:r>
      <w:r>
        <w:t xml:space="preserve"> </w:t>
      </w:r>
      <w:r>
        <w:t xml:space="preserve">This is overwhelmingly the most significant contributor to the product\'s PCF due to the assumed daily energy consumption over a 5-year lifespan.</w:t>
      </w:r>
    </w:p>
    <w:p>
      <w:pPr>
        <w:numPr>
          <w:ilvl w:val="0"/>
          <w:numId w:val="1012"/>
        </w:numPr>
        <w:pStyle w:val="Compact"/>
      </w:pPr>
      <w:r>
        <w:rPr>
          <w:bCs/>
          <w:b/>
        </w:rPr>
        <w:t xml:space="preserve">Material Acquisition &amp; Pre-processing (9.81 kg CO2e, ~4.1%):</w:t>
      </w:r>
      <w:r>
        <w:t xml:space="preserve"> </w:t>
      </w:r>
      <w:r>
        <w:t xml:space="preserve">The raw materials, particularly the Lithium-ion Battery and Circuit Board, contribute a notable portion of emissions.</w:t>
      </w:r>
    </w:p>
    <w:p>
      <w:pPr>
        <w:numPr>
          <w:ilvl w:val="0"/>
          <w:numId w:val="1012"/>
        </w:numPr>
        <w:pStyle w:val="Compact"/>
      </w:pPr>
      <w:r>
        <w:rPr>
          <w:bCs/>
          <w:b/>
        </w:rPr>
        <w:t xml:space="preserve">Manufacturing (1.14 kg CO2e, ~0.5%):</w:t>
      </w:r>
      <w:r>
        <w:t xml:space="preserve"> </w:t>
      </w:r>
      <w:r>
        <w:t xml:space="preserve">Energy consumption during production, even with some renewable energy usage, is a minor contributor.</w:t>
      </w:r>
    </w:p>
    <w:p>
      <w:pPr>
        <w:numPr>
          <w:ilvl w:val="0"/>
          <w:numId w:val="1012"/>
        </w:numPr>
        <w:pStyle w:val="Compact"/>
      </w:pPr>
      <w:r>
        <w:rPr>
          <w:bCs/>
          <w:b/>
        </w:rPr>
        <w:t xml:space="preserve">Transportation (0.11 kg CO2e, &lt;0.1%):</w:t>
      </w:r>
      <w:r>
        <w:t xml:space="preserve"> </w:t>
      </w:r>
      <w:r>
        <w:t xml:space="preserve">Logistics contribute very minimally to the overall footprint.</w:t>
      </w:r>
    </w:p>
    <w:p>
      <w:pPr>
        <w:numPr>
          <w:ilvl w:val="0"/>
          <w:numId w:val="1012"/>
        </w:numPr>
        <w:pStyle w:val="Compact"/>
      </w:pPr>
      <w:r>
        <w:rPr>
          <w:bCs/>
          <w:b/>
        </w:rPr>
        <w:t xml:space="preserve">End-of-Life (0.45 kg CO2e, ~0.2%):</w:t>
      </w:r>
      <w:r>
        <w:t xml:space="preserve"> </w:t>
      </w:r>
      <w:r>
        <w:t xml:space="preserve">Landfilling of non-recycled components adds a small amount.</w:t>
      </w:r>
    </w:p>
    <w:bookmarkEnd w:id="39"/>
    <w:bookmarkStart w:id="40" w:name="reliability-and-limitations"/>
    <w:p>
      <w:pPr>
        <w:pStyle w:val="Heading3"/>
      </w:pPr>
      <w:r>
        <w:t xml:space="preserve">3.2. Reliability and Limitations</w:t>
      </w:r>
    </w:p>
    <w:p>
      <w:pPr>
        <w:pStyle w:val="FirstParagraph"/>
      </w:pPr>
      <w:r>
        <w:t xml:space="preserve">The reliability of this PCF analysis is contingent upon the accuracy and completeness of the input data.</w:t>
      </w:r>
    </w:p>
    <w:p>
      <w:pPr>
        <w:numPr>
          <w:ilvl w:val="0"/>
          <w:numId w:val="1013"/>
        </w:numPr>
        <w:pStyle w:val="Compact"/>
      </w:pPr>
      <w:r>
        <w:rPr>
          <w:bCs/>
          <w:b/>
        </w:rPr>
        <w:t xml:space="preserve">Primary Data:</w:t>
      </w:r>
      <w:r>
        <w:t xml:space="preserve"> </w:t>
      </w:r>
      <w:r>
        <w:t xml:space="preserve">The BOM (hdpxjzlq), renewable energy usage (tltrrnhxkz), energy intensity (qlyttsnkgp), product lifespan (rhjsezjxvo), energy in use (wyemuqdimn), recyclability (zyvrxklphu), and circular programs (qzemxexlmr) were provided as specific parameters, which form a strong basis.</w:t>
      </w:r>
    </w:p>
    <w:p>
      <w:pPr>
        <w:numPr>
          <w:ilvl w:val="0"/>
          <w:numId w:val="1013"/>
        </w:numPr>
        <w:pStyle w:val="Compact"/>
      </w:pPr>
      <w:r>
        <w:rPr>
          <w:bCs/>
          <w:b/>
        </w:rPr>
        <w:t xml:space="preserve">Secondary Data:</w:t>
      </w:r>
      <w:r>
        <w:t xml:space="preserve"> </w:t>
      </w:r>
      <w:r>
        <w:t xml:space="preserve">Illustrative emission factors were used for calculations where specific values were not provided in the parameters (e.g., transport, grid electricity). In a real-world scenario, precise, country-specific, and up-to-date emission factors from databases like Ecoinvent or DEFRA would be crucial for higher accuracy.</w:t>
      </w:r>
    </w:p>
    <w:p>
      <w:pPr>
        <w:numPr>
          <w:ilvl w:val="0"/>
          <w:numId w:val="1013"/>
        </w:numPr>
        <w:pStyle w:val="Compact"/>
      </w:pPr>
      <w:r>
        <w:rPr>
          <w:bCs/>
          <w:b/>
        </w:rPr>
        <w:t xml:space="preserve">Assumptions:</w:t>
      </w:r>
      <w:r>
        <w:t xml:space="preserve"> </w:t>
      </w:r>
      <w:r>
        <w:t xml:space="preserve">Certain assumptions were made regarding transport modes, distances, and specific EoL processes to enable calculation given the placeholder nature of some parameters. These assumptions, while reasonable, introduce a degree of uncertainty.</w:t>
      </w:r>
    </w:p>
    <w:p>
      <w:pPr>
        <w:numPr>
          <w:ilvl w:val="0"/>
          <w:numId w:val="1013"/>
        </w:numPr>
        <w:pStyle w:val="Compact"/>
      </w:pPr>
      <w:r>
        <w:rPr>
          <w:bCs/>
          <w:b/>
        </w:rPr>
        <w:t xml:space="preserve">System Boundary:</w:t>
      </w:r>
      <w:r>
        <w:t xml:space="preserve"> </w:t>
      </w:r>
      <w:r>
        <w:t xml:space="preserve">While a \'factory_gate\' system boundary was mentioned, the analysis extended to \'cradle-to-grave\' to provide a comprehensive PCF, as is standard practice for product assessments.</w:t>
      </w:r>
    </w:p>
    <w:bookmarkEnd w:id="40"/>
    <w:bookmarkStart w:id="41" w:name="recommendations-for-emission-reduction"/>
    <w:p>
      <w:pPr>
        <w:pStyle w:val="Heading3"/>
      </w:pPr>
      <w:r>
        <w:t xml:space="preserve">3.3. Recommendations for Emission Reduction</w:t>
      </w:r>
    </w:p>
    <w:p>
      <w:pPr>
        <w:pStyle w:val="FirstParagraph"/>
      </w:pPr>
      <w:r>
        <w:t xml:space="preserve">Based on the identified hotspots, the following recommendations are made for jszkmvkmrj to reduce the PCF of ilyirmsptl:</w:t>
      </w:r>
    </w:p>
    <w:p>
      <w:pPr>
        <w:numPr>
          <w:ilvl w:val="0"/>
          <w:numId w:val="1014"/>
        </w:numPr>
        <w:pStyle w:val="Compact"/>
      </w:pPr>
      <w:r>
        <w:rPr>
          <w:bCs/>
          <w:b/>
        </w:rPr>
        <w:t xml:space="preserve">Prioritize Use Phase Optimization:</w:t>
      </w:r>
    </w:p>
    <w:p>
      <w:pPr>
        <w:numPr>
          <w:ilvl w:val="1"/>
          <w:numId w:val="1015"/>
        </w:numPr>
        <w:pStyle w:val="Compact"/>
      </w:pPr>
      <w:r>
        <w:t xml:space="preserve">Design for Energy Efficiency: Focus on reducing the product\'s energy consumption during its use phase (wyemuqdimn) through more efficient components or power management features.</w:t>
      </w:r>
    </w:p>
    <w:p>
      <w:pPr>
        <w:numPr>
          <w:ilvl w:val="1"/>
          <w:numId w:val="1015"/>
        </w:numPr>
        <w:pStyle w:val="Compact"/>
      </w:pPr>
      <w:r>
        <w:t xml:space="preserve">Increase Product Lifespan: Extend the durability and lifespan (rhjsezjxvo) of the product to reduce the frequency of replacement, thus amortizing the upstream emissions over a longer period.</w:t>
      </w:r>
    </w:p>
    <w:p>
      <w:pPr>
        <w:numPr>
          <w:ilvl w:val="0"/>
          <w:numId w:val="1014"/>
        </w:numPr>
        <w:pStyle w:val="Compact"/>
      </w:pPr>
      <w:r>
        <w:rPr>
          <w:bCs/>
          <w:b/>
        </w:rPr>
        <w:t xml:space="preserve">Material Optimization:</w:t>
      </w:r>
    </w:p>
    <w:p>
      <w:pPr>
        <w:numPr>
          <w:ilvl w:val="1"/>
          <w:numId w:val="1016"/>
        </w:numPr>
        <w:pStyle w:val="Compact"/>
      </w:pPr>
      <w:r>
        <w:t xml:space="preserve">Source Low-Carbon Materials: Investigate alternative materials with lower inherent carbon footprints or higher recycled content, especially for components like the battery and PCB.</w:t>
      </w:r>
    </w:p>
    <w:p>
      <w:pPr>
        <w:numPr>
          <w:ilvl w:val="1"/>
          <w:numId w:val="1016"/>
        </w:numPr>
        <w:pStyle w:val="Compact"/>
      </w:pPr>
      <w:r>
        <w:t xml:space="preserve">Design for Recyclability: Enhance design for easier disassembly and material separation to maximize the actual recycling rate (zyvrxklphu).</w:t>
      </w:r>
    </w:p>
    <w:p>
      <w:pPr>
        <w:numPr>
          <w:ilvl w:val="0"/>
          <w:numId w:val="1014"/>
        </w:numPr>
        <w:pStyle w:val="Compact"/>
      </w:pPr>
      <w:r>
        <w:rPr>
          <w:bCs/>
          <w:b/>
        </w:rPr>
        <w:t xml:space="preserve">Enhance Circular Economy Initiatives:</w:t>
      </w:r>
    </w:p>
    <w:p>
      <w:pPr>
        <w:numPr>
          <w:ilvl w:val="1"/>
          <w:numId w:val="1017"/>
        </w:numPr>
        <w:pStyle w:val="Compact"/>
      </w:pPr>
      <w:r>
        <w:t xml:space="preserve">Strengthen Take-back Programs: Leverage and expand existing circular/take-back programs (qzemxexlmr) to ensure higher collection and effective recycling/refurbishment of end-of-life products.</w:t>
      </w:r>
    </w:p>
    <w:p>
      <w:pPr>
        <w:numPr>
          <w:ilvl w:val="0"/>
          <w:numId w:val="1014"/>
        </w:numPr>
        <w:pStyle w:val="Compact"/>
      </w:pPr>
      <w:r>
        <w:rPr>
          <w:bCs/>
          <w:b/>
        </w:rPr>
        <w:t xml:space="preserve">Renewable Energy Adoption:</w:t>
      </w:r>
    </w:p>
    <w:p>
      <w:pPr>
        <w:numPr>
          <w:ilvl w:val="1"/>
          <w:numId w:val="1018"/>
        </w:numPr>
        <w:pStyle w:val="Compact"/>
      </w:pPr>
      <w:r>
        <w:t xml:space="preserve">Increase Renewable Energy Usage: Further increase the percentage of renewable energy (tltrrnhxkz) used in manufacturing to reduce Scope 2 emissions.</w:t>
      </w:r>
    </w:p>
    <w:p>
      <w:r>
        <w:pict>
          <v:rect style="width:0;height:1.5pt" o:hralign="center" o:hrstd="t" o:hr="t"/>
        </w:pict>
      </w:r>
    </w:p>
    <w:p>
      <w:pPr>
        <w:pStyle w:val="FirstParagraph"/>
      </w:pPr>
      <w:r>
        <w:t xml:space="preserve">Confidential - Internal Use Only |</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ilyirmsptl</dc:title>
  <dc:creator/>
  <dc:description>Detailed Product Carbon Footprint (PCF) analysis report for ilyirmsptl, performed by jupqttwtwq, Senior Sustainability Consultant at jszkmvkmrj, adhering to GHG Protocol standards and 2026 LSR Update.</dc:description>
  <dc:language>en</dc:language>
  <cp:keywords/>
  <dcterms:created xsi:type="dcterms:W3CDTF">2026-07-15T10:25:42Z</dcterms:created>
  <dcterms:modified xsi:type="dcterms:W3CDTF">2026-07-15T10:25:42Z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