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ilxrxpnodq</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ilxrxpnodq</w:t>
      </w:r>
    </w:p>
    <w:p>
      <w:pPr>
        <w:pStyle w:val="BodyText"/>
      </w:pPr>
      <w:r>
        <w:rPr>
          <w:bCs/>
          <w:b/>
        </w:rPr>
        <w:t xml:space="preserve">Company Name:</w:t>
      </w:r>
      <w:r>
        <w:t xml:space="preserve"> </w:t>
      </w:r>
      <w:r>
        <w:t xml:space="preserve">mqrxmwvqfp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dhlkzhdwit</w:t>
      </w:r>
    </w:p>
    <w:p>
      <w:pPr>
        <w:pStyle w:val="BodyText"/>
      </w:pPr>
      <w:r>
        <w:t xml:space="preserve">This report is generated based on available data and industry standards. While every effort has been made to ensure accuracy, it serves as an assessment and should be considered for strategic decision-making and further detailed analysis.</w:t>
      </w:r>
    </w:p>
    <w:bookmarkEnd w:id="20"/>
    <w:bookmarkStart w:id="21" w:name="X0cc738eb36e81dbcf9105e5d147be0d69c8614c"/>
    <w:p>
      <w:pPr>
        <w:pStyle w:val="Heading1"/>
      </w:pPr>
      <w:r>
        <w:t xml:space="preserve">Product Carbon Footprint Analysis for ilxrxpnodq</w:t>
      </w:r>
    </w:p>
    <w:p>
      <w:pPr>
        <w:pStyle w:val="FirstParagraph"/>
      </w:pPr>
      <w:r>
        <w:t xml:space="preserve">Generated Date: June 4,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ilxrxpnodq</w:t>
      </w:r>
      <w:r>
        <w:t xml:space="preserve">, a product manufactured by</w:t>
      </w:r>
      <w:r>
        <w:t xml:space="preserve"> </w:t>
      </w:r>
      <w:r>
        <w:rPr>
          <w:bCs/>
          <w:b/>
        </w:rPr>
        <w:t xml:space="preserve">mqrxmwvqfp</w:t>
      </w:r>
      <w:r>
        <w:t xml:space="preserve">. The analysis was conducted by Senior Sustainability Consultant</w:t>
      </w:r>
      <w:r>
        <w:t xml:space="preserve"> </w:t>
      </w:r>
      <w:r>
        <w:rPr>
          <w:bCs/>
          <w:b/>
        </w:rPr>
        <w:t xml:space="preserve">dhlkzhdwit</w:t>
      </w:r>
      <w:r>
        <w:t xml:space="preserve">, specializing in GHG Protocol. Adhering to the GHG Protocol\'s rigorous standards, this assessment quantifies the greenhouse gas emissions across the product\'s entire lifecycle, from raw material acquisition to end-of-life. The aim is to identify key emission hotspots and provide actionable insights for improving the product\'s environmental performance and aligning with global sustainability objectives. The report incorporates the latest 2026 Land Sector and Removals (LSR) Standard updates and ensures at least 95% coverage for Scope 3 reporting, as per current requirements.</w:t>
      </w:r>
    </w:p>
    <w:p>
      <w:r>
        <w:pict>
          <v:rect style="width:0;height:1.5pt" o:hralign="center" o:hrstd="t" o:hr="t"/>
        </w:pict>
      </w:r>
    </w:p>
    <w:bookmarkEnd w:id="22"/>
    <w:bookmarkStart w:id="28" w:name="define-scope"/>
    <w:p>
      <w:pPr>
        <w:pStyle w:val="Heading2"/>
      </w:pPr>
      <w:r>
        <w:t xml:space="preserve">1. Define Scope</w:t>
      </w:r>
    </w:p>
    <w:bookmarkStart w:id="23" w:name="functional-unit"/>
    <w:p>
      <w:pPr>
        <w:pStyle w:val="Heading3"/>
      </w:pPr>
      <w:r>
        <w:t xml:space="preserve">1.1 Functional Unit</w:t>
      </w:r>
    </w:p>
    <w:p>
      <w:pPr>
        <w:pStyle w:val="FirstParagraph"/>
      </w:pPr>
      <w:r>
        <w:t xml:space="preserve">The functional unit for this Product Carbon Footprint (PCF) analysis is defined as:</w:t>
      </w:r>
      <w:r>
        <w:t xml:space="preserve"> </w:t>
      </w:r>
      <w:r>
        <w:rPr>
          <w:bCs/>
          <w:b/>
        </w:rPr>
        <w:t xml:space="preserve">1.0 unit of ilxrxpnodq</w:t>
      </w:r>
      <w:r>
        <w:t xml:space="preserve">. This unit serves as the basis for quantifying all environmental impacts and ensures comparability across different products or improvement scenarios.</w:t>
      </w:r>
    </w:p>
    <w:bookmarkEnd w:id="23"/>
    <w:bookmarkStart w:id="24" w:name="system-boundary"/>
    <w:p>
      <w:pPr>
        <w:pStyle w:val="Heading3"/>
      </w:pPr>
      <w:r>
        <w:t xml:space="preserve">1.2 System Boundary</w:t>
      </w:r>
    </w:p>
    <w:p>
      <w:pPr>
        <w:pStyle w:val="FirstParagraph"/>
      </w:pPr>
      <w:r>
        <w:t xml:space="preserve">The system boundary for this analysis is defined as</w:t>
      </w:r>
      <w:r>
        <w:t xml:space="preserve"> </w:t>
      </w:r>
      <w:r>
        <w:rPr>
          <w:bCs/>
          <w:b/>
        </w:rPr>
        <w:t xml:space="preserve">"factory_gate"</w:t>
      </w:r>
      <w:r>
        <w:t xml:space="preserve">. This "cradle-to-gate" approach includes all emissions associated with raw material extraction, processing, component manufacturing, and the assembly processes up to the point the finished product leaves the manufacturing facility. It also incorporates inbound logistics. Outbound logistics (distribution to customer), the use phase, and end-of-life are also included in the analysis as per the comprehensive PCF requirement, effectively extending to a "cradle-to-grave" assessment, with "factory_gate" being a key measurement point for the manufacturing stage.</w:t>
      </w:r>
    </w:p>
    <w:bookmarkEnd w:id="24"/>
    <w:bookmarkStart w:id="25" w:name="geographic-scope"/>
    <w:p>
      <w:pPr>
        <w:pStyle w:val="Heading3"/>
      </w:pPr>
      <w:r>
        <w:t xml:space="preserve">1.3 Geographic Scope</w:t>
      </w:r>
    </w:p>
    <w:p>
      <w:pPr>
        <w:pStyle w:val="FirstParagraph"/>
      </w:pPr>
      <w:r>
        <w:t xml:space="preserve">The geographic scope of this assessment covers the product\'s full lifecycle with a</w:t>
      </w:r>
      <w:r>
        <w:t xml:space="preserve"> </w:t>
      </w:r>
      <w:r>
        <w:rPr>
          <w:bCs/>
          <w:b/>
        </w:rPr>
        <w:t xml:space="preserve">Final Production Country: China</w:t>
      </w:r>
      <w:r>
        <w:t xml:space="preserve">. The</w:t>
      </w:r>
      <w:r>
        <w:t xml:space="preserve"> </w:t>
      </w:r>
      <w:r>
        <w:rPr>
          <w:bCs/>
          <w:b/>
        </w:rPr>
        <w:t xml:space="preserve">Supply Chain Focus: Europe Focused</w:t>
      </w:r>
      <w:r>
        <w:t xml:space="preserve">, meaning material sourcing and intermediate production steps are primarily considered within Europe, influencing transport distances and associated emission factors.</w:t>
      </w:r>
    </w:p>
    <w:bookmarkEnd w:id="25"/>
    <w:bookmarkStart w:id="26" w:name="allocation"/>
    <w:p>
      <w:pPr>
        <w:pStyle w:val="Heading3"/>
      </w:pPr>
      <w:r>
        <w:t xml:space="preserve">1.4 Allocation</w:t>
      </w:r>
    </w:p>
    <w:p>
      <w:pPr>
        <w:pStyle w:val="FirstParagraph"/>
      </w:pPr>
      <w:r>
        <w:t xml:space="preserve">For this single-product PCF, allocation primarily addresses co-products or by-products if any. In the absence of specific co-product details, emissions are entirely attributed to the functional unit of</w:t>
      </w:r>
      <w:r>
        <w:t xml:space="preserve"> </w:t>
      </w:r>
      <w:r>
        <w:rPr>
          <w:bCs/>
          <w:b/>
        </w:rPr>
        <w:t xml:space="preserve">ilxrxpnodq</w:t>
      </w:r>
      <w:r>
        <w:t xml:space="preserve">. Should co-production occur at any stage, allocation would be performed based on scientifically justifiable methods such as mass, energy, or economic value, in accordance with GHG Protocol guidelines.</w:t>
      </w:r>
    </w:p>
    <w:bookmarkEnd w:id="26"/>
    <w:bookmarkStart w:id="27" w:name="accounting-standard"/>
    <w:p>
      <w:pPr>
        <w:pStyle w:val="Heading3"/>
      </w:pPr>
      <w:r>
        <w:t xml:space="preserve">1.5 Accounting Standard</w:t>
      </w:r>
    </w:p>
    <w:p>
      <w:pPr>
        <w:pStyle w:val="FirstParagraph"/>
      </w:pPr>
      <w:r>
        <w:t xml:space="preserve">This Product Carbon Footprint analysis strictly adheres to the</w:t>
      </w:r>
      <w:r>
        <w:t xml:space="preserve"> </w:t>
      </w:r>
      <w:r>
        <w:rPr>
          <w:bCs/>
          <w:b/>
        </w:rPr>
        <w:t xml:space="preserve">GHG Protocol</w:t>
      </w:r>
      <w:r>
        <w:t xml:space="preserve"> </w:t>
      </w:r>
      <w:r>
        <w:t xml:space="preserve">standards. Emissions are categorized into Scope 1 (direct emissions from owned or controlled sources), Scope 2 (indirect emissions from the generation of purchased energy), and Scope 3 (all other indirect emissions that occur in a company’s value chain). Special attention is given to the 2026 Land Sector and Removals (LSR) Standard for land use and carbon removals, and ensuring at least 95% coverage for Scope 3 reporting, as per the latest requirements.</w:t>
      </w:r>
    </w:p>
    <w:p>
      <w:r>
        <w:pict>
          <v:rect style="width:0;height:1.5pt" o:hralign="center" o:hrstd="t" o:hr="t"/>
        </w:pict>
      </w:r>
    </w:p>
    <w:bookmarkEnd w:id="27"/>
    <w:bookmarkEnd w:id="28"/>
    <w:bookmarkStart w:id="29" w:name="map-lifecycle-lci-inventory-stages"/>
    <w:p>
      <w:pPr>
        <w:pStyle w:val="Heading2"/>
      </w:pPr>
      <w:r>
        <w:t xml:space="preserve">2. Map Lifecycle (LCI Inventory Stages)</w:t>
      </w:r>
    </w:p>
    <w:p>
      <w:pPr>
        <w:pStyle w:val="FirstParagraph"/>
      </w:pPr>
      <w:r>
        <w:t xml:space="preserve">The lifecycle of</w:t>
      </w:r>
      <w:r>
        <w:t xml:space="preserve"> </w:t>
      </w:r>
      <w:r>
        <w:rPr>
          <w:bCs/>
          <w:b/>
        </w:rPr>
        <w:t xml:space="preserve">ilxrxpnodq</w:t>
      </w:r>
      <w:r>
        <w:t xml:space="preserve"> </w:t>
      </w:r>
      <w:r>
        <w:t xml:space="preserve">is mapped through the following stages, illustrating the flow of materials and energy:</w:t>
      </w:r>
    </w:p>
    <w:p>
      <w:pPr>
        <w:numPr>
          <w:ilvl w:val="0"/>
          <w:numId w:val="1001"/>
        </w:numPr>
        <w:pStyle w:val="Compact"/>
      </w:pPr>
      <w:r>
        <w:rPr>
          <w:bCs/>
          <w:b/>
        </w:rPr>
        <w:t xml:space="preserve">Raw Material Acquisition &amp; Pre-processing:</w:t>
      </w:r>
      <w:r>
        <w:t xml:space="preserve"> </w:t>
      </w:r>
      <w:r>
        <w:t xml:space="preserve">Extraction of raw materials and their initial processing into usable forms (e.g., metal smelting, plastic polymerization).</w:t>
      </w:r>
    </w:p>
    <w:p>
      <w:pPr>
        <w:numPr>
          <w:ilvl w:val="0"/>
          <w:numId w:val="1001"/>
        </w:numPr>
        <w:pStyle w:val="Compact"/>
      </w:pPr>
      <w:r>
        <w:rPr>
          <w:bCs/>
          <w:b/>
        </w:rPr>
        <w:t xml:space="preserve">Component Manufacturing:</w:t>
      </w:r>
      <w:r>
        <w:t xml:space="preserve"> </w:t>
      </w:r>
      <w:r>
        <w:t xml:space="preserve">Fabrication of individual components from processed raw materials.</w:t>
      </w:r>
    </w:p>
    <w:p>
      <w:pPr>
        <w:numPr>
          <w:ilvl w:val="0"/>
          <w:numId w:val="1001"/>
        </w:numPr>
        <w:pStyle w:val="Compact"/>
      </w:pPr>
      <w:r>
        <w:rPr>
          <w:bCs/>
          <w:b/>
        </w:rPr>
        <w:t xml:space="preserve">Product Assembly / Manufacturing:</w:t>
      </w:r>
      <w:r>
        <w:t xml:space="preserve"> </w:t>
      </w:r>
      <w:r>
        <w:t xml:space="preserve">The assembly of components into the final</w:t>
      </w:r>
      <w:r>
        <w:t xml:space="preserve"> </w:t>
      </w:r>
      <w:r>
        <w:rPr>
          <w:bCs/>
          <w:b/>
        </w:rPr>
        <w:t xml:space="preserve">ilxrxpnodq</w:t>
      </w:r>
      <w:r>
        <w:t xml:space="preserve"> </w:t>
      </w:r>
      <w:r>
        <w:t xml:space="preserve">product at the factory in China.</w:t>
      </w:r>
    </w:p>
    <w:p>
      <w:pPr>
        <w:numPr>
          <w:ilvl w:val="0"/>
          <w:numId w:val="1001"/>
        </w:numPr>
        <w:pStyle w:val="Compact"/>
      </w:pPr>
      <w:r>
        <w:rPr>
          <w:bCs/>
          <w:b/>
        </w:rPr>
        <w:t xml:space="preserve">Transport &amp; Logistics:</w:t>
      </w:r>
      <w:r>
        <w:t xml:space="preserve"> </w:t>
      </w:r>
      <w:r>
        <w:t xml:space="preserve">Inbound logistics of raw materials and components (Europe focused), and outbound logistics to distribution channels (e.g., Select Mode, Delivery Type).</w:t>
      </w:r>
    </w:p>
    <w:p>
      <w:pPr>
        <w:numPr>
          <w:ilvl w:val="0"/>
          <w:numId w:val="1001"/>
        </w:numPr>
        <w:pStyle w:val="Compact"/>
      </w:pPr>
      <w:r>
        <w:rPr>
          <w:bCs/>
          <w:b/>
        </w:rPr>
        <w:t xml:space="preserve">Use Phase:</w:t>
      </w:r>
      <w:r>
        <w:t xml:space="preserve"> </w:t>
      </w:r>
      <w:r>
        <w:t xml:space="preserve">The period during which the product is used by the consumer, including energy consumption (hjjwdgntqp) over its lifespan (mvdvxpdqsw).</w:t>
      </w:r>
    </w:p>
    <w:p>
      <w:pPr>
        <w:numPr>
          <w:ilvl w:val="0"/>
          <w:numId w:val="1001"/>
        </w:numPr>
        <w:pStyle w:val="Compact"/>
      </w:pPr>
      <w:r>
        <w:rPr>
          <w:bCs/>
          <w:b/>
        </w:rPr>
        <w:t xml:space="preserve">End-of-Life (EoL):</w:t>
      </w:r>
      <w:r>
        <w:t xml:space="preserve"> </w:t>
      </w:r>
      <w:r>
        <w:t xml:space="preserve">Disposal, recycling (sfkhnpivku), or recovery processes after the product\'s useful life, including circular economy initiatives (nsplxfxxdt).</w:t>
      </w:r>
    </w:p>
    <w:p>
      <w:r>
        <w:pict>
          <v:rect style="width:0;height:1.5pt" o:hralign="center" o:hrstd="t" o:hr="t"/>
        </w:pict>
      </w:r>
    </w:p>
    <w:bookmarkEnd w:id="29"/>
    <w:bookmarkStart w:id="35" w:name="Xb57f50a89bf1f3f1837369be949d9d60d6c1272"/>
    <w:p>
      <w:pPr>
        <w:pStyle w:val="Heading2"/>
      </w:pPr>
      <w:r>
        <w:t xml:space="preserve">3. Collect Data (Primary/Secondary Data Points)</w:t>
      </w:r>
    </w:p>
    <w:p>
      <w:pPr>
        <w:pStyle w:val="FirstParagraph"/>
      </w:pPr>
      <w:r>
        <w:t xml:space="preserve">Data collection involved gathering specific primary data where available and supplementing with robust secondary data (industry-average emission factors).</w:t>
      </w:r>
    </w:p>
    <w:bookmarkStart w:id="30" w:name="X2f386cb1cd349b9a5e30397c0401396a24e0896"/>
    <w:p>
      <w:pPr>
        <w:pStyle w:val="Heading3"/>
      </w:pPr>
      <w:r>
        <w:t xml:space="preserve">3.1 Detailed Bill of Materials (BOM) for ilxrxpnodq</w:t>
      </w:r>
    </w:p>
    <w:p>
      <w:pPr>
        <w:pStyle w:val="FirstParagraph"/>
      </w:pPr>
      <w:r>
        <w:t xml:space="preserve">The following table presents illustrative Detailed Bill of Materials (BOM) data, adhering to the specified format "ID, Description, Category, Process, Qty, Unit, Emission Factor, Total Carbon" that would typically be provided by the parameter</w:t>
      </w:r>
      <w:r>
        <w:t xml:space="preserve"> </w:t>
      </w:r>
      <w:r>
        <w:rPr>
          <w:rStyle w:val="VerbatimChar"/>
        </w:rPr>
        <w:t xml:space="preserve">tnoppnif</w:t>
      </w:r>
      <w:r>
        <w:t xml:space="preserve">. These values are used for high-accuracy material impact calculation.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2.2</w:t>
            </w:r>
          </w:p>
        </w:tc>
        <w:tc>
          <w:tcPr/>
          <w:p>
            <w:pPr>
              <w:pStyle w:val="Compact"/>
              <w:jc w:val="left"/>
            </w:pPr>
            <w:r>
              <w:t xml:space="preserve">5.50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1.8</w:t>
            </w:r>
          </w:p>
        </w:tc>
        <w:tc>
          <w:tcPr/>
          <w:p>
            <w:pPr>
              <w:pStyle w:val="Compact"/>
              <w:jc w:val="left"/>
            </w:pPr>
            <w:r>
              <w:t xml:space="preserve">1.44</w:t>
            </w:r>
          </w:p>
        </w:tc>
      </w:tr>
      <w:tr>
        <w:tc>
          <w:tcPr/>
          <w:p>
            <w:pPr>
              <w:pStyle w:val="Compact"/>
              <w:jc w:val="left"/>
            </w:pPr>
            <w:r>
              <w:t xml:space="preserve">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4</w:t>
            </w:r>
          </w:p>
        </w:tc>
        <w:tc>
          <w:tcPr/>
          <w:p>
            <w:pPr>
              <w:pStyle w:val="Compact"/>
              <w:jc w:val="left"/>
            </w:pPr>
            <w:r>
              <w:t xml:space="preserve">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w:t>
            </w:r>
          </w:p>
        </w:tc>
        <w:tc>
          <w:tcPr/>
          <w:p>
            <w:pPr>
              <w:pStyle w:val="Compact"/>
              <w:jc w:val="left"/>
            </w:pPr>
            <w:r>
              <w:t xml:space="preserve">5.00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8.0</w:t>
            </w:r>
          </w:p>
        </w:tc>
        <w:tc>
          <w:tcPr/>
          <w:p>
            <w:pPr>
              <w:pStyle w:val="Compact"/>
              <w:jc w:val="left"/>
            </w:pPr>
            <w:r>
              <w:t xml:space="preserve">2.40</w:t>
            </w:r>
          </w:p>
        </w:tc>
      </w:tr>
      <w:tr>
        <w:tc>
          <w:tcPr/>
          <w:p>
            <w:pPr>
              <w:pStyle w:val="Compact"/>
              <w:jc w:val="left"/>
            </w:pPr>
            <w:r>
              <w:t xml:space="preserve">6</w:t>
            </w:r>
          </w:p>
        </w:tc>
        <w:tc>
          <w:tcPr/>
          <w:p>
            <w:pPr>
              <w:pStyle w:val="Compact"/>
              <w:jc w:val="left"/>
            </w:pPr>
            <w:r>
              <w:t xml:space="preserve">Packaging Carton</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r>
        <w:tc>
          <w:tcPr>
            <w:gridSpan w:val="7"/>
          </w:tcPr>
          <w:p>
            <w:pPr>
              <w:pStyle w:val="Compact"/>
              <w:jc w:val="right"/>
            </w:pPr>
            <w:r>
              <w:t xml:space="preserve">Total Material Carbon Impact (kgCO2e):</w:t>
            </w:r>
          </w:p>
        </w:tc>
        <w:tc>
          <w:tcPr/>
          <w:p>
            <w:pPr>
              <w:pStyle w:val="Compact"/>
              <w:jc w:val="left"/>
            </w:pPr>
            <w:r>
              <w:rPr>
                <w:bCs/>
                <w:b/>
              </w:rPr>
              <w:t xml:space="preserve">15.04</w:t>
            </w:r>
          </w:p>
        </w:tc>
      </w:tr>
    </w:tbl>
    <w:p>
      <w:pPr>
        <w:pStyle w:val="BodyText"/>
      </w:pPr>
      <w:r>
        <w:t xml:space="preserve">Note: The BOM data presented above is illustrative, demonstrating the format specified by the</w:t>
      </w:r>
      <w:r>
        <w:t xml:space="preserve"> </w:t>
      </w:r>
      <w:r>
        <w:rPr>
          <w:rStyle w:val="VerbatimChar"/>
        </w:rPr>
        <w:t xml:space="preserve">tnoppnif</w:t>
      </w:r>
      <w:r>
        <w:t xml:space="preserve"> </w:t>
      </w:r>
      <w:r>
        <w:t xml:space="preserve">parameter. Actual calculations would utilize specific primary data for each component.</w:t>
      </w:r>
    </w:p>
    <w:bookmarkEnd w:id="30"/>
    <w:bookmarkStart w:id="31" w:name="production-phase-data-manufacturing"/>
    <w:p>
      <w:pPr>
        <w:pStyle w:val="Heading3"/>
      </w:pPr>
      <w:r>
        <w:t xml:space="preserve">3.2 Production Phase Data (Manufacturing)</w:t>
      </w:r>
    </w:p>
    <w:p>
      <w:pPr>
        <w:pStyle w:val="FirstParagraph"/>
      </w:pPr>
      <w:r>
        <w:t xml:space="preserve">The following data points are used for the manufacturing phase, with illustrative values representing the actual parameters.</w:t>
      </w:r>
    </w:p>
    <w:p>
      <w:pPr>
        <w:numPr>
          <w:ilvl w:val="0"/>
          <w:numId w:val="1002"/>
        </w:numPr>
        <w:pStyle w:val="Compact"/>
      </w:pPr>
      <w:r>
        <w:rPr>
          <w:bCs/>
          <w:b/>
        </w:rPr>
        <w:t xml:space="preserve">Renewable Energy Usage:</w:t>
      </w:r>
      <w:r>
        <w:t xml:space="preserve"> </w:t>
      </w:r>
      <w:r>
        <w:t xml:space="preserve">eqrrvjlgvu (Illustrative: 70%)</w:t>
      </w:r>
    </w:p>
    <w:p>
      <w:pPr>
        <w:numPr>
          <w:ilvl w:val="0"/>
          <w:numId w:val="1002"/>
        </w:numPr>
        <w:pStyle w:val="Compact"/>
      </w:pPr>
      <w:r>
        <w:rPr>
          <w:bCs/>
          <w:b/>
        </w:rPr>
        <w:t xml:space="preserve">Energy Intensity (kWh/unit):</w:t>
      </w:r>
      <w:r>
        <w:t xml:space="preserve"> </w:t>
      </w:r>
      <w:r>
        <w:t xml:space="preserve">wvwmquglnl (Illustrative: 15 kWh/unit)</w:t>
      </w:r>
    </w:p>
    <w:p>
      <w:pPr>
        <w:numPr>
          <w:ilvl w:val="0"/>
          <w:numId w:val="1002"/>
        </w:numPr>
        <w:pStyle w:val="Compact"/>
      </w:pPr>
      <w:r>
        <w:rPr>
          <w:bCs/>
          <w:b/>
        </w:rPr>
        <w:t xml:space="preserve">Final Production Country:</w:t>
      </w:r>
      <w:r>
        <w:t xml:space="preserve"> </w:t>
      </w:r>
      <w:r>
        <w:t xml:space="preserve">China (This influences the grid electricity emission factor for non-renewable energy).</w:t>
      </w:r>
    </w:p>
    <w:bookmarkEnd w:id="31"/>
    <w:bookmarkStart w:id="32" w:name="transport-logistics-data"/>
    <w:p>
      <w:pPr>
        <w:pStyle w:val="Heading3"/>
      </w:pPr>
      <w:r>
        <w:t xml:space="preserve">3.3 Transport &amp; Logistics Data</w:t>
      </w:r>
    </w:p>
    <w:p>
      <w:pPr>
        <w:pStyle w:val="FirstParagraph"/>
      </w:pPr>
      <w:r>
        <w:t xml:space="preserve">Specific logistics data is incorporated as follows, with illustrative values representing the actual parameters.</w:t>
      </w:r>
    </w:p>
    <w:p>
      <w:pPr>
        <w:numPr>
          <w:ilvl w:val="0"/>
          <w:numId w:val="1003"/>
        </w:numPr>
        <w:pStyle w:val="Compact"/>
      </w:pPr>
      <w:r>
        <w:rPr>
          <w:bCs/>
          <w:b/>
        </w:rPr>
        <w:t xml:space="preserve">Primary Transport Mode:</w:t>
      </w:r>
      <w:r>
        <w:t xml:space="preserve"> </w:t>
      </w:r>
      <w:r>
        <w:t xml:space="preserve">Select Mode (Illustrative: Road Freight)</w:t>
      </w:r>
    </w:p>
    <w:p>
      <w:pPr>
        <w:numPr>
          <w:ilvl w:val="0"/>
          <w:numId w:val="1003"/>
        </w:numPr>
        <w:pStyle w:val="Compact"/>
      </w:pPr>
      <w:r>
        <w:rPr>
          <w:bCs/>
          <w:b/>
        </w:rPr>
        <w:t xml:space="preserve">Average Transport Distance:</w:t>
      </w:r>
      <w:r>
        <w:t xml:space="preserve"> </w:t>
      </w:r>
      <w:r>
        <w:t xml:space="preserve">vnkjlvkerw (Illustrative: 500 km)</w:t>
      </w:r>
    </w:p>
    <w:p>
      <w:pPr>
        <w:numPr>
          <w:ilvl w:val="0"/>
          <w:numId w:val="1003"/>
        </w:numPr>
        <w:pStyle w:val="Compact"/>
      </w:pPr>
      <w:r>
        <w:rPr>
          <w:bCs/>
          <w:b/>
        </w:rPr>
        <w:t xml:space="preserve">Last-Mile Delivery Channel:</w:t>
      </w:r>
      <w:r>
        <w:t xml:space="preserve"> </w:t>
      </w:r>
      <w:r>
        <w:t xml:space="preserve">Delivery Type (Illustrative: Parcel Service)</w:t>
      </w:r>
    </w:p>
    <w:p>
      <w:pPr>
        <w:numPr>
          <w:ilvl w:val="0"/>
          <w:numId w:val="1003"/>
        </w:numPr>
        <w:pStyle w:val="Compact"/>
      </w:pPr>
      <w:r>
        <w:rPr>
          <w:bCs/>
          <w:b/>
        </w:rPr>
        <w:t xml:space="preserve">Supply Chain Focus:</w:t>
      </w:r>
      <w:r>
        <w:t xml:space="preserve"> </w:t>
      </w:r>
      <w:r>
        <w:t xml:space="preserve">Europe Focused (This suggests the origin of materials/components for inbound logistics).</w:t>
      </w:r>
    </w:p>
    <w:bookmarkEnd w:id="32"/>
    <w:bookmarkStart w:id="33" w:name="use-phase-data"/>
    <w:p>
      <w:pPr>
        <w:pStyle w:val="Heading3"/>
      </w:pPr>
      <w:r>
        <w:t xml:space="preserve">3.4 Use Phase Data</w:t>
      </w:r>
    </w:p>
    <w:p>
      <w:pPr>
        <w:pStyle w:val="FirstParagraph"/>
      </w:pPr>
      <w:r>
        <w:t xml:space="preserve">The durability and consumption data for the use phase are utilized, with illustrative values representing the actual parameters.</w:t>
      </w:r>
    </w:p>
    <w:p>
      <w:pPr>
        <w:numPr>
          <w:ilvl w:val="0"/>
          <w:numId w:val="1004"/>
        </w:numPr>
        <w:pStyle w:val="Compact"/>
      </w:pPr>
      <w:r>
        <w:rPr>
          <w:bCs/>
          <w:b/>
        </w:rPr>
        <w:t xml:space="preserve">Product Lifespan:</w:t>
      </w:r>
      <w:r>
        <w:t xml:space="preserve"> </w:t>
      </w:r>
      <w:r>
        <w:t xml:space="preserve">mvdvxpdqsw (Illustrative: 5 years)</w:t>
      </w:r>
    </w:p>
    <w:p>
      <w:pPr>
        <w:numPr>
          <w:ilvl w:val="0"/>
          <w:numId w:val="1004"/>
        </w:numPr>
        <w:pStyle w:val="Compact"/>
      </w:pPr>
      <w:r>
        <w:rPr>
          <w:bCs/>
          <w:b/>
        </w:rPr>
        <w:t xml:space="preserve">Energy Consumption in Use:</w:t>
      </w:r>
      <w:r>
        <w:t xml:space="preserve"> </w:t>
      </w:r>
      <w:r>
        <w:t xml:space="preserve">hjjwdgntqp (Illustrative: 10 kWh/year)</w:t>
      </w:r>
    </w:p>
    <w:bookmarkEnd w:id="33"/>
    <w:bookmarkStart w:id="34" w:name="end-of-life-eol-data"/>
    <w:p>
      <w:pPr>
        <w:pStyle w:val="Heading3"/>
      </w:pPr>
      <w:r>
        <w:t xml:space="preserve">3.5 End-of-Life (EoL) Data</w:t>
      </w:r>
    </w:p>
    <w:p>
      <w:pPr>
        <w:pStyle w:val="FirstParagraph"/>
      </w:pPr>
      <w:r>
        <w:t xml:space="preserve">End-of-Life scenarios are incorporated to reflect circular economy impacts, with illustrative values representing the actual parameters.</w:t>
      </w:r>
    </w:p>
    <w:p>
      <w:pPr>
        <w:numPr>
          <w:ilvl w:val="0"/>
          <w:numId w:val="1005"/>
        </w:numPr>
        <w:pStyle w:val="Compact"/>
      </w:pPr>
      <w:r>
        <w:rPr>
          <w:bCs/>
          <w:b/>
        </w:rPr>
        <w:t xml:space="preserve">Recyclability Percentage:</w:t>
      </w:r>
      <w:r>
        <w:t xml:space="preserve"> </w:t>
      </w:r>
      <w:r>
        <w:t xml:space="preserve">sfkhnpivku (Illustrative: 85%)</w:t>
      </w:r>
    </w:p>
    <w:p>
      <w:pPr>
        <w:numPr>
          <w:ilvl w:val="0"/>
          <w:numId w:val="1005"/>
        </w:numPr>
        <w:pStyle w:val="Compact"/>
      </w:pPr>
      <w:r>
        <w:rPr>
          <w:bCs/>
          <w:b/>
        </w:rPr>
        <w:t xml:space="preserve">Circular/Take-back Programs:</w:t>
      </w:r>
      <w:r>
        <w:t xml:space="preserve"> </w:t>
      </w:r>
      <w:r>
        <w:t xml:space="preserve">nsplxfxxdt (Illustrative: Product take-back scheme with material recovery)</w:t>
      </w:r>
    </w:p>
    <w:p>
      <w:r>
        <w:pict>
          <v:rect style="width:0;height:1.5pt" o:hralign="center" o:hrstd="t" o:hr="t"/>
        </w:pict>
      </w:r>
    </w:p>
    <w:bookmarkEnd w:id="34"/>
    <w:bookmarkEnd w:id="35"/>
    <w:bookmarkStart w:id="45" w:name="calculate-emissions"/>
    <w:p>
      <w:pPr>
        <w:pStyle w:val="Heading2"/>
      </w:pPr>
      <w:r>
        <w:t xml:space="preserve">4. Calculate Emissions</w:t>
      </w:r>
    </w:p>
    <w:p>
      <w:pPr>
        <w:pStyle w:val="FirstParagraph"/>
      </w:pPr>
      <w:r>
        <w:t xml:space="preserve">Emissions are calculated for each lifecycle stage by multiplying activity data (e.g., quantity of material, energy consumed, distance traveled) by appropriate emission factors. For this report, specific emission factors are provided within the illustrative BOM, and plausible average factors are used for other stages based on the illustrative parameters. Where not explicitly provided, these are derived from industry-standard databases (e.g., Ecoinvent, DEFRA) as representative values.</w:t>
      </w:r>
    </w:p>
    <w:bookmarkStart w:id="36" w:name="scope-categorization-ghg-protocol"/>
    <w:p>
      <w:pPr>
        <w:pStyle w:val="Heading3"/>
      </w:pPr>
      <w:r>
        <w:t xml:space="preserve">4.1 Scope Categorization (GHG Protocol)</w:t>
      </w:r>
    </w:p>
    <w:p>
      <w:pPr>
        <w:numPr>
          <w:ilvl w:val="0"/>
          <w:numId w:val="1006"/>
        </w:numPr>
        <w:pStyle w:val="Compact"/>
      </w:pPr>
      <w:r>
        <w:rPr>
          <w:bCs/>
          <w:b/>
        </w:rPr>
        <w:t xml:space="preserve">Scope 1 Emissions (Direct Emissions):</w:t>
      </w:r>
      <w:r>
        <w:t xml:space="preserve"> </w:t>
      </w:r>
      <w:r>
        <w:t xml:space="preserve">Direct emissions from owned or controlled sources. For this "factory_gate" system boundary and product lifecycle, this would include any direct fuel combustion on-site during manufacturing (e.g., for heating or industrial processes) not covered by purchased energy. For illustrative purposes, these are assumed negligible in the absence of specific data.</w:t>
      </w:r>
    </w:p>
    <w:p>
      <w:pPr>
        <w:numPr>
          <w:ilvl w:val="0"/>
          <w:numId w:val="1006"/>
        </w:numPr>
        <w:pStyle w:val="Compact"/>
      </w:pPr>
      <w:r>
        <w:rPr>
          <w:bCs/>
          <w:b/>
        </w:rPr>
        <w:t xml:space="preserve">Scope 2 Emissions (Purchased Energy):</w:t>
      </w:r>
      <w:r>
        <w:t xml:space="preserve"> </w:t>
      </w:r>
      <w:r>
        <w:t xml:space="preserve">Indirect emissions from the generation of purchased electricity, heat, or steam consumed by mqrxmwvqfp for manufacturing</w:t>
      </w:r>
      <w:r>
        <w:t xml:space="preserve"> </w:t>
      </w:r>
      <w:r>
        <w:rPr>
          <w:bCs/>
          <w:b/>
        </w:rPr>
        <w:t xml:space="preserve">ilxrxpnodq</w:t>
      </w:r>
      <w:r>
        <w:t xml:space="preserve">. This is directly tied to the Energy Intensity and Renewable Energy Usage.</w:t>
      </w:r>
    </w:p>
    <w:p>
      <w:pPr>
        <w:numPr>
          <w:ilvl w:val="0"/>
          <w:numId w:val="1006"/>
        </w:numPr>
      </w:pPr>
      <w:r>
        <w:rPr>
          <w:bCs/>
          <w:b/>
        </w:rPr>
        <w:t xml:space="preserve">Scope 3 Emissions (Value Chain Emissions):</w:t>
      </w:r>
      <w:r>
        <w:t xml:space="preserve"> </w:t>
      </w:r>
      <w:r>
        <w:t xml:space="preserve">All other indirect emissions. This constitutes the vast majority of the PCF for</w:t>
      </w:r>
      <w:r>
        <w:t xml:space="preserve"> </w:t>
      </w:r>
      <w:r>
        <w:rPr>
          <w:bCs/>
          <w:b/>
        </w:rPr>
        <w:t xml:space="preserve">ilxrxpnodq</w:t>
      </w:r>
      <w:r>
        <w:t xml:space="preserve"> </w:t>
      </w:r>
      <w:r>
        <w:t xml:space="preserve">and includes:</w:t>
      </w:r>
    </w:p>
    <w:p>
      <w:pPr>
        <w:numPr>
          <w:ilvl w:val="1"/>
          <w:numId w:val="1007"/>
        </w:numPr>
        <w:pStyle w:val="Compact"/>
      </w:pPr>
      <w:r>
        <w:t xml:space="preserve">Upstream emissions from raw material acquisition, processing, and component manufacturing (covered by BOM data).</w:t>
      </w:r>
    </w:p>
    <w:p>
      <w:pPr>
        <w:numPr>
          <w:ilvl w:val="1"/>
          <w:numId w:val="1007"/>
        </w:numPr>
        <w:pStyle w:val="Compact"/>
      </w:pPr>
      <w:r>
        <w:t xml:space="preserve">Upstream transportation and distribution (inbound logistics).</w:t>
      </w:r>
    </w:p>
    <w:p>
      <w:pPr>
        <w:numPr>
          <w:ilvl w:val="1"/>
          <w:numId w:val="1007"/>
        </w:numPr>
        <w:pStyle w:val="Compact"/>
      </w:pPr>
      <w:r>
        <w:t xml:space="preserve">Downstream transportation and distribution (outbound logistics and last-mile delivery).</w:t>
      </w:r>
    </w:p>
    <w:p>
      <w:pPr>
        <w:numPr>
          <w:ilvl w:val="1"/>
          <w:numId w:val="1007"/>
        </w:numPr>
        <w:pStyle w:val="Compact"/>
      </w:pPr>
      <w:r>
        <w:t xml:space="preserve">Emissions from the use phase of the product.</w:t>
      </w:r>
    </w:p>
    <w:p>
      <w:pPr>
        <w:numPr>
          <w:ilvl w:val="1"/>
          <w:numId w:val="1007"/>
        </w:numPr>
        <w:pStyle w:val="Compact"/>
      </w:pPr>
      <w:r>
        <w:t xml:space="preserve">Emissions from the end-of-life treatment of the product.</w:t>
      </w:r>
    </w:p>
    <w:p>
      <w:pPr>
        <w:numPr>
          <w:ilvl w:val="0"/>
          <w:numId w:val="1000"/>
        </w:numPr>
      </w:pPr>
      <w:r>
        <w:rPr>
          <w:bCs/>
          <w:b/>
        </w:rPr>
        <w:t xml:space="preserve">Scope 3 Compliance:</w:t>
      </w:r>
      <w:r>
        <w:t xml:space="preserve"> </w:t>
      </w:r>
      <w:r>
        <w:t xml:space="preserve">We ensure at least 95% coverage for Scope 3 reporting, as per 2026 requirements, by including all material and energy flows identified in the lifecycle mapping.</w:t>
      </w:r>
    </w:p>
    <w:bookmarkEnd w:id="36"/>
    <w:bookmarkStart w:id="37" w:name="X7ef73fe3d39a8d84fae696b42f814aa0d860ec0"/>
    <w:p>
      <w:pPr>
        <w:pStyle w:val="Heading3"/>
      </w:pPr>
      <w:r>
        <w:t xml:space="preserve">4.2 2026 LSR Update (Land Sector and Removals Standard)</w:t>
      </w:r>
    </w:p>
    <w:p>
      <w:pPr>
        <w:pStyle w:val="FirstParagraph"/>
      </w:pPr>
      <w:r>
        <w:t xml:space="preserve">In accordance with the 2026 Land Sector and Removals (LSR) Standard, potential land-use change impacts and carbon removals are considered. For</w:t>
      </w:r>
      <w:r>
        <w:t xml:space="preserve"> </w:t>
      </w:r>
      <w:r>
        <w:rPr>
          <w:bCs/>
          <w:b/>
        </w:rPr>
        <w:t xml:space="preserve">ilxrxpnodq</w:t>
      </w:r>
      <w:r>
        <w:t xml:space="preserve">, this would primarily involve assessing the land footprint of bio-based materials (if any) and the potential for carbon sequestration in materials or through end-of-life processes. While specific data for LSR is not detailed in the provided parameters, the framework for its inclusion is acknowledged, and it would be integrated into the comprehensive carbon accounting, particularly for materials from agricultural or forestry sources.</w:t>
      </w:r>
    </w:p>
    <w:bookmarkEnd w:id="37"/>
    <w:bookmarkStart w:id="43" w:name="emissions-calculation-breakdown"/>
    <w:p>
      <w:pPr>
        <w:pStyle w:val="Heading3"/>
      </w:pPr>
      <w:r>
        <w:t xml:space="preserve">4.3 Emissions Calculation Breakdown</w:t>
      </w:r>
    </w:p>
    <w:bookmarkStart w:id="38" w:name="X3635aa66c9e554f88c493fbe32dbabbdc9425d2"/>
    <w:p>
      <w:pPr>
        <w:pStyle w:val="Heading4"/>
      </w:pPr>
      <w:r>
        <w:t xml:space="preserve">4.3.1 Materials Acquisition &amp; Pre-processing (Scope 3 Upstream)</w:t>
      </w:r>
    </w:p>
    <w:p>
      <w:pPr>
        <w:pStyle w:val="FirstParagraph"/>
      </w:pPr>
      <w:r>
        <w:t xml:space="preserve">Based on the illustrative BOM data, the total carbon impact from materials acquisition and pre-processing is:</w:t>
      </w:r>
    </w:p>
    <w:p>
      <w:pPr>
        <w:pStyle w:val="BodyText"/>
      </w:pPr>
      <w:r>
        <w:rPr>
          <w:bCs/>
          <w:b/>
        </w:rPr>
        <w:t xml:space="preserve">Total Material Carbon Impact: 15.04 kgCO2e</w:t>
      </w:r>
    </w:p>
    <w:bookmarkEnd w:id="38"/>
    <w:bookmarkStart w:id="39" w:name="manufacturing-factory-operations"/>
    <w:p>
      <w:pPr>
        <w:pStyle w:val="Heading4"/>
      </w:pPr>
      <w:r>
        <w:t xml:space="preserve">4.3.2 Manufacturing (Factory Operations)</w:t>
      </w:r>
    </w:p>
    <w:p>
      <w:pPr>
        <w:pStyle w:val="FirstParagraph"/>
      </w:pPr>
      <w:r>
        <w:t xml:space="preserve">This stage primarily accounts for purchased electricity (Scope 2). Assuming an illustrative average grid emission factor for China of 0.6 kgCO2e/kWh and incorporating the provided renewable energy usage.</w:t>
      </w:r>
    </w:p>
    <w:p>
      <w:pPr>
        <w:numPr>
          <w:ilvl w:val="0"/>
          <w:numId w:val="1008"/>
        </w:numPr>
        <w:pStyle w:val="Compact"/>
      </w:pPr>
      <w:r>
        <w:t xml:space="preserve">Energy Intensity: 15 kWh/unit</w:t>
      </w:r>
    </w:p>
    <w:p>
      <w:pPr>
        <w:numPr>
          <w:ilvl w:val="0"/>
          <w:numId w:val="1008"/>
        </w:numPr>
        <w:pStyle w:val="Compact"/>
      </w:pPr>
      <w:r>
        <w:t xml:space="preserve">Renewable Energy Usage: 70%</w:t>
      </w:r>
    </w:p>
    <w:p>
      <w:pPr>
        <w:numPr>
          <w:ilvl w:val="0"/>
          <w:numId w:val="1008"/>
        </w:numPr>
        <w:pStyle w:val="Compact"/>
      </w:pPr>
      <w:r>
        <w:t xml:space="preserve">Non-renewable Energy: 15 kWh/unit * (1 - 0.70) = 4.5 kWh/unit</w:t>
      </w:r>
    </w:p>
    <w:p>
      <w:pPr>
        <w:numPr>
          <w:ilvl w:val="0"/>
          <w:numId w:val="1008"/>
        </w:numPr>
        <w:pStyle w:val="Compact"/>
      </w:pPr>
      <w:r>
        <w:t xml:space="preserve">Illustrative China Grid EF: 0.6 kgCO2e/kWh (representative industry average)</w:t>
      </w:r>
    </w:p>
    <w:p>
      <w:pPr>
        <w:numPr>
          <w:ilvl w:val="0"/>
          <w:numId w:val="1008"/>
        </w:numPr>
        <w:pStyle w:val="Compact"/>
      </w:pPr>
      <w:r>
        <w:t xml:space="preserve">Manufacturing Emissions (Scope 2): 4.5 kWh/unit * 0.6 kgCO2e/kWh = 2.7 kgCO2e/unit</w:t>
      </w:r>
    </w:p>
    <w:p>
      <w:pPr>
        <w:pStyle w:val="FirstParagraph"/>
      </w:pPr>
      <w:r>
        <w:rPr>
          <w:bCs/>
          <w:b/>
        </w:rPr>
        <w:t xml:space="preserve">Total Manufacturing Emissions (Scope 2): 2.7 kgCO2e/unit</w:t>
      </w:r>
    </w:p>
    <w:bookmarkEnd w:id="39"/>
    <w:bookmarkStart w:id="40" w:name="X1c4111749a5fa5ce3d6077b82ccc0d23544ac67"/>
    <w:p>
      <w:pPr>
        <w:pStyle w:val="Heading4"/>
      </w:pPr>
      <w:r>
        <w:t xml:space="preserve">4.3.3 Transport &amp; Logistics (Scope 3 Upstream &amp; Downstream)</w:t>
      </w:r>
    </w:p>
    <w:p>
      <w:pPr>
        <w:pStyle w:val="FirstParagraph"/>
      </w:pPr>
      <w:r>
        <w:t xml:space="preserve">Illustrative Emission Factors (industry average):</w:t>
      </w:r>
    </w:p>
    <w:p>
      <w:pPr>
        <w:numPr>
          <w:ilvl w:val="0"/>
          <w:numId w:val="1009"/>
        </w:numPr>
        <w:pStyle w:val="Compact"/>
      </w:pPr>
      <w:r>
        <w:t xml:space="preserve">Road Freight (average): 0.09 kgCO2e/tkm (for primary components/finished product)</w:t>
      </w:r>
    </w:p>
    <w:p>
      <w:pPr>
        <w:numPr>
          <w:ilvl w:val="0"/>
          <w:numId w:val="1009"/>
        </w:numPr>
        <w:pStyle w:val="Compact"/>
      </w:pPr>
      <w:r>
        <w:t xml:space="preserve">Parcel Service (last-mile): 0.15 kgCO2e/package (illustrative, covers last-mile delivery vehicles)</w:t>
      </w:r>
    </w:p>
    <w:p>
      <w:pPr>
        <w:pStyle w:val="FirstParagraph"/>
      </w:pPr>
      <w:r>
        <w:t xml:space="preserve">Assuming an approximate product weight of ~4 kg (sum of illustrative BOM quantities) for primary transport over the distance of 500 km.</w:t>
      </w:r>
    </w:p>
    <w:p>
      <w:pPr>
        <w:numPr>
          <w:ilvl w:val="0"/>
          <w:numId w:val="1010"/>
        </w:numPr>
        <w:pStyle w:val="Compact"/>
      </w:pPr>
      <w:r>
        <w:t xml:space="preserve">Primary Transport (e.g., components to factory, or finished product): 0.004 t * 500 km * 0.09 kgCO2e/tkm = 0.18 kgCO2e/unit</w:t>
      </w:r>
    </w:p>
    <w:p>
      <w:pPr>
        <w:numPr>
          <w:ilvl w:val="0"/>
          <w:numId w:val="1010"/>
        </w:numPr>
        <w:pStyle w:val="Compact"/>
      </w:pPr>
      <w:r>
        <w:t xml:space="preserve">Last-Mile Delivery: 0.15 kgCO2e/unit (illustrative flat fee per package)</w:t>
      </w:r>
    </w:p>
    <w:p>
      <w:pPr>
        <w:pStyle w:val="FirstParagraph"/>
      </w:pPr>
      <w:r>
        <w:rPr>
          <w:bCs/>
          <w:b/>
        </w:rPr>
        <w:t xml:space="preserve">Total Transport Emissions (Scope 3): 0.18 + 0.15 = 0.33 kgCO2e/unit</w:t>
      </w:r>
    </w:p>
    <w:bookmarkEnd w:id="40"/>
    <w:bookmarkStart w:id="41" w:name="use-phase-scope-3-downstream"/>
    <w:p>
      <w:pPr>
        <w:pStyle w:val="Heading4"/>
      </w:pPr>
      <w:r>
        <w:t xml:space="preserve">4.3.4 Use Phase (Scope 3 Downstream)</w:t>
      </w:r>
    </w:p>
    <w:p>
      <w:pPr>
        <w:pStyle w:val="FirstParagraph"/>
      </w:pPr>
      <w:r>
        <w:t xml:space="preserve">Calculated over the product\'s lifespan. Assuming an illustrative average electricity grid emission factor for the user\'s location (e.g., 0.4 kgCO2e/kWh, representative for Europe).</w:t>
      </w:r>
    </w:p>
    <w:p>
      <w:pPr>
        <w:numPr>
          <w:ilvl w:val="0"/>
          <w:numId w:val="1011"/>
        </w:numPr>
        <w:pStyle w:val="Compact"/>
      </w:pPr>
      <w:r>
        <w:t xml:space="preserve">Product Lifespan: 5 years</w:t>
      </w:r>
    </w:p>
    <w:p>
      <w:pPr>
        <w:numPr>
          <w:ilvl w:val="0"/>
          <w:numId w:val="1011"/>
        </w:numPr>
        <w:pStyle w:val="Compact"/>
      </w:pPr>
      <w:r>
        <w:t xml:space="preserve">Energy Consumption in Use: 10 kWh/year</w:t>
      </w:r>
    </w:p>
    <w:p>
      <w:pPr>
        <w:numPr>
          <w:ilvl w:val="0"/>
          <w:numId w:val="1011"/>
        </w:numPr>
        <w:pStyle w:val="Compact"/>
      </w:pPr>
      <w:r>
        <w:t xml:space="preserve">Total Use Phase Energy: 10 kWh/year * 5 years = 50 kWh</w:t>
      </w:r>
    </w:p>
    <w:p>
      <w:pPr>
        <w:numPr>
          <w:ilvl w:val="0"/>
          <w:numId w:val="1011"/>
        </w:numPr>
        <w:pStyle w:val="Compact"/>
      </w:pPr>
      <w:r>
        <w:t xml:space="preserve">Illustrative User Grid EF: 0.4 kgCO2e/kWh (representative industry average)</w:t>
      </w:r>
    </w:p>
    <w:p>
      <w:pPr>
        <w:numPr>
          <w:ilvl w:val="0"/>
          <w:numId w:val="1011"/>
        </w:numPr>
        <w:pStyle w:val="Compact"/>
      </w:pPr>
      <w:r>
        <w:t xml:space="preserve">Use Phase Emissions (Scope 3): 50 kWh * 0.4 kgCO2e/kWh = 20.0 kgCO2e/unit</w:t>
      </w:r>
    </w:p>
    <w:p>
      <w:pPr>
        <w:pStyle w:val="FirstParagraph"/>
      </w:pPr>
      <w:r>
        <w:rPr>
          <w:bCs/>
          <w:b/>
        </w:rPr>
        <w:t xml:space="preserve">Total Use Phase Emissions (Scope 3): 20.0 kgCO2e/unit</w:t>
      </w:r>
    </w:p>
    <w:bookmarkEnd w:id="41"/>
    <w:bookmarkStart w:id="42" w:name="end-of-life-eol-scope-3-downstream"/>
    <w:p>
      <w:pPr>
        <w:pStyle w:val="Heading4"/>
      </w:pPr>
      <w:r>
        <w:t xml:space="preserve">4.3.5 End-of-Life (EoL) (Scope 3 Downstream)</w:t>
      </w:r>
    </w:p>
    <w:p>
      <w:pPr>
        <w:pStyle w:val="FirstParagraph"/>
      </w:pPr>
      <w:r>
        <w:t xml:space="preserve">EoL impacts are complex and depend on disposal methods and recycling efficiency. We consider the recyclability percentage and the impact of circular programs.</w:t>
      </w:r>
    </w:p>
    <w:p>
      <w:pPr>
        <w:numPr>
          <w:ilvl w:val="0"/>
          <w:numId w:val="1012"/>
        </w:numPr>
        <w:pStyle w:val="Compact"/>
      </w:pPr>
      <w:r>
        <w:t xml:space="preserve">Recyclability Percentage: 85%</w:t>
      </w:r>
    </w:p>
    <w:p>
      <w:pPr>
        <w:numPr>
          <w:ilvl w:val="0"/>
          <w:numId w:val="1012"/>
        </w:numPr>
        <w:pStyle w:val="Compact"/>
      </w:pPr>
      <w:r>
        <w:t xml:space="preserve">Non-recyclable Waste: 15% (of product weight, assuming 4kg product weight, so 0.6 kg waste)</w:t>
      </w:r>
    </w:p>
    <w:p>
      <w:pPr>
        <w:numPr>
          <w:ilvl w:val="0"/>
          <w:numId w:val="1012"/>
        </w:numPr>
        <w:pStyle w:val="Compact"/>
      </w:pPr>
      <w:r>
        <w:t xml:space="preserve">Circular Programs: Product take-back scheme with material recovery.</w:t>
      </w:r>
    </w:p>
    <w:p>
      <w:pPr>
        <w:pStyle w:val="FirstParagraph"/>
      </w:pPr>
      <w:r>
        <w:t xml:space="preserve">Illustrative EoL factors (industry average):</w:t>
      </w:r>
    </w:p>
    <w:p>
      <w:pPr>
        <w:numPr>
          <w:ilvl w:val="0"/>
          <w:numId w:val="1013"/>
        </w:numPr>
        <w:pStyle w:val="Compact"/>
      </w:pPr>
      <w:r>
        <w:t xml:space="preserve">Landfilling/Incineration (non-recyclable): 1.5 kgCO2e/kg (illustrative for mixed waste)</w:t>
      </w:r>
    </w:p>
    <w:p>
      <w:pPr>
        <w:numPr>
          <w:ilvl w:val="0"/>
          <w:numId w:val="1013"/>
        </w:numPr>
        <w:pStyle w:val="Compact"/>
      </w:pPr>
      <w:r>
        <w:t xml:space="preserve">Credit for Recycling (avoided emissions): -1.0 kgCO2e/kg (illustrative, depends on material and energy recovery)</w:t>
      </w:r>
    </w:p>
    <w:p>
      <w:pPr>
        <w:numPr>
          <w:ilvl w:val="0"/>
          <w:numId w:val="1014"/>
        </w:numPr>
        <w:pStyle w:val="Compact"/>
      </w:pPr>
      <w:r>
        <w:t xml:space="preserve">Emissions from Non-Recyclable Waste: 0.6 kg * 1.5 kgCO2e/kg = 0.9 kgCO2e</w:t>
      </w:r>
    </w:p>
    <w:p>
      <w:pPr>
        <w:numPr>
          <w:ilvl w:val="0"/>
          <w:numId w:val="1014"/>
        </w:numPr>
        <w:pStyle w:val="Compact"/>
      </w:pPr>
      <w:r>
        <w:t xml:space="preserve">Credits from Recycling (85% of 4kg = 3.4kg): 3.4 kg * -1.0 kgCO2e/kg = -3.4 kgCO2e</w:t>
      </w:r>
    </w:p>
    <w:p>
      <w:pPr>
        <w:pStyle w:val="FirstParagraph"/>
      </w:pPr>
      <w:r>
        <w:rPr>
          <w:bCs/>
          <w:b/>
        </w:rPr>
        <w:t xml:space="preserve">Total End-of-Life Emissions (Scope 3): 0.9 - 3.4 = -2.5 kgCO2e/unit</w:t>
      </w:r>
      <w:r>
        <w:t xml:space="preserve"> </w:t>
      </w:r>
      <w:r>
        <w:t xml:space="preserve">(Net carbon benefit due to high recyclability and circularity efforts)</w:t>
      </w:r>
    </w:p>
    <w:bookmarkEnd w:id="42"/>
    <w:bookmarkEnd w:id="43"/>
    <w:bookmarkStart w:id="44" w:name="total-product-carbon-footprint-summary"/>
    <w:p>
      <w:pPr>
        <w:pStyle w:val="Heading3"/>
      </w:pPr>
      <w:r>
        <w:t xml:space="preserve">4.4 Total Product Carbon Footprint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15.04</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2.70</w:t>
            </w:r>
          </w:p>
        </w:tc>
      </w:tr>
      <w:tr>
        <w:tc>
          <w:tcPr/>
          <w:p>
            <w:pPr>
              <w:pStyle w:val="Compact"/>
              <w:jc w:val="left"/>
            </w:pPr>
            <w:r>
              <w:t xml:space="preserve">Transport &amp; Logistics</w:t>
            </w:r>
          </w:p>
        </w:tc>
        <w:tc>
          <w:tcPr/>
          <w:p>
            <w:pPr>
              <w:pStyle w:val="Compact"/>
              <w:jc w:val="left"/>
            </w:pPr>
            <w:r>
              <w:t xml:space="preserve">Scope 3 (Upstream &amp; Downstream)</w:t>
            </w:r>
          </w:p>
        </w:tc>
        <w:tc>
          <w:tcPr/>
          <w:p>
            <w:pPr>
              <w:pStyle w:val="Compact"/>
              <w:jc w:val="left"/>
            </w:pPr>
            <w:r>
              <w:t xml:space="preserve">0.33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-2.50</w:t>
            </w:r>
          </w:p>
        </w:tc>
      </w:tr>
      <w:tr>
        <w:tc>
          <w:tcPr>
            <w:gridSpan w:val="2"/>
          </w:tcPr>
          <w:p>
            <w:pPr>
              <w:pStyle w:val="Compact"/>
              <w:jc w:val="right"/>
            </w:pPr>
            <w:r>
              <w:t xml:space="preserve">TOTAL PRODUCT CARBON FOOTPRINT:</w:t>
            </w:r>
          </w:p>
        </w:tc>
        <w:tc>
          <w:tcPr/>
          <w:p>
            <w:pPr>
              <w:pStyle w:val="Compact"/>
              <w:jc w:val="left"/>
            </w:pPr>
            <w:r>
              <w:rPr>
                <w:bCs/>
                <w:b/>
              </w:rPr>
              <w:t xml:space="preserve">35.57 kgCO2e/unit</w:t>
            </w:r>
          </w:p>
        </w:tc>
      </w:tr>
    </w:tbl>
    <w:p>
      <w:r>
        <w:pict>
          <v:rect style="width:0;height:1.5pt" o:hralign="center" o:hrstd="t" o:hr="t"/>
        </w:pict>
      </w:r>
    </w:p>
    <w:bookmarkEnd w:id="44"/>
    <w:bookmarkEnd w:id="45"/>
    <w:bookmarkStart w:id="51" w:name="review-report"/>
    <w:p>
      <w:pPr>
        <w:pStyle w:val="Heading2"/>
      </w:pPr>
      <w:r>
        <w:t xml:space="preserve">5. Review &amp; Report</w:t>
      </w:r>
    </w:p>
    <w:bookmarkStart w:id="46" w:name="emission-hotspots"/>
    <w:p>
      <w:pPr>
        <w:pStyle w:val="Heading3"/>
      </w:pPr>
      <w:r>
        <w:t xml:space="preserve">5.1 Emission Hotspots</w:t>
      </w:r>
    </w:p>
    <w:p>
      <w:pPr>
        <w:pStyle w:val="FirstParagraph"/>
      </w:pPr>
      <w:r>
        <w:t xml:space="preserve">The analysis reveals the following major emission hotspots for</w:t>
      </w:r>
      <w:r>
        <w:t xml:space="preserve"> </w:t>
      </w:r>
      <w:r>
        <w:rPr>
          <w:bCs/>
          <w:b/>
        </w:rPr>
        <w:t xml:space="preserve">ilxrxpnodq</w:t>
      </w:r>
      <w:r>
        <w:t xml:space="preserve">:</w:t>
      </w:r>
    </w:p>
    <w:p>
      <w:pPr>
        <w:numPr>
          <w:ilvl w:val="0"/>
          <w:numId w:val="1015"/>
        </w:numPr>
        <w:pStyle w:val="Compact"/>
      </w:pPr>
      <w:r>
        <w:rPr>
          <w:bCs/>
          <w:b/>
        </w:rPr>
        <w:t xml:space="preserve">Use Phase (20.0 kgCO2e):</w:t>
      </w:r>
      <w:r>
        <w:t xml:space="preserve"> </w:t>
      </w:r>
      <w:r>
        <w:t xml:space="preserve">This is the dominant contributor to the product\'s PCF, primarily due to the energy consumption during its 5-year lifespan. This suggests that reducing energy requirements during operation or providing access to cleaner energy sources for users would yield the most significant impact reduction.</w:t>
      </w:r>
    </w:p>
    <w:p>
      <w:pPr>
        <w:numPr>
          <w:ilvl w:val="0"/>
          <w:numId w:val="1015"/>
        </w:numPr>
        <w:pStyle w:val="Compact"/>
      </w:pPr>
      <w:r>
        <w:rPr>
          <w:bCs/>
          <w:b/>
        </w:rPr>
        <w:t xml:space="preserve">Raw Material Acquisition &amp; Pre-processing (15.04 kgCO2e):</w:t>
      </w:r>
      <w:r>
        <w:t xml:space="preserve"> </w:t>
      </w:r>
      <w:r>
        <w:t xml:space="preserve">The materials used, particularly the steel, electronics (PCBA), and battery components, represent a substantial portion of upstream emissions. Optimizing material selection, lightweighting, and sourcing lower-carbon materials are key areas for improvement.</w:t>
      </w:r>
    </w:p>
    <w:p>
      <w:pPr>
        <w:numPr>
          <w:ilvl w:val="0"/>
          <w:numId w:val="1015"/>
        </w:numPr>
        <w:pStyle w:val="Compact"/>
      </w:pPr>
      <w:r>
        <w:rPr>
          <w:bCs/>
          <w:b/>
        </w:rPr>
        <w:t xml:space="preserve">Manufacturing (2.7 kgCO2e):</w:t>
      </w:r>
      <w:r>
        <w:t xml:space="preserve"> </w:t>
      </w:r>
      <w:r>
        <w:t xml:space="preserve">While significant, the impact here is mitigated by the 70% renewable energy usage. Further increasing renewable energy penetration or improving energy efficiency at the factory could reduce this.</w:t>
      </w:r>
    </w:p>
    <w:bookmarkEnd w:id="46"/>
    <w:bookmarkStart w:id="47" w:name="reliability-and-limitations"/>
    <w:p>
      <w:pPr>
        <w:pStyle w:val="Heading3"/>
      </w:pPr>
      <w:r>
        <w:t xml:space="preserve">5.2 Reliability and Limitations</w:t>
      </w:r>
    </w:p>
    <w:p>
      <w:pPr>
        <w:pStyle w:val="FirstParagraph"/>
      </w:pPr>
      <w:r>
        <w:t xml:space="preserve">The reliability of this report is dependent on the accuracy and completeness of the input data.</w:t>
      </w:r>
    </w:p>
    <w:p>
      <w:pPr>
        <w:numPr>
          <w:ilvl w:val="0"/>
          <w:numId w:val="1016"/>
        </w:numPr>
        <w:pStyle w:val="Compact"/>
      </w:pPr>
      <w:r>
        <w:rPr>
          <w:bCs/>
          <w:b/>
        </w:rPr>
        <w:t xml:space="preserve">Data Sources:</w:t>
      </w:r>
      <w:r>
        <w:t xml:space="preserve"> </w:t>
      </w:r>
      <w:r>
        <w:t xml:space="preserve">Illustrative BOM data and assumed industry-average emission factors were used where specific primary data was not available (e.g., for transport modes, energy grid mix beyond renewable usage percentage, and EoL scenarios). In a real-world scenario, precise primary data for all material inputs, exact transport routes, and country-specific grid mixes would enhance accuracy.</w:t>
      </w:r>
    </w:p>
    <w:p>
      <w:pPr>
        <w:numPr>
          <w:ilvl w:val="0"/>
          <w:numId w:val="1016"/>
        </w:numPr>
        <w:pStyle w:val="Compact"/>
      </w:pPr>
      <w:r>
        <w:rPr>
          <w:bCs/>
          <w:b/>
        </w:rPr>
        <w:t xml:space="preserve">System Boundary:</w:t>
      </w:r>
      <w:r>
        <w:t xml:space="preserve"> </w:t>
      </w:r>
      <w:r>
        <w:t xml:space="preserve">The "factory_gate" boundary for the manufacturing stage is clear, but the full "cradle-to-grave" analysis required illustrative assumptions for the use and EoL phases.</w:t>
      </w:r>
    </w:p>
    <w:p>
      <w:pPr>
        <w:numPr>
          <w:ilvl w:val="0"/>
          <w:numId w:val="1016"/>
        </w:numPr>
        <w:pStyle w:val="Compact"/>
      </w:pPr>
      <w:r>
        <w:rPr>
          <w:bCs/>
          <w:b/>
        </w:rPr>
        <w:t xml:space="preserve">2026 LSR Standard:</w:t>
      </w:r>
      <w:r>
        <w:t xml:space="preserve"> </w:t>
      </w:r>
      <w:r>
        <w:t xml:space="preserve">While acknowledged, specific quantification of land-use change and carbon removals was not possible with the provided parameters, highlighting a potential area for future data collection.</w:t>
      </w:r>
    </w:p>
    <w:p>
      <w:pPr>
        <w:numPr>
          <w:ilvl w:val="0"/>
          <w:numId w:val="1016"/>
        </w:numPr>
        <w:pStyle w:val="Compact"/>
      </w:pPr>
      <w:r>
        <w:rPr>
          <w:bCs/>
          <w:b/>
        </w:rPr>
        <w:t xml:space="preserve">Scope 3 Coverage:</w:t>
      </w:r>
      <w:r>
        <w:t xml:space="preserve"> </w:t>
      </w:r>
      <w:r>
        <w:t xml:space="preserve">Efforts were made to achieve at least 95% Scope 3 coverage by considering all major lifecycle stages, using the provided parameters as inputs for these stages.</w:t>
      </w:r>
    </w:p>
    <w:bookmarkEnd w:id="47"/>
    <w:bookmarkStart w:id="50" w:name="X788fbff7c021e2a678ac07c45b3966641b0fc80"/>
    <w:p>
      <w:pPr>
        <w:pStyle w:val="Heading3"/>
      </w:pPr>
      <w:r>
        <w:t xml:space="preserve">5.3 Recommendations for Carbon Footprint Reduction</w:t>
      </w:r>
    </w:p>
    <w:p>
      <w:pPr>
        <w:numPr>
          <w:ilvl w:val="0"/>
          <w:numId w:val="1017"/>
        </w:numPr>
        <w:pStyle w:val="Compact"/>
      </w:pPr>
      <w:r>
        <w:rPr>
          <w:bCs/>
          <w:b/>
        </w:rPr>
        <w:t xml:space="preserve">Optimize Use Phase Energy Efficiency:</w:t>
      </w:r>
      <w:r>
        <w:t xml:space="preserve"> </w:t>
      </w:r>
      <w:r>
        <w:t xml:space="preserve">Redesign</w:t>
      </w:r>
      <w:r>
        <w:t xml:space="preserve"> </w:t>
      </w:r>
      <w:r>
        <w:rPr>
          <w:bCs/>
          <w:b/>
        </w:rPr>
        <w:t xml:space="preserve">ilxrxpnodq</w:t>
      </w:r>
      <w:r>
        <w:t xml:space="preserve"> </w:t>
      </w:r>
      <w:r>
        <w:t xml:space="preserve">to consume less energy during its operation or explore renewable energy options for product charging/powering where applicable. Educate users on sustainable usage.</w:t>
      </w:r>
    </w:p>
    <w:p>
      <w:pPr>
        <w:numPr>
          <w:ilvl w:val="0"/>
          <w:numId w:val="1017"/>
        </w:numPr>
        <w:pStyle w:val="Compact"/>
      </w:pPr>
      <w:r>
        <w:rPr>
          <w:bCs/>
          <w:b/>
        </w:rPr>
        <w:t xml:space="preserve">Sustainable Material Sourcing:</w:t>
      </w:r>
      <w:r>
        <w:t xml:space="preserve"> </w:t>
      </w:r>
      <w:r>
        <w:t xml:space="preserve">Investigate alternative materials with lower embodied carbon for components like the steel chassis, PCBA, and battery. Prioritize suppliers with robust sustainability credentials and transparent carbon data.</w:t>
      </w:r>
    </w:p>
    <w:p>
      <w:pPr>
        <w:numPr>
          <w:ilvl w:val="0"/>
          <w:numId w:val="1017"/>
        </w:numPr>
        <w:pStyle w:val="Compact"/>
      </w:pPr>
      <w:r>
        <w:rPr>
          <w:bCs/>
          <w:b/>
        </w:rPr>
        <w:t xml:space="preserve">Increase Renewable Energy in Manufacturing:</w:t>
      </w:r>
      <w:r>
        <w:t xml:space="preserve"> </w:t>
      </w:r>
      <w:r>
        <w:t xml:space="preserve">Further increase the share of renewable energy at the manufacturing facility in China beyond the current 70% to significantly reduce Scope 2 emissions.</w:t>
      </w:r>
    </w:p>
    <w:p>
      <w:pPr>
        <w:numPr>
          <w:ilvl w:val="0"/>
          <w:numId w:val="1017"/>
        </w:numPr>
        <w:pStyle w:val="Compact"/>
      </w:pPr>
      <w:r>
        <w:rPr>
          <w:bCs/>
          <w:b/>
        </w:rPr>
        <w:t xml:space="preserve">Enhance Circularity:</w:t>
      </w:r>
      <w:r>
        <w:t xml:space="preserve"> </w:t>
      </w:r>
      <w:r>
        <w:t xml:space="preserve">Continue to develop and expand the product take-back scheme, focusing on high-value material recovery and closed-loop recycling for components, especially batteries and electronics. Explore design-for-disassembly principles.</w:t>
      </w:r>
    </w:p>
    <w:p>
      <w:pPr>
        <w:numPr>
          <w:ilvl w:val="0"/>
          <w:numId w:val="1017"/>
        </w:numPr>
        <w:pStyle w:val="Compact"/>
      </w:pPr>
      <w:r>
        <w:rPr>
          <w:bCs/>
          <w:b/>
        </w:rPr>
        <w:t xml:space="preserve">Logistics Optimization:</w:t>
      </w:r>
      <w:r>
        <w:t xml:space="preserve"> </w:t>
      </w:r>
      <w:r>
        <w:t xml:space="preserve">Evaluate more carbon-efficient transport modes for inbound and outbound logistics, and optimize routes and load factors to reduce fuel consumption.</w:t>
      </w:r>
    </w:p>
    <w:p>
      <w:r>
        <w:pict>
          <v:rect style="width:0;height:1.5pt" o:hralign="center" o:hrstd="t" o:hr="t"/>
        </w:pict>
      </w:r>
    </w:p>
    <w:p>
      <w:pPr>
        <w:pStyle w:val="FirstParagraph"/>
      </w:pPr>
      <w:r>
        <w:t xml:space="preserve">Confidential - Internal Use Only | Page</w:t>
      </w:r>
      <w:r>
        <w:t xml:space="preserve"> </w:t>
      </w:r>
      <w:bookmarkStart w:id="48" w:name="page-num"/>
      <w:r>
        <w:t xml:space="preserve">1</w:t>
      </w:r>
      <w:bookmarkEnd w:id="48"/>
      <w:r>
        <w:t xml:space="preserve"> </w:t>
      </w:r>
      <w:r>
        <w:t xml:space="preserve">of</w:t>
      </w:r>
      <w:r>
        <w:t xml:space="preserve"> </w:t>
      </w:r>
      <w:bookmarkStart w:id="49" w:name="total-pages"/>
      <w:bookmarkEnd w:id="49"/>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ilxrxpnodq</dc:title>
  <dc:creator/>
  <dc:description>Product Carbon Footprint (PCF) analysis report for product ilxrxpnodq by mqrxmwvqfp, conducted by dhlkzhdwit, specializing in GHG Protocol.</dc:description>
  <cp:keywords/>
  <dcterms:created xsi:type="dcterms:W3CDTF">2026-07-16T02:17:42Z</dcterms:created>
  <dcterms:modified xsi:type="dcterms:W3CDTF">2026-07-16T02:17:42Z</dcterms:modified>
</cp:coreProperties>
</file>

<file path=docProps/custom.xml><?xml version="1.0" encoding="utf-8"?>
<Properties xmlns="http://schemas.openxmlformats.org/officeDocument/2006/custom-properties" xmlns:vt="http://schemas.openxmlformats.org/officeDocument/2006/docPropsVTypes"/>
</file>