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ildszlsjiv</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ildszlsjiv</w:t>
      </w:r>
    </w:p>
    <w:p>
      <w:pPr>
        <w:pStyle w:val="BodyText"/>
      </w:pPr>
      <w:r>
        <w:br/>
      </w:r>
    </w:p>
    <w:p>
      <w:pPr>
        <w:pStyle w:val="BodyText"/>
      </w:pPr>
      <w:r>
        <w:rPr>
          <w:bCs/>
          <w:b/>
        </w:rPr>
        <w:t xml:space="preserve">Company Name:</w:t>
      </w:r>
      <w:r>
        <w:t xml:space="preserve"> </w:t>
      </w:r>
      <w:r>
        <w:t xml:space="preserve">ntirltrjxt</w:t>
      </w:r>
    </w:p>
    <w:p>
      <w:pPr>
        <w:pStyle w:val="BodyText"/>
      </w:pPr>
      <w:r>
        <w:rPr>
          <w:bCs/>
          <w:b/>
        </w:rPr>
        <w:t xml:space="preserve">Senior Sustainability Consultant:</w:t>
      </w:r>
      <w:r>
        <w:t xml:space="preserve"> </w:t>
      </w:r>
      <w:r>
        <w:t xml:space="preserve">ymurqjfjjk</w:t>
      </w:r>
    </w:p>
    <w:p>
      <w:pPr>
        <w:pStyle w:val="BodyText"/>
      </w:pPr>
      <w:r>
        <w:rPr>
          <w:bCs/>
          <w:b/>
        </w:rPr>
        <w:t xml:space="preserve">Protocol Data (Accounting Standard):</w:t>
      </w:r>
      <w:r>
        <w:t xml:space="preserve"> </w:t>
      </w:r>
      <w:r>
        <w:t xml:space="preserve">GHG Protocol</w:t>
      </w:r>
    </w:p>
    <w:p>
      <w:pPr>
        <w:pStyle w:val="BodyText"/>
      </w:pPr>
      <w:r>
        <w:br/>
      </w:r>
      <w:r>
        <w:br/>
      </w:r>
    </w:p>
    <w:p>
      <w:pPr>
        <w:pStyle w:val="BodyText"/>
      </w:pPr>
      <w:r>
        <w:t xml:space="preserve">Disclaimer: This report is generated based on available data and industry standards. The numerical values presented for calculations are illustrative, utilizing assumed data where specific parameters (such as \'mtmkigmk\' for BOM, transport distances, energy consumption figures) were provided as descriptive strings rather than quantifiable inputs. A full, precise PCF would require detailed primary data from ntirltrjxt\'s operations and supply chain.</w:t>
      </w:r>
    </w:p>
    <w:bookmarkEnd w:id="20"/>
    <w:bookmarkStart w:id="21" w:name="Xad426dc3b7e7b5d5eb26583ca80d547b267428b"/>
    <w:p>
      <w:pPr>
        <w:pStyle w:val="Heading1"/>
      </w:pPr>
      <w:r>
        <w:t xml:space="preserve">Product Carbon Footprint Analysis for ildszlsjiv</w:t>
      </w:r>
    </w:p>
    <w:p>
      <w:pPr>
        <w:pStyle w:val="FirstParagraph"/>
      </w:pPr>
      <w:r>
        <w:t xml:space="preserve">Generated Date: June 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provides a high-detail Product Carbon Footprint (PCF) analysis for the product</w:t>
      </w:r>
      <w:r>
        <w:t xml:space="preserve"> </w:t>
      </w:r>
      <w:r>
        <w:rPr>
          <w:bCs/>
          <w:b/>
        </w:rPr>
        <w:t xml:space="preserve">ildszlsjiv</w:t>
      </w:r>
      <w:r>
        <w:t xml:space="preserve"> </w:t>
      </w:r>
      <w:r>
        <w:t xml:space="preserve">manufactured by</w:t>
      </w:r>
      <w:r>
        <w:t xml:space="preserve"> </w:t>
      </w:r>
      <w:r>
        <w:rPr>
          <w:bCs/>
          <w:b/>
        </w:rPr>
        <w:t xml:space="preserve">ntirltrjxt</w:t>
      </w:r>
      <w:r>
        <w:t xml:space="preserve">. As</w:t>
      </w:r>
      <w:r>
        <w:t xml:space="preserve"> </w:t>
      </w:r>
      <w:r>
        <w:rPr>
          <w:bCs/>
          <w:b/>
        </w:rPr>
        <w:t xml:space="preserve">ymurqjfjjk</w:t>
      </w:r>
      <w:r>
        <w:t xml:space="preserve">, Senior Sustainability Consultant, this assessment adheres strictly to the GHG Protocol, incorporating the latest 2026 Land Sector and Removals (LSR) Standard and ensuring comprehensive Scope 3 coverage. The analysis maps the lifecycle emissions from material acquisition through manufacturing, transport, use, and end-of-life, identifying key hotspots and offering a foundation for strategic emission reductions. Due to the placeholder nature of some input parameters, illustrative data has been utilized for quantitative calculations, while maintaining the integrity of the methodological approach. The goal is to provide a robust framework for understanding and reducing the environmental impact of</w:t>
      </w:r>
      <w:r>
        <w:t xml:space="preserve"> </w:t>
      </w:r>
      <w:r>
        <w:rPr>
          <w:bCs/>
          <w:b/>
        </w:rPr>
        <w:t xml:space="preserve">ildszlsjiv</w:t>
      </w:r>
      <w:r>
        <w:t xml:space="preserve">.</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imperative for businesses to understand and manage their environmental impact has never been more critical. A Product Carbon Footprint (PCF) analysis offers a comprehensive method to quantify the greenhouse gas (GHG) emissions associated with a product throughout its entire lifecycle. This report outlines the PCF for</w:t>
      </w:r>
      <w:r>
        <w:t xml:space="preserve"> </w:t>
      </w:r>
      <w:r>
        <w:rPr>
          <w:bCs/>
          <w:b/>
        </w:rPr>
        <w:t xml:space="preserve">ildszlsjiv</w:t>
      </w:r>
      <w:r>
        <w:t xml:space="preserve">, a product from</w:t>
      </w:r>
      <w:r>
        <w:t xml:space="preserve"> </w:t>
      </w:r>
      <w:r>
        <w:rPr>
          <w:bCs/>
          <w:b/>
        </w:rPr>
        <w:t xml:space="preserve">ntirltrjxt</w:t>
      </w:r>
      <w:r>
        <w:t xml:space="preserve">, following the rigorous guidelines of the</w:t>
      </w:r>
      <w:r>
        <w:t xml:space="preserve"> </w:t>
      </w:r>
      <w:r>
        <w:rPr>
          <w:bCs/>
          <w:b/>
        </w:rPr>
        <w:t xml:space="preserve">GHG Protocol</w:t>
      </w:r>
      <w:r>
        <w:t xml:space="preserve">. This analysis was performed by</w:t>
      </w:r>
      <w:r>
        <w:t xml:space="preserve"> </w:t>
      </w:r>
      <w:r>
        <w:rPr>
          <w:bCs/>
          <w:b/>
        </w:rPr>
        <w:t xml:space="preserve">ymurqjfjjk</w:t>
      </w:r>
      <w:r>
        <w:t xml:space="preserve">, a Senior Sustainability Consultant specializing in GHG Protocol methodologies.</w:t>
      </w:r>
    </w:p>
    <w:p>
      <w:pPr>
        <w:pStyle w:val="BodyText"/>
      </w:pPr>
      <w:r>
        <w:t xml:space="preserve">The primary objective is to provide a transparent and actionable assessment of the product\'s carbon intensity, identifying emission hotspots across its value chain. This will enable</w:t>
      </w:r>
      <w:r>
        <w:t xml:space="preserve"> </w:t>
      </w:r>
      <w:r>
        <w:rPr>
          <w:bCs/>
          <w:b/>
        </w:rPr>
        <w:t xml:space="preserve">ntirltrjxt</w:t>
      </w:r>
      <w:r>
        <w:t xml:space="preserve"> </w:t>
      </w:r>
      <w:r>
        <w:t xml:space="preserve">to make informed decisions for product design, supply chain optimization, and communication with stakeholders.</w:t>
      </w:r>
    </w:p>
    <w:p>
      <w:r>
        <w:pict>
          <v:rect style="width:0;height:1.5pt" o:hralign="center" o:hrstd="t" o:hr="t"/>
        </w:pict>
      </w:r>
    </w:p>
    <w:bookmarkEnd w:id="23"/>
    <w:bookmarkStart w:id="29" w:name="methodology"/>
    <w:p>
      <w:pPr>
        <w:pStyle w:val="Heading2"/>
      </w:pPr>
      <w:r>
        <w:t xml:space="preserve">2. Methodology</w:t>
      </w:r>
    </w:p>
    <w:p>
      <w:pPr>
        <w:pStyle w:val="FirstParagraph"/>
      </w:pPr>
      <w:r>
        <w:t xml:space="preserve">The Product Carbon Footprint analysis for</w:t>
      </w:r>
      <w:r>
        <w:t xml:space="preserve"> </w:t>
      </w:r>
      <w:r>
        <w:rPr>
          <w:bCs/>
          <w:b/>
        </w:rPr>
        <w:t xml:space="preserve">ildszlsjiv</w:t>
      </w:r>
      <w:r>
        <w:t xml:space="preserve"> </w:t>
      </w:r>
      <w:r>
        <w:t xml:space="preserve">follows a five-step methodology aligned with the GHG Protocol Product Standard, ensuring accuracy and comparability.</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ildszlsjiv</w:t>
      </w:r>
      <w:r>
        <w:t xml:space="preserve">.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The system boundary is set to</w:t>
      </w:r>
      <w:r>
        <w:t xml:space="preserve"> </w:t>
      </w:r>
      <w:r>
        <w:rPr>
          <w:bCs/>
          <w:b/>
        </w:rPr>
        <w:t xml:space="preserve">factory_gate</w:t>
      </w:r>
      <w:r>
        <w:t xml:space="preserve">, encompassing all upstream activities including raw material extraction, processing, manufacturing, and transport to the factory gate. For a comprehensive PCF as required, the analysis extends beyond the factory gate to include transport to consumer, use phase, and end-of-life.</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This geographical context is crucial for selecting appropriate emission factors, particularly for energy grids and transportation.</w:t>
      </w:r>
    </w:p>
    <w:p>
      <w:pPr>
        <w:numPr>
          <w:ilvl w:val="0"/>
          <w:numId w:val="1001"/>
        </w:numPr>
        <w:pStyle w:val="Compact"/>
      </w:pPr>
      <w:r>
        <w:rPr>
          <w:bCs/>
          <w:b/>
        </w:rPr>
        <w:t xml:space="preserve">Allocation:</w:t>
      </w:r>
      <w:r>
        <w:t xml:space="preserve"> </w:t>
      </w:r>
      <w:r>
        <w:t xml:space="preserve">Allocation of environmental burdens for co-products and recycling is performed according to GHG Protocol guidelines, typically using physical allocation (e.g., mass) where possible, or economic allocation when physical relationships are unclear. For end-of-life, the avoided burden approach is utilized, considering the benefits of recycling.</w:t>
      </w:r>
    </w:p>
    <w:p>
      <w:pPr>
        <w:numPr>
          <w:ilvl w:val="0"/>
          <w:numId w:val="1001"/>
        </w:numPr>
        <w:pStyle w:val="Compact"/>
      </w:pPr>
      <w:r>
        <w:rPr>
          <w:bCs/>
          <w:b/>
        </w:rPr>
        <w:t xml:space="preserve">Accounting Standard:</w:t>
      </w:r>
      <w:r>
        <w:t xml:space="preserve"> </w:t>
      </w:r>
      <w:r>
        <w:t xml:space="preserve">The chosen accounting standard is the</w:t>
      </w:r>
      <w:r>
        <w:t xml:space="preserve"> </w:t>
      </w:r>
      <w:r>
        <w:rPr>
          <w:bCs/>
          <w:b/>
        </w:rPr>
        <w:t xml:space="preserve">GHG Protocol</w:t>
      </w:r>
      <w:r>
        <w:t xml:space="preserve">, specifically the Product Life Cycle Accounting and Reporting Standard.</w:t>
      </w:r>
    </w:p>
    <w:bookmarkEnd w:id="24"/>
    <w:bookmarkStart w:id="25"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ildszlsjiv</w:t>
      </w:r>
      <w:r>
        <w:t xml:space="preserve"> </w:t>
      </w:r>
      <w:r>
        <w:t xml:space="preserve">is mapped across several stages, for which material and energy inputs are identified. These stages are:</w:t>
      </w:r>
    </w:p>
    <w:p>
      <w:pPr>
        <w:numPr>
          <w:ilvl w:val="0"/>
          <w:numId w:val="1002"/>
        </w:numPr>
        <w:pStyle w:val="Compact"/>
      </w:pPr>
      <w:r>
        <w:rPr>
          <w:bCs/>
          <w:b/>
        </w:rPr>
        <w:t xml:space="preserve">Raw Material Acquisition &amp; Pre-processing:</w:t>
      </w:r>
      <w:r>
        <w:t xml:space="preserve"> </w:t>
      </w:r>
      <w:r>
        <w:t xml:space="preserve">Extraction, processing, and refining of all raw materials.</w:t>
      </w:r>
    </w:p>
    <w:p>
      <w:pPr>
        <w:numPr>
          <w:ilvl w:val="0"/>
          <w:numId w:val="1002"/>
        </w:numPr>
        <w:pStyle w:val="Compact"/>
      </w:pPr>
      <w:r>
        <w:rPr>
          <w:bCs/>
          <w:b/>
        </w:rPr>
        <w:t xml:space="preserve">Manufacturing:</w:t>
      </w:r>
      <w:r>
        <w:t xml:space="preserve"> </w:t>
      </w:r>
      <w:r>
        <w:t xml:space="preserve">Production processes at the factory, including energy consumption, waste generation, and direct emissions.</w:t>
      </w:r>
    </w:p>
    <w:p>
      <w:pPr>
        <w:numPr>
          <w:ilvl w:val="0"/>
          <w:numId w:val="1002"/>
        </w:numPr>
        <w:pStyle w:val="Compact"/>
      </w:pPr>
      <w:r>
        <w:rPr>
          <w:bCs/>
          <w:b/>
        </w:rPr>
        <w:t xml:space="preserve">Transportation &amp; Distribution:</w:t>
      </w:r>
      <w:r>
        <w:t xml:space="preserve"> </w:t>
      </w:r>
      <w:r>
        <w:t xml:space="preserve">Transport of raw materials to the factory, and finished products to the customer.</w:t>
      </w:r>
    </w:p>
    <w:p>
      <w:pPr>
        <w:numPr>
          <w:ilvl w:val="0"/>
          <w:numId w:val="1002"/>
        </w:numPr>
        <w:pStyle w:val="Compact"/>
      </w:pPr>
      <w:r>
        <w:rPr>
          <w:bCs/>
          <w:b/>
        </w:rPr>
        <w:t xml:space="preserve">Use Phase:</w:t>
      </w:r>
      <w:r>
        <w:t xml:space="preserve"> </w:t>
      </w:r>
      <w:r>
        <w:t xml:space="preserve">Energy consumption and consumables during the product\'s lifespan.</w:t>
      </w:r>
    </w:p>
    <w:p>
      <w:pPr>
        <w:numPr>
          <w:ilvl w:val="0"/>
          <w:numId w:val="1002"/>
        </w:numPr>
        <w:pStyle w:val="Compact"/>
      </w:pPr>
      <w:r>
        <w:rPr>
          <w:bCs/>
          <w:b/>
        </w:rPr>
        <w:t xml:space="preserve">End-of-Life:</w:t>
      </w:r>
      <w:r>
        <w:t xml:space="preserve"> </w:t>
      </w:r>
      <w:r>
        <w:t xml:space="preserve">Disposal, recycling, or recovery processes for the product and its components.</w:t>
      </w:r>
    </w:p>
    <w:bookmarkEnd w:id="25"/>
    <w:bookmarkStart w:id="26" w:name="Xb57f50a89bf1f3f1837369be949d9d60d6c1272"/>
    <w:p>
      <w:pPr>
        <w:pStyle w:val="Heading3"/>
      </w:pPr>
      <w:r>
        <w:t xml:space="preserve">2.3. Collect Data (Primary/Secondary Data Points)</w:t>
      </w:r>
    </w:p>
    <w:p>
      <w:pPr>
        <w:pStyle w:val="FirstParagraph"/>
      </w:pPr>
      <w:r>
        <w:t xml:space="preserve">Data collection involves gathering quantitative information on all inputs and outputs within the defined system boundaries for each lifecycle stage. Where primary data from</w:t>
      </w:r>
      <w:r>
        <w:t xml:space="preserve"> </w:t>
      </w:r>
      <w:r>
        <w:rPr>
          <w:bCs/>
          <w:b/>
        </w:rPr>
        <w:t xml:space="preserve">ntirltrjxt</w:t>
      </w:r>
      <w:r>
        <w:t xml:space="preserve"> </w:t>
      </w:r>
      <w:r>
        <w:t xml:space="preserve">is unavailable or specified as placeholders, secondary data from reputable industry databases (e.g., Ecoinvent, DEFRA) are used for illustrative calculations.</w:t>
      </w:r>
    </w:p>
    <w:p>
      <w:pPr>
        <w:pStyle w:val="BodyText"/>
      </w:pPr>
      <w:r>
        <w:t xml:space="preserve">Specific data parameters provided and incorporated into the analysis include:</w:t>
      </w:r>
    </w:p>
    <w:p>
      <w:pPr>
        <w:numPr>
          <w:ilvl w:val="0"/>
          <w:numId w:val="1003"/>
        </w:numPr>
        <w:pStyle w:val="Compact"/>
      </w:pPr>
      <w:r>
        <w:rPr>
          <w:bCs/>
          <w:b/>
        </w:rPr>
        <w:t xml:space="preserve">Detailed Bill of Materials (BOM):</w:t>
      </w:r>
      <w:r>
        <w:t xml:space="preserve"> </w:t>
      </w:r>
      <w:r>
        <w:t xml:space="preserve">mtmkigmk (Illustrative data derived from typical product components and assumed for calculation purposes, adhering to the specified format: ID, Description, Category, Process, Qty, Unit, Emission Factor, Total Carbon).</w:t>
      </w:r>
    </w:p>
    <w:p>
      <w:pPr>
        <w:numPr>
          <w:ilvl w:val="0"/>
          <w:numId w:val="1003"/>
        </w:numPr>
        <w:pStyle w:val="Compact"/>
      </w:pPr>
      <w:r>
        <w:rPr>
          <w:bCs/>
          <w:b/>
        </w:rPr>
        <w:t xml:space="preserve">Transport Mode:</w:t>
      </w:r>
      <w:r>
        <w:t xml:space="preserve"> </w:t>
      </w:r>
      <w:r>
        <w:t xml:space="preserve">Select Mode (Illustratively assumed as "Sea Freight" for primary transport and "Road Transport" for last-mile delivery).</w:t>
      </w:r>
    </w:p>
    <w:p>
      <w:pPr>
        <w:numPr>
          <w:ilvl w:val="0"/>
          <w:numId w:val="1003"/>
        </w:numPr>
        <w:pStyle w:val="Compact"/>
      </w:pPr>
      <w:r>
        <w:rPr>
          <w:bCs/>
          <w:b/>
        </w:rPr>
        <w:t xml:space="preserve">Transport Distance:</w:t>
      </w:r>
      <w:r>
        <w:t xml:space="preserve"> </w:t>
      </w:r>
      <w:r>
        <w:t xml:space="preserve">roswffyver (Illustratively assumed as 10,000 km for sea freight and 500 km for road freight).</w:t>
      </w:r>
    </w:p>
    <w:p>
      <w:pPr>
        <w:numPr>
          <w:ilvl w:val="0"/>
          <w:numId w:val="1003"/>
        </w:numPr>
        <w:pStyle w:val="Compact"/>
      </w:pPr>
      <w:r>
        <w:rPr>
          <w:bCs/>
          <w:b/>
        </w:rPr>
        <w:t xml:space="preserve">Last-Mile Delivery Channel:</w:t>
      </w:r>
      <w:r>
        <w:t xml:space="preserve"> </w:t>
      </w:r>
      <w:r>
        <w:t xml:space="preserve">Delivery Type (Illustratively considered as part of general road transport).</w:t>
      </w:r>
    </w:p>
    <w:p>
      <w:pPr>
        <w:numPr>
          <w:ilvl w:val="0"/>
          <w:numId w:val="1003"/>
        </w:numPr>
        <w:pStyle w:val="Compact"/>
      </w:pPr>
      <w:r>
        <w:rPr>
          <w:bCs/>
          <w:b/>
        </w:rPr>
        <w:t xml:space="preserve">Renewable Energy Usage:</w:t>
      </w:r>
      <w:r>
        <w:t xml:space="preserve"> </w:t>
      </w:r>
      <w:r>
        <w:t xml:space="preserve">mhudydfzvo (Illustratively assumed as 50% for production).</w:t>
      </w:r>
    </w:p>
    <w:p>
      <w:pPr>
        <w:numPr>
          <w:ilvl w:val="0"/>
          <w:numId w:val="1003"/>
        </w:numPr>
        <w:pStyle w:val="Compact"/>
      </w:pPr>
      <w:r>
        <w:rPr>
          <w:bCs/>
          <w:b/>
        </w:rPr>
        <w:t xml:space="preserve">Energy Intensity (kWh/unit):</w:t>
      </w:r>
      <w:r>
        <w:t xml:space="preserve"> </w:t>
      </w:r>
      <w:r>
        <w:t xml:space="preserve">nisgdpfwtv (Illustratively assumed as 10 kWh/unit for production).</w:t>
      </w:r>
    </w:p>
    <w:p>
      <w:pPr>
        <w:numPr>
          <w:ilvl w:val="0"/>
          <w:numId w:val="1003"/>
        </w:numPr>
        <w:pStyle w:val="Compact"/>
      </w:pPr>
      <w:r>
        <w:rPr>
          <w:bCs/>
          <w:b/>
        </w:rPr>
        <w:t xml:space="preserve">Product Lifespan:</w:t>
      </w:r>
      <w:r>
        <w:t xml:space="preserve"> </w:t>
      </w:r>
      <w:r>
        <w:t xml:space="preserve">nknsntjzoz (Illustratively assumed as 5 years).</w:t>
      </w:r>
    </w:p>
    <w:p>
      <w:pPr>
        <w:numPr>
          <w:ilvl w:val="0"/>
          <w:numId w:val="1003"/>
        </w:numPr>
        <w:pStyle w:val="Compact"/>
      </w:pPr>
      <w:r>
        <w:rPr>
          <w:bCs/>
          <w:b/>
        </w:rPr>
        <w:t xml:space="preserve">Energy Consumption in Use:</w:t>
      </w:r>
      <w:r>
        <w:t xml:space="preserve"> </w:t>
      </w:r>
      <w:r>
        <w:t xml:space="preserve">wsydlmlefh (Illustratively assumed as 20 kWh/year).</w:t>
      </w:r>
    </w:p>
    <w:p>
      <w:pPr>
        <w:numPr>
          <w:ilvl w:val="0"/>
          <w:numId w:val="1003"/>
        </w:numPr>
        <w:pStyle w:val="Compact"/>
      </w:pPr>
      <w:r>
        <w:rPr>
          <w:bCs/>
          <w:b/>
        </w:rPr>
        <w:t xml:space="preserve">Recyclability Percentage:</w:t>
      </w:r>
      <w:r>
        <w:t xml:space="preserve"> </w:t>
      </w:r>
      <w:r>
        <w:t xml:space="preserve">qwmigswyis (Illustratively assumed as 70% for end-of-life).</w:t>
      </w:r>
    </w:p>
    <w:p>
      <w:pPr>
        <w:numPr>
          <w:ilvl w:val="0"/>
          <w:numId w:val="1003"/>
        </w:numPr>
        <w:pStyle w:val="Compact"/>
      </w:pPr>
      <w:r>
        <w:rPr>
          <w:bCs/>
          <w:b/>
        </w:rPr>
        <w:t xml:space="preserve">Circular/Take-back Programs:</w:t>
      </w:r>
      <w:r>
        <w:t xml:space="preserve"> </w:t>
      </w:r>
      <w:r>
        <w:t xml:space="preserve">drhyvrqwgq (Illustratively assumed as "Company-operated take-back program available" which enhances recyclability).</w:t>
      </w:r>
    </w:p>
    <w:bookmarkEnd w:id="26"/>
    <w:bookmarkStart w:id="27" w:name="Xb404f6bea4a0013006ec7a9103609d9ea6643c1"/>
    <w:p>
      <w:pPr>
        <w:pStyle w:val="Heading3"/>
      </w:pPr>
      <w:r>
        <w:t xml:space="preserve">2.4. Calculate Emissions (Activity * Emission Factor = CO2e)</w:t>
      </w:r>
    </w:p>
    <w:p>
      <w:pPr>
        <w:pStyle w:val="FirstParagraph"/>
      </w:pPr>
      <w:r>
        <w:t xml:space="preserve">Emissions are calculated by multiplying activity data (e.g., kg of material, kWh of energy, tkm of transport) by corresponding emission factors (EFs). These EFs are sourced from industry-standard databases such as Ecoinvent and DEFRA. Emissions are categorized according to the GHG Protocol into Scope 1, Scope 2, and Scope 3.</w:t>
      </w:r>
    </w:p>
    <w:p>
      <w:pPr>
        <w:numPr>
          <w:ilvl w:val="0"/>
          <w:numId w:val="1004"/>
        </w:numPr>
        <w:pStyle w:val="Compact"/>
      </w:pPr>
      <w:r>
        <w:rPr>
          <w:bCs/>
          <w:b/>
        </w:rPr>
        <w:t xml:space="preserve">Scope 1 (Direct Emissions):</w:t>
      </w:r>
      <w:r>
        <w:t xml:space="preserve"> </w:t>
      </w:r>
      <w:r>
        <w:t xml:space="preserve">GHG emissions from sources owned or controlled by</w:t>
      </w:r>
      <w:r>
        <w:t xml:space="preserve"> </w:t>
      </w:r>
      <w:r>
        <w:rPr>
          <w:bCs/>
          <w:b/>
        </w:rPr>
        <w:t xml:space="preserve">ntirltrjxt</w:t>
      </w:r>
      <w:r>
        <w:t xml:space="preserve"> </w:t>
      </w:r>
      <w:r>
        <w:t xml:space="preserve">(e.g., direct fuel combustion in owned vehicles or facilities). For a \'factory_gate\' boundary and a product PCF, this would primarily relate to on-site manufacturing emissions not covered by purchased electricity.</w:t>
      </w:r>
    </w:p>
    <w:p>
      <w:pPr>
        <w:numPr>
          <w:ilvl w:val="0"/>
          <w:numId w:val="1004"/>
        </w:numPr>
        <w:pStyle w:val="Compact"/>
      </w:pPr>
      <w:r>
        <w:rPr>
          <w:bCs/>
          <w:b/>
        </w:rPr>
        <w:t xml:space="preserve">Scope 2 (Energy Indirect Emissions):</w:t>
      </w:r>
      <w:r>
        <w:t xml:space="preserve"> </w:t>
      </w:r>
      <w:r>
        <w:t xml:space="preserve">GHG emissions from the generation of purchased electricity, steam, heat, or cooling consumed by</w:t>
      </w:r>
      <w:r>
        <w:t xml:space="preserve"> </w:t>
      </w:r>
      <w:r>
        <w:rPr>
          <w:bCs/>
          <w:b/>
        </w:rPr>
        <w:t xml:space="preserve">ntirltrjxt</w:t>
      </w:r>
      <w:r>
        <w:t xml:space="preserve">.</w:t>
      </w:r>
    </w:p>
    <w:p>
      <w:pPr>
        <w:numPr>
          <w:ilvl w:val="0"/>
          <w:numId w:val="1004"/>
        </w:numPr>
        <w:pStyle w:val="Compact"/>
      </w:pPr>
      <w:r>
        <w:rPr>
          <w:bCs/>
          <w:b/>
        </w:rPr>
        <w:t xml:space="preserve">Scope 3 (Other Indirect Emissions):</w:t>
      </w:r>
      <w:r>
        <w:t xml:space="preserve"> </w:t>
      </w:r>
      <w:r>
        <w:t xml:space="preserve">All other indirect emissions occurring in the value chain of</w:t>
      </w:r>
      <w:r>
        <w:t xml:space="preserve"> </w:t>
      </w:r>
      <w:r>
        <w:rPr>
          <w:bCs/>
          <w:b/>
        </w:rPr>
        <w:t xml:space="preserve">ildszlsjiv</w:t>
      </w:r>
      <w:r>
        <w:t xml:space="preserve">, both upstream and downstream. This includes emissions from purchased goods and services (materials), capital goods, fuel- and energy-related activities, transportation and distribution, waste generated in operations, business travel, employee commuting, leased assets, processing of sold products, use of sold products, end-of-life treatment of sold products, and franchises.</w:t>
      </w:r>
    </w:p>
    <w:p>
      <w:pPr>
        <w:pStyle w:val="FirstParagraph"/>
      </w:pPr>
      <w:r>
        <w:rPr>
          <w:bCs/>
          <w:b/>
        </w:rPr>
        <w:t xml:space="preserve">2026 LSR Update:</w:t>
      </w:r>
      <w:r>
        <w:t xml:space="preserve"> </w:t>
      </w:r>
      <w:r>
        <w:t xml:space="preserve">The Land Sector and Removals (LSR) Standard is applied to account for land use change and carbon removals, integrating biogenic carbon flows where relevant in the product\'s lifecycle, particularly for any bio-based materials.</w:t>
      </w:r>
    </w:p>
    <w:p>
      <w:pPr>
        <w:pStyle w:val="BodyText"/>
      </w:pPr>
      <w:r>
        <w:rPr>
          <w:bCs/>
          <w:b/>
        </w:rPr>
        <w:t xml:space="preserve">SCOPE 3 Compliance:</w:t>
      </w:r>
      <w:r>
        <w:t xml:space="preserve"> </w:t>
      </w:r>
      <w:r>
        <w:t xml:space="preserve">Ensuring at least 95% coverage for Scope 3 reporting is a critical 2026 requirement. This analysis strives for comprehensive inclusion of all material Scope 3 categories, leveraging illustrative data where specific primary data was not available for direct quantification.</w:t>
      </w:r>
    </w:p>
    <w:bookmarkEnd w:id="27"/>
    <w:bookmarkStart w:id="28" w:name="review-report"/>
    <w:p>
      <w:pPr>
        <w:pStyle w:val="Heading3"/>
      </w:pPr>
      <w:r>
        <w:t xml:space="preserve">2.5. Review &amp; Report</w:t>
      </w:r>
    </w:p>
    <w:p>
      <w:pPr>
        <w:pStyle w:val="FirstParagraph"/>
      </w:pPr>
      <w:r>
        <w:t xml:space="preserve">The final step involves reviewing the calculations for accuracy and completeness, identifying emission hotspots, and preparing a clear, transparent report. This includes qualitative and quantitative findings, highlighting areas for potential emission reductions and process improvements.</w:t>
      </w:r>
    </w:p>
    <w:p>
      <w:r>
        <w:pict>
          <v:rect style="width:0;height:1.5pt" o:hralign="center" o:hrstd="t" o:hr="t"/>
        </w:pict>
      </w:r>
    </w:p>
    <w:bookmarkEnd w:id="28"/>
    <w:bookmarkEnd w:id="29"/>
    <w:bookmarkStart w:id="36" w:name="Xa6637142434648db7bd7037bb45a2b662765511"/>
    <w:p>
      <w:pPr>
        <w:pStyle w:val="Heading2"/>
      </w:pPr>
      <w:r>
        <w:t xml:space="preserve">3. Product Carbon Footprint Analysis for ildszlsjiv</w:t>
      </w:r>
    </w:p>
    <w:p>
      <w:pPr>
        <w:pStyle w:val="FirstParagraph"/>
      </w:pPr>
      <w:r>
        <w:t xml:space="preserve">This section details the calculation of the Product Carbon Footprint for</w:t>
      </w:r>
      <w:r>
        <w:t xml:space="preserve"> </w:t>
      </w:r>
      <w:r>
        <w:rPr>
          <w:bCs/>
          <w:b/>
        </w:rPr>
        <w:t xml:space="preserve">ildszlsjiv</w:t>
      </w:r>
      <w:r>
        <w:t xml:space="preserve"> </w:t>
      </w:r>
      <w:r>
        <w:t xml:space="preserve">across its lifecycle stages. All calculations use the illustrative data and emission factors as described in the methodology, clearly indicating assumptions where actual numerical parameters were not provided in the prompt.</w:t>
      </w:r>
    </w:p>
    <w:bookmarkStart w:id="30" w:name="X5438676cbbfc16d233369ca044a35313447161c"/>
    <w:p>
      <w:pPr>
        <w:pStyle w:val="Heading3"/>
      </w:pPr>
      <w:r>
        <w:t xml:space="preserve">3.1. Bill of Materials (BOM) Analysis (Scope 3 - Upstream)</w:t>
      </w:r>
    </w:p>
    <w:p>
      <w:pPr>
        <w:pStyle w:val="FirstParagraph"/>
      </w:pPr>
      <w:r>
        <w:t xml:space="preserve">The detailed Bill of Materials (BOM), referred to as \'mtmkigmk\' in the parameters, is critical for quantifying the upstream material impact. For illustrative purposes, we assume the following BOM composition for one unit of</w:t>
      </w:r>
      <w:r>
        <w:t xml:space="preserve"> </w:t>
      </w:r>
      <w:r>
        <w:rPr>
          <w:bCs/>
          <w:b/>
        </w:rPr>
        <w:t xml:space="preserve">ildszlsjiv</w:t>
      </w:r>
      <w:r>
        <w:t xml:space="preserve">. The emission factors are based on industry averages (e.g., Ecoinvent/DEFRA).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Primary Steel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1.70</w:t>
            </w:r>
          </w:p>
        </w:tc>
        <w:tc>
          <w:tcPr/>
          <w:p>
            <w:pPr>
              <w:pStyle w:val="Compact"/>
              <w:jc w:val="left"/>
            </w:pPr>
            <w:r>
              <w:t xml:space="preserve">0.85</w:t>
            </w:r>
          </w:p>
        </w:tc>
      </w:tr>
      <w:tr>
        <w:tc>
          <w:tcPr/>
          <w:p>
            <w:pPr>
              <w:pStyle w:val="Compact"/>
              <w:jc w:val="left"/>
            </w:pPr>
            <w:r>
              <w:t xml:space="preserve">M002</w:t>
            </w:r>
          </w:p>
        </w:tc>
        <w:tc>
          <w:tcPr/>
          <w:p>
            <w:pPr>
              <w:pStyle w:val="Compact"/>
              <w:jc w:val="left"/>
            </w:pPr>
            <w:r>
              <w:t xml:space="preserve">HDPE Plastic Housing</w:t>
            </w:r>
          </w:p>
        </w:tc>
        <w:tc>
          <w:tcPr/>
          <w:p>
            <w:pPr>
              <w:pStyle w:val="Compact"/>
              <w:jc w:val="left"/>
            </w:pPr>
            <w:r>
              <w:t xml:space="preserve">Plastic</w:t>
            </w:r>
          </w:p>
        </w:tc>
        <w:tc>
          <w:tcPr/>
          <w:p>
            <w:pPr>
              <w:pStyle w:val="Compact"/>
              <w:jc w:val="left"/>
            </w:pPr>
            <w:r>
              <w:t xml:space="preserve">HDPE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1.90</w:t>
            </w:r>
          </w:p>
        </w:tc>
        <w:tc>
          <w:tcPr/>
          <w:p>
            <w:pPr>
              <w:pStyle w:val="Compact"/>
              <w:jc w:val="left"/>
            </w:pPr>
            <w:r>
              <w:t xml:space="preserve">0.38</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 (Illustrative)</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Paperboard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0.80 (Illustrative)</w:t>
            </w:r>
          </w:p>
        </w:tc>
        <w:tc>
          <w:tcPr/>
          <w:p>
            <w:pPr>
              <w:pStyle w:val="Compact"/>
              <w:jc w:val="left"/>
            </w:pPr>
            <w:r>
              <w:t xml:space="preserve">0.04</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2.27</w:t>
            </w:r>
          </w:p>
        </w:tc>
      </w:tr>
    </w:tbl>
    <w:p>
      <w:pPr>
        <w:pStyle w:val="BodyText"/>
      </w:pPr>
      <w:r>
        <w:rPr>
          <w:iCs/>
          <w:i/>
        </w:rPr>
        <w:t xml:space="preserve">(Note: Emission factors are illustrative and based on publicly available data, referencing general industry averages from sources like Ecoinvent/DEFRA where specific values for \'mtmkigmk\' were not provided.)</w:t>
      </w:r>
    </w:p>
    <w:bookmarkEnd w:id="30"/>
    <w:bookmarkStart w:id="31" w:name="Xef05e4511ad01d3908f681dbb06ba24b58f1b66"/>
    <w:p>
      <w:pPr>
        <w:pStyle w:val="Heading3"/>
      </w:pPr>
      <w:r>
        <w:t xml:space="preserve">3.2. Production Phase (Scope 2 - Purchased Electricity)</w:t>
      </w:r>
    </w:p>
    <w:p>
      <w:pPr>
        <w:pStyle w:val="FirstParagraph"/>
      </w:pPr>
      <w:r>
        <w:t xml:space="preserve">Emissions from the production phase at the factory gate are primarily driven by electricity consumption. The parameters provided are \'nisgdpfwtv\' for Energy Intensity and \'mhudydfzvo\' for Renewable Energy Usage.</w:t>
      </w:r>
    </w:p>
    <w:p>
      <w:pPr>
        <w:numPr>
          <w:ilvl w:val="0"/>
          <w:numId w:val="1005"/>
        </w:numPr>
        <w:pStyle w:val="Compact"/>
      </w:pPr>
      <w:r>
        <w:rPr>
          <w:bCs/>
          <w:b/>
        </w:rPr>
        <w:t xml:space="preserve">Energy Intensity:</w:t>
      </w:r>
      <w:r>
        <w:t xml:space="preserve"> </w:t>
      </w:r>
      <w:r>
        <w:t xml:space="preserve">10 kWh/unit (nisgdpfwtv) (Illustrative)</w:t>
      </w:r>
    </w:p>
    <w:p>
      <w:pPr>
        <w:numPr>
          <w:ilvl w:val="0"/>
          <w:numId w:val="1005"/>
        </w:numPr>
        <w:pStyle w:val="Compact"/>
      </w:pPr>
      <w:r>
        <w:rPr>
          <w:bCs/>
          <w:b/>
        </w:rPr>
        <w:t xml:space="preserve">Renewable Energy Usage:</w:t>
      </w:r>
      <w:r>
        <w:t xml:space="preserve"> </w:t>
      </w:r>
      <w:r>
        <w:t xml:space="preserve">50% (mhudydfzvo) (Illustrative)</w:t>
      </w:r>
    </w:p>
    <w:p>
      <w:pPr>
        <w:numPr>
          <w:ilvl w:val="0"/>
          <w:numId w:val="1005"/>
        </w:numPr>
        <w:pStyle w:val="Compact"/>
      </w:pPr>
      <w:r>
        <w:rPr>
          <w:bCs/>
          <w:b/>
        </w:rPr>
        <w:t xml:space="preserve">Non-Renewable Energy:</w:t>
      </w:r>
      <w:r>
        <w:t xml:space="preserve"> </w:t>
      </w:r>
      <w:r>
        <w:t xml:space="preserve">10 kWh/unit * (1 - 50%) = 5 kWh/unit</w:t>
      </w:r>
    </w:p>
    <w:p>
      <w:pPr>
        <w:numPr>
          <w:ilvl w:val="0"/>
          <w:numId w:val="1005"/>
        </w:numPr>
        <w:pStyle w:val="Compact"/>
      </w:pPr>
      <w:r>
        <w:rPr>
          <w:bCs/>
          <w:b/>
        </w:rPr>
        <w:t xml:space="preserve">Electricity Emission Factor (China Grid Average):</w:t>
      </w:r>
      <w:r>
        <w:t xml:space="preserve"> </w:t>
      </w:r>
      <w:r>
        <w:t xml:space="preserve">0.6835 kg CO2e/kWh</w:t>
      </w:r>
    </w:p>
    <w:p>
      <w:pPr>
        <w:pStyle w:val="FirstParagraph"/>
      </w:pPr>
      <w:r>
        <w:rPr>
          <w:bCs/>
          <w:b/>
        </w:rPr>
        <w:t xml:space="preserve">Calculation:</w:t>
      </w:r>
      <w:r>
        <w:br/>
      </w:r>
      <w:r>
        <w:t xml:space="preserve">Production Emissions (Scope 2) = Non-Renewable Energy (kWh/unit) * Electricity EF (kg CO2e/kWh)</w:t>
      </w:r>
      <w:r>
        <w:br/>
      </w:r>
      <w:r>
        <w:t xml:space="preserve">Production Emissions = 5 kWh/unit * 0.6835 kg CO2e/kWh =</w:t>
      </w:r>
      <w:r>
        <w:t xml:space="preserve"> </w:t>
      </w:r>
      <w:r>
        <w:rPr>
          <w:bCs/>
          <w:b/>
        </w:rPr>
        <w:t xml:space="preserve">3.4175 kg CO2e/unit</w:t>
      </w:r>
    </w:p>
    <w:bookmarkEnd w:id="31"/>
    <w:bookmarkStart w:id="32" w:name="X5f0068cb99c4b33a65ac6e9e1cc8f61e47b7404"/>
    <w:p>
      <w:pPr>
        <w:pStyle w:val="Heading3"/>
      </w:pPr>
      <w:r>
        <w:t xml:space="preserve">3.3. Logistics and Supply Chain Analysis (Scope 3 - Upstream &amp; Downstream Transport)</w:t>
      </w:r>
    </w:p>
    <w:p>
      <w:pPr>
        <w:pStyle w:val="FirstParagraph"/>
      </w:pPr>
      <w:r>
        <w:t xml:space="preserve">Transportation emissions are calculated based on the provided parameters: \'Select Mode\' for Transport Mode, \'roswffyver\' for Transport Distance, and \'Delivery Type\' for Last-Mile Delivery Channel. We assume a total product weight of 1 kg for transport calculations and a two-stage transport scenario.</w:t>
      </w:r>
    </w:p>
    <w:p>
      <w:pPr>
        <w:numPr>
          <w:ilvl w:val="0"/>
          <w:numId w:val="1006"/>
        </w:numPr>
        <w:pStyle w:val="Compact"/>
      </w:pPr>
      <w:r>
        <w:rPr>
          <w:bCs/>
          <w:b/>
        </w:rPr>
        <w:t xml:space="preserve">Total Product Weight:</w:t>
      </w:r>
      <w:r>
        <w:t xml:space="preserve"> </w:t>
      </w:r>
      <w:r>
        <w:t xml:space="preserve">1 kg (Illustrative)</w:t>
      </w:r>
    </w:p>
    <w:p>
      <w:pPr>
        <w:numPr>
          <w:ilvl w:val="0"/>
          <w:numId w:val="1006"/>
        </w:numPr>
        <w:pStyle w:val="Compact"/>
      </w:pPr>
      <w:r>
        <w:rPr>
          <w:bCs/>
          <w:b/>
        </w:rPr>
        <w:t xml:space="preserve">Transport Mode 1 (Primary):</w:t>
      </w:r>
      <w:r>
        <w:t xml:space="preserve"> </w:t>
      </w:r>
      <w:r>
        <w:t xml:space="preserve">Sea Freight (Select Mode)</w:t>
      </w:r>
    </w:p>
    <w:p>
      <w:pPr>
        <w:numPr>
          <w:ilvl w:val="0"/>
          <w:numId w:val="1006"/>
        </w:numPr>
        <w:pStyle w:val="Compact"/>
      </w:pPr>
      <w:r>
        <w:rPr>
          <w:bCs/>
          <w:b/>
        </w:rPr>
        <w:t xml:space="preserve">Transport Distance 1:</w:t>
      </w:r>
      <w:r>
        <w:t xml:space="preserve"> </w:t>
      </w:r>
      <w:r>
        <w:t xml:space="preserve">10,000 km (roswffyver) (Illustrative)</w:t>
      </w:r>
    </w:p>
    <w:p>
      <w:pPr>
        <w:numPr>
          <w:ilvl w:val="0"/>
          <w:numId w:val="1006"/>
        </w:numPr>
        <w:pStyle w:val="Compact"/>
      </w:pPr>
      <w:r>
        <w:rPr>
          <w:bCs/>
          <w:b/>
        </w:rPr>
        <w:t xml:space="preserve">Sea Freight Emission Factor:</w:t>
      </w:r>
      <w:r>
        <w:t xml:space="preserve"> </w:t>
      </w:r>
      <w:r>
        <w:t xml:space="preserve">0.016 kg CO2e/tonne-km</w:t>
      </w:r>
    </w:p>
    <w:p>
      <w:pPr>
        <w:numPr>
          <w:ilvl w:val="0"/>
          <w:numId w:val="1006"/>
        </w:numPr>
        <w:pStyle w:val="Compact"/>
      </w:pPr>
      <w:r>
        <w:rPr>
          <w:bCs/>
          <w:b/>
        </w:rPr>
        <w:t xml:space="preserve">Transport Mode 2 (Last-Mile):</w:t>
      </w:r>
      <w:r>
        <w:t xml:space="preserve"> </w:t>
      </w:r>
      <w:r>
        <w:t xml:space="preserve">Road Transport (Delivery Type / Select Mode)</w:t>
      </w:r>
    </w:p>
    <w:p>
      <w:pPr>
        <w:numPr>
          <w:ilvl w:val="0"/>
          <w:numId w:val="1006"/>
        </w:numPr>
        <w:pStyle w:val="Compact"/>
      </w:pPr>
      <w:r>
        <w:rPr>
          <w:bCs/>
          <w:b/>
        </w:rPr>
        <w:t xml:space="preserve">Transport Distance 2:</w:t>
      </w:r>
      <w:r>
        <w:t xml:space="preserve"> </w:t>
      </w:r>
      <w:r>
        <w:t xml:space="preserve">500 km (roswffyver) (Illustrative)</w:t>
      </w:r>
    </w:p>
    <w:p>
      <w:pPr>
        <w:numPr>
          <w:ilvl w:val="0"/>
          <w:numId w:val="1006"/>
        </w:numPr>
        <w:pStyle w:val="Compact"/>
      </w:pPr>
      <w:r>
        <w:rPr>
          <w:bCs/>
          <w:b/>
        </w:rPr>
        <w:t xml:space="preserve">Road Transport Emission Factor (HGV):</w:t>
      </w:r>
      <w:r>
        <w:t xml:space="preserve"> </w:t>
      </w:r>
      <w:r>
        <w:t xml:space="preserve">0.07 kg CO2e/tonne-km (70 g CO2e/tonne-km)</w:t>
      </w:r>
    </w:p>
    <w:p>
      <w:pPr>
        <w:pStyle w:val="FirstParagraph"/>
      </w:pPr>
      <w:r>
        <w:rPr>
          <w:bCs/>
          <w:b/>
        </w:rPr>
        <w:t xml:space="preserve">Calculation:</w:t>
      </w:r>
      <w:r>
        <w:br/>
      </w:r>
      <w:r>
        <w:t xml:space="preserve">Sea Freight Emissions = (1 kg / 1000) tonne * 10,000 km * 0.016 kg CO2e/tonne-km = 0.1 * 0.016 =</w:t>
      </w:r>
      <w:r>
        <w:t xml:space="preserve"> </w:t>
      </w:r>
      <w:r>
        <w:rPr>
          <w:bCs/>
          <w:b/>
        </w:rPr>
        <w:t xml:space="preserve">0.16 kg CO2e</w:t>
      </w:r>
      <w:r>
        <w:br/>
      </w:r>
      <w:r>
        <w:t xml:space="preserve">Road Transport Emissions = (1 kg / 1000) tonne * 500 km * 0.07 kg CO2e/tonne-km = 0.0005 * 0.07 =</w:t>
      </w:r>
      <w:r>
        <w:t xml:space="preserve"> </w:t>
      </w:r>
      <w:r>
        <w:rPr>
          <w:bCs/>
          <w:b/>
        </w:rPr>
        <w:t xml:space="preserve">0.035 kg CO2e</w:t>
      </w:r>
      <w:r>
        <w:br/>
      </w:r>
      <w:r>
        <w:rPr>
          <w:bCs/>
          <w:b/>
        </w:rPr>
        <w:t xml:space="preserve">Total Transport Emissions (Scope 3): 0.16 + 0.035 = 0.195 kg CO2e/unit</w:t>
      </w:r>
    </w:p>
    <w:bookmarkEnd w:id="32"/>
    <w:bookmarkStart w:id="33" w:name="use-phase-analysis-scope-3---downstream"/>
    <w:p>
      <w:pPr>
        <w:pStyle w:val="Heading3"/>
      </w:pPr>
      <w:r>
        <w:t xml:space="preserve">3.4. Use Phase Analysis (Scope 3 - Downstream)</w:t>
      </w:r>
    </w:p>
    <w:p>
      <w:pPr>
        <w:pStyle w:val="FirstParagraph"/>
      </w:pPr>
      <w:r>
        <w:t xml:space="preserve">The use phase impact is determined by the product\'s lifespan (\'nknsntjzoz\') and its energy consumption during use (\'wsydlmlefh\').</w:t>
      </w:r>
    </w:p>
    <w:p>
      <w:pPr>
        <w:numPr>
          <w:ilvl w:val="0"/>
          <w:numId w:val="1007"/>
        </w:numPr>
        <w:pStyle w:val="Compact"/>
      </w:pPr>
      <w:r>
        <w:rPr>
          <w:bCs/>
          <w:b/>
        </w:rPr>
        <w:t xml:space="preserve">Product Lifespan:</w:t>
      </w:r>
      <w:r>
        <w:t xml:space="preserve"> </w:t>
      </w:r>
      <w:r>
        <w:t xml:space="preserve">5 years (nknsntjzoz) (Illustrative)</w:t>
      </w:r>
    </w:p>
    <w:p>
      <w:pPr>
        <w:numPr>
          <w:ilvl w:val="0"/>
          <w:numId w:val="1007"/>
        </w:numPr>
        <w:pStyle w:val="Compact"/>
      </w:pPr>
      <w:r>
        <w:rPr>
          <w:bCs/>
          <w:b/>
        </w:rPr>
        <w:t xml:space="preserve">Energy Consumption in Use:</w:t>
      </w:r>
      <w:r>
        <w:t xml:space="preserve"> </w:t>
      </w:r>
      <w:r>
        <w:t xml:space="preserve">20 kWh/year (wsydlmlefh) (Illustrative)</w:t>
      </w:r>
    </w:p>
    <w:p>
      <w:pPr>
        <w:numPr>
          <w:ilvl w:val="0"/>
          <w:numId w:val="1007"/>
        </w:numPr>
        <w:pStyle w:val="Compact"/>
      </w:pPr>
      <w:r>
        <w:rPr>
          <w:bCs/>
          <w:b/>
        </w:rPr>
        <w:t xml:space="preserve">Electricity Emission Factor (Illustrative user country average):</w:t>
      </w:r>
      <w:r>
        <w:t xml:space="preserve"> </w:t>
      </w:r>
      <w:r>
        <w:t xml:space="preserve">0.4 kg CO2e/kWh (Illustrative, assuming a European mix for a "Europe Focused" supply chain, but general user location for use)</w:t>
      </w:r>
    </w:p>
    <w:p>
      <w:pPr>
        <w:pStyle w:val="FirstParagraph"/>
      </w:pPr>
      <w:r>
        <w:rPr>
          <w:bCs/>
          <w:b/>
        </w:rPr>
        <w:t xml:space="preserve">Calculation:</w:t>
      </w:r>
      <w:r>
        <w:br/>
      </w:r>
      <w:r>
        <w:t xml:space="preserve">Total Use Phase Energy = 20 kWh/year * 5 years = 100 kWh</w:t>
      </w:r>
      <w:r>
        <w:br/>
      </w:r>
      <w:r>
        <w:t xml:space="preserve">Use Phase Emissions (Scope 3) = 100 kWh * 0.4 kg CO2e/kWh =</w:t>
      </w:r>
      <w:r>
        <w:t xml:space="preserve"> </w:t>
      </w:r>
      <w:r>
        <w:rPr>
          <w:bCs/>
          <w:b/>
        </w:rPr>
        <w:t xml:space="preserve">40.0 kg CO2e/unit</w:t>
      </w:r>
    </w:p>
    <w:bookmarkEnd w:id="33"/>
    <w:bookmarkStart w:id="34" w:name="X2449e76f36fce2c9fec3c701a472f020b80894d"/>
    <w:p>
      <w:pPr>
        <w:pStyle w:val="Heading3"/>
      </w:pPr>
      <w:r>
        <w:t xml:space="preserve">3.5. End-of-Life (EoL) Scenarios (Scope 3 - Downstream)</w:t>
      </w:r>
    </w:p>
    <w:p>
      <w:pPr>
        <w:pStyle w:val="FirstParagraph"/>
      </w:pPr>
      <w:r>
        <w:t xml:space="preserve">The End-of-Life phase incorporates the recyclability percentage (\'qwmigswyis\') and the presence of circular/take-back programs (\'drhyvrqwgq\'). For this analysis, we assume the portion not recycled goes to landfill, and recycling provides an avoided emissions benefit.</w:t>
      </w:r>
    </w:p>
    <w:p>
      <w:pPr>
        <w:numPr>
          <w:ilvl w:val="0"/>
          <w:numId w:val="1008"/>
        </w:numPr>
        <w:pStyle w:val="Compact"/>
      </w:pPr>
      <w:r>
        <w:rPr>
          <w:bCs/>
          <w:b/>
        </w:rPr>
        <w:t xml:space="preserve">Recyclability Percentage:</w:t>
      </w:r>
      <w:r>
        <w:t xml:space="preserve"> </w:t>
      </w:r>
      <w:r>
        <w:t xml:space="preserve">70% (qwmigswyis) (Illustrative)</w:t>
      </w:r>
    </w:p>
    <w:p>
      <w:pPr>
        <w:numPr>
          <w:ilvl w:val="0"/>
          <w:numId w:val="1008"/>
        </w:numPr>
        <w:pStyle w:val="Compact"/>
      </w:pPr>
      <w:r>
        <w:rPr>
          <w:bCs/>
          <w:b/>
        </w:rPr>
        <w:t xml:space="preserve">Non-Recyclable Percentage:</w:t>
      </w:r>
      <w:r>
        <w:t xml:space="preserve"> </w:t>
      </w:r>
      <w:r>
        <w:t xml:space="preserve">30%</w:t>
      </w:r>
    </w:p>
    <w:p>
      <w:pPr>
        <w:numPr>
          <w:ilvl w:val="0"/>
          <w:numId w:val="1008"/>
        </w:numPr>
        <w:pStyle w:val="Compact"/>
      </w:pPr>
      <w:r>
        <w:rPr>
          <w:bCs/>
          <w:b/>
        </w:rPr>
        <w:t xml:space="preserve">Circular Programs:</w:t>
      </w:r>
      <w:r>
        <w:t xml:space="preserve"> </w:t>
      </w:r>
      <w:r>
        <w:t xml:space="preserve">Company-operated take-back program available (drhyvrqwgq) (Illustrative - assumed to facilitate reaching the recyclability target and improving material recovery.)</w:t>
      </w:r>
    </w:p>
    <w:p>
      <w:pPr>
        <w:numPr>
          <w:ilvl w:val="0"/>
          <w:numId w:val="1008"/>
        </w:numPr>
        <w:pStyle w:val="Compact"/>
      </w:pPr>
      <w:r>
        <w:rPr>
          <w:bCs/>
          <w:b/>
        </w:rPr>
        <w:t xml:space="preserve">Total Product Weight:</w:t>
      </w:r>
      <w:r>
        <w:t xml:space="preserve"> </w:t>
      </w:r>
      <w:r>
        <w:t xml:space="preserve">1 kg (Illustrative, as used for transport)</w:t>
      </w:r>
    </w:p>
    <w:p>
      <w:pPr>
        <w:numPr>
          <w:ilvl w:val="0"/>
          <w:numId w:val="1008"/>
        </w:numPr>
        <w:pStyle w:val="Compact"/>
      </w:pPr>
      <w:r>
        <w:rPr>
          <w:bCs/>
          <w:b/>
        </w:rPr>
        <w:t xml:space="preserve">Landfill Emission Factor (Illustrative general waste):</w:t>
      </w:r>
      <w:r>
        <w:t xml:space="preserve"> </w:t>
      </w:r>
      <w:r>
        <w:t xml:space="preserve">0.5 kg CO2e/kg (Illustrative for complex products)</w:t>
      </w:r>
    </w:p>
    <w:p>
      <w:pPr>
        <w:numPr>
          <w:ilvl w:val="0"/>
          <w:numId w:val="1008"/>
        </w:numPr>
        <w:pStyle w:val="Compact"/>
      </w:pPr>
      <w:r>
        <w:rPr>
          <w:bCs/>
          <w:b/>
        </w:rPr>
        <w:t xml:space="preserve">Recycling Benefit (Illustrative for mixed materials):</w:t>
      </w:r>
      <w:r>
        <w:t xml:space="preserve"> </w:t>
      </w:r>
      <w:r>
        <w:t xml:space="preserve">-1.0 kg CO2e/kg for recycled content (assuming replacement of virgin material, typical avoided burden)</w:t>
      </w:r>
    </w:p>
    <w:p>
      <w:pPr>
        <w:pStyle w:val="FirstParagraph"/>
      </w:pPr>
      <w:r>
        <w:rPr>
          <w:bCs/>
          <w:b/>
        </w:rPr>
        <w:t xml:space="preserve">Calculation:</w:t>
      </w:r>
      <w:r>
        <w:br/>
      </w:r>
      <w:r>
        <w:t xml:space="preserve">Landfill Emissions = Total Product Weight * Non-Recyclable % * Landfill EF</w:t>
      </w:r>
      <w:r>
        <w:br/>
      </w:r>
      <w:r>
        <w:t xml:space="preserve">Landfill Emissions = 1 kg * 0.30 * 0.5 kg CO2e/kg =</w:t>
      </w:r>
      <w:r>
        <w:t xml:space="preserve"> </w:t>
      </w:r>
      <w:r>
        <w:rPr>
          <w:bCs/>
          <w:b/>
        </w:rPr>
        <w:t xml:space="preserve">0.15 kg CO2e</w:t>
      </w:r>
      <w:r>
        <w:br/>
      </w:r>
      <w:r>
        <w:t xml:space="preserve">Recycling Benefits = Total Product Weight * Recyclability % * Recycling Benefit EF</w:t>
      </w:r>
      <w:r>
        <w:br/>
      </w:r>
      <w:r>
        <w:t xml:space="preserve">Recycling Benefits = 1 kg * 0.70 * (-1.0) kg CO2e/kg =</w:t>
      </w:r>
      <w:r>
        <w:t xml:space="preserve"> </w:t>
      </w:r>
      <w:r>
        <w:rPr>
          <w:bCs/>
          <w:b/>
        </w:rPr>
        <w:t xml:space="preserve">-0.70 kg CO2e</w:t>
      </w:r>
      <w:r>
        <w:br/>
      </w:r>
      <w:r>
        <w:rPr>
          <w:bCs/>
          <w:b/>
        </w:rPr>
        <w:t xml:space="preserve">Total EoL Emissions (Scope 3): 0.15 + (-0.70) = -0.55 kg CO2e/unit</w:t>
      </w:r>
      <w:r>
        <w:t xml:space="preserve"> </w:t>
      </w:r>
      <w:r>
        <w:t xml:space="preserve">(Net benefit)</w:t>
      </w:r>
    </w:p>
    <w:bookmarkEnd w:id="34"/>
    <w:bookmarkStart w:id="35" w:name="overall-pcf-summary-for-ildszlsjiv"/>
    <w:p>
      <w:pPr>
        <w:pStyle w:val="Heading3"/>
      </w:pPr>
      <w:r>
        <w:t xml:space="preserve">3.6. Overall PCF Summary for ildszlsjiv</w:t>
      </w:r>
    </w:p>
    <w:p>
      <w:pPr>
        <w:pStyle w:val="FirstParagraph"/>
      </w:pPr>
      <w:r>
        <w:t xml:space="preserve">Combining the emissions from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(Raw Material Acquisition &amp; Pre-processing)</w:t>
            </w:r>
          </w:p>
        </w:tc>
        <w:tc>
          <w:tcPr/>
          <w:p>
            <w:pPr>
              <w:pStyle w:val="Compact"/>
              <w:jc w:val="left"/>
            </w:pPr>
            <w:r>
              <w:t xml:space="preserve">Scope 3 (Upstream)</w:t>
            </w:r>
          </w:p>
        </w:tc>
        <w:tc>
          <w:tcPr/>
          <w:p>
            <w:pPr>
              <w:pStyle w:val="Compact"/>
              <w:jc w:val="left"/>
            </w:pPr>
            <w:r>
              <w:t xml:space="preserve">2.270</w:t>
            </w:r>
          </w:p>
        </w:tc>
      </w:tr>
      <w:tr>
        <w:tc>
          <w:tcPr/>
          <w:p>
            <w:pPr>
              <w:pStyle w:val="Compact"/>
              <w:jc w:val="left"/>
            </w:pPr>
            <w:r>
              <w:t xml:space="preserve">Production (Manufacturing Energy)</w:t>
            </w:r>
          </w:p>
        </w:tc>
        <w:tc>
          <w:tcPr/>
          <w:p>
            <w:pPr>
              <w:pStyle w:val="Compact"/>
              <w:jc w:val="left"/>
            </w:pPr>
            <w:r>
              <w:t xml:space="preserve">Scope 2</w:t>
            </w:r>
          </w:p>
        </w:tc>
        <w:tc>
          <w:tcPr/>
          <w:p>
            <w:pPr>
              <w:pStyle w:val="Compact"/>
              <w:jc w:val="left"/>
            </w:pPr>
            <w:r>
              <w:t xml:space="preserve">3.418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0.195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-0.550</w:t>
            </w:r>
          </w:p>
        </w:tc>
      </w:tr>
      <w:tr>
        <w:tc>
          <w:tcPr>
            <w:gridSpan w:val="2"/>
          </w:tcPr>
          <w:p>
            <w:pPr>
              <w:pStyle w:val="Compact"/>
              <w:jc w:val="right"/>
            </w:pPr>
            <w:r>
              <w:rPr>
                <w:bCs/>
                <w:b/>
              </w:rPr>
              <w:t xml:space="preserve">Total Product Carbon Footprint (PCF) for ildszlsjiv:</w:t>
            </w:r>
          </w:p>
        </w:tc>
        <w:tc>
          <w:tcPr/>
          <w:p>
            <w:pPr>
              <w:pStyle w:val="Compact"/>
              <w:jc w:val="left"/>
            </w:pPr>
            <w:r>
              <w:rPr>
                <w:bCs/>
                <w:b/>
              </w:rPr>
              <w:t xml:space="preserve">45.333</w:t>
            </w:r>
          </w:p>
        </w:tc>
      </w:tr>
    </w:tbl>
    <w:p>
      <w:pPr>
        <w:pStyle w:val="BodyText"/>
      </w:pPr>
      <w:r>
        <w:t xml:space="preserve">The total Product Carbon Footprint for</w:t>
      </w:r>
      <w:r>
        <w:t xml:space="preserve"> </w:t>
      </w:r>
      <w:r>
        <w:rPr>
          <w:bCs/>
          <w:b/>
        </w:rPr>
        <w:t xml:space="preserve">ildszlsjiv</w:t>
      </w:r>
      <w:r>
        <w:t xml:space="preserve"> </w:t>
      </w:r>
      <w:r>
        <w:t xml:space="preserve">is approximately</w:t>
      </w:r>
      <w:r>
        <w:t xml:space="preserve"> </w:t>
      </w:r>
      <w:r>
        <w:rPr>
          <w:bCs/>
          <w:b/>
        </w:rPr>
        <w:t xml:space="preserve">45.333 kg CO2e per unit</w:t>
      </w:r>
      <w:r>
        <w:t xml:space="preserve">, based on the illustrative data and assumptions made.</w:t>
      </w:r>
    </w:p>
    <w:p>
      <w:r>
        <w:pict>
          <v:rect style="width:0;height:1.5pt" o:hralign="center" o:hrstd="t" o:hr="t"/>
        </w:pict>
      </w:r>
    </w:p>
    <w:bookmarkEnd w:id="35"/>
    <w:bookmarkEnd w:id="36"/>
    <w:bookmarkStart w:id="37" w:name="ghg-protocol-compliance"/>
    <w:p>
      <w:pPr>
        <w:pStyle w:val="Heading2"/>
      </w:pPr>
      <w:r>
        <w:t xml:space="preserve">4. GHG Protocol Compliance</w:t>
      </w:r>
    </w:p>
    <w:p>
      <w:pPr>
        <w:pStyle w:val="FirstParagraph"/>
      </w:pPr>
      <w:r>
        <w:t xml:space="preserve">This PCF analysis for</w:t>
      </w:r>
      <w:r>
        <w:t xml:space="preserve"> </w:t>
      </w:r>
      <w:r>
        <w:rPr>
          <w:bCs/>
          <w:b/>
        </w:rPr>
        <w:t xml:space="preserve">ildszlsjiv</w:t>
      </w:r>
      <w:r>
        <w:t xml:space="preserve"> </w:t>
      </w:r>
      <w:r>
        <w:t xml:space="preserve">adheres to the core principles and requirements of the</w:t>
      </w:r>
      <w:r>
        <w:t xml:space="preserve"> </w:t>
      </w:r>
      <w:r>
        <w:rPr>
          <w:bCs/>
          <w:b/>
        </w:rPr>
        <w:t xml:space="preserve">GHG Protocol Product Life Cycle Accounting and Reporting Standard</w:t>
      </w:r>
      <w:r>
        <w:t xml:space="preserve">.</w:t>
      </w:r>
    </w:p>
    <w:p>
      <w:pPr>
        <w:numPr>
          <w:ilvl w:val="0"/>
          <w:numId w:val="1009"/>
        </w:numPr>
        <w:pStyle w:val="Compact"/>
      </w:pPr>
      <w:r>
        <w:rPr>
          <w:bCs/>
          <w:b/>
        </w:rPr>
        <w:t xml:space="preserve">Scope 1 &amp; 2 Categorization:</w:t>
      </w:r>
      <w:r>
        <w:t xml:space="preserve"> </w:t>
      </w:r>
      <w:r>
        <w:t xml:space="preserve">Direct emissions (Scope 1) and purchased electricity emissions (Scope 2) have been accounted for, though for this product PCF, direct Scope 1 was not explicitly quantifiable from the given parameters, focusing Scope 2 on purchased energy.</w:t>
      </w:r>
    </w:p>
    <w:p>
      <w:pPr>
        <w:numPr>
          <w:ilvl w:val="0"/>
          <w:numId w:val="1009"/>
        </w:numPr>
        <w:pStyle w:val="Compact"/>
      </w:pPr>
      <w:r>
        <w:rPr>
          <w:bCs/>
          <w:b/>
        </w:rPr>
        <w:t xml:space="preserve">Comprehensive Scope 3 Reporting:</w:t>
      </w:r>
      <w:r>
        <w:t xml:space="preserve"> </w:t>
      </w:r>
      <w:r>
        <w:t xml:space="preserve">A concerted effort was made to capture emissions across the entire value chain, covering upstream activities (materials, transport to factory) and downstream activities (transport to customer, use phase, end-of-life). While relying on illustrative data, the aim was to achieve the</w:t>
      </w:r>
      <w:r>
        <w:t xml:space="preserve"> </w:t>
      </w:r>
      <w:r>
        <w:rPr>
          <w:bCs/>
          <w:b/>
        </w:rPr>
        <w:t xml:space="preserve">at least 95% coverage for Scope 3 reporting as per 2026 requirements</w:t>
      </w:r>
      <w:r>
        <w:t xml:space="preserve">.</w:t>
      </w:r>
    </w:p>
    <w:p>
      <w:pPr>
        <w:numPr>
          <w:ilvl w:val="0"/>
          <w:numId w:val="1009"/>
        </w:numPr>
        <w:pStyle w:val="Compact"/>
      </w:pPr>
      <w:r>
        <w:rPr>
          <w:bCs/>
          <w:b/>
        </w:rPr>
        <w:t xml:space="preserve">2026 LSR Update Application:</w:t>
      </w:r>
      <w:r>
        <w:t xml:space="preserve"> </w:t>
      </w:r>
      <w:r>
        <w:t xml:space="preserve">The analysis conceptually incorporates the principles of the Land Sector and Removals (LSR) Standard by acknowledging land use impacts in raw material acquisition (e.g., bio-based materials if applicable, though not explicitly detailed in the illustrative BOM) and considering any carbon removals, particularly through robust recycling systems at end-of-life.</w:t>
      </w:r>
    </w:p>
    <w:p>
      <w:pPr>
        <w:numPr>
          <w:ilvl w:val="0"/>
          <w:numId w:val="1009"/>
        </w:numPr>
        <w:pStyle w:val="Compact"/>
      </w:pPr>
      <w:r>
        <w:rPr>
          <w:bCs/>
          <w:b/>
        </w:rPr>
        <w:t xml:space="preserve">Transparency and Consistency:</w:t>
      </w:r>
      <w:r>
        <w:t xml:space="preserve"> </w:t>
      </w:r>
      <w:r>
        <w:t xml:space="preserve">The methodology, data sources (illustrative and real EFs), and assumptions are clearly articulated to ensure transparency and allow for future consistency in reporting.</w:t>
      </w:r>
    </w:p>
    <w:p>
      <w:r>
        <w:pict>
          <v:rect style="width:0;height:1.5pt" o:hralign="center" o:hrstd="t" o:hr="t"/>
        </w:pict>
      </w:r>
    </w:p>
    <w:bookmarkEnd w:id="37"/>
    <w:bookmarkStart w:id="38" w:name="hotspots-and-recommendations"/>
    <w:p>
      <w:pPr>
        <w:pStyle w:val="Heading2"/>
      </w:pPr>
      <w:r>
        <w:t xml:space="preserve">5. Hotspots and Recommendations</w:t>
      </w:r>
    </w:p>
    <w:p>
      <w:pPr>
        <w:pStyle w:val="FirstParagraph"/>
      </w:pPr>
      <w:r>
        <w:t xml:space="preserve">Based on the illustrative Product Carbon Footprint analysis, the primary emission hotspots for</w:t>
      </w:r>
      <w:r>
        <w:t xml:space="preserve"> </w:t>
      </w:r>
      <w:r>
        <w:rPr>
          <w:bCs/>
          <w:b/>
        </w:rPr>
        <w:t xml:space="preserve">ildszlsjiv</w:t>
      </w:r>
      <w:r>
        <w:t xml:space="preserve"> </w:t>
      </w:r>
      <w:r>
        <w:t xml:space="preserve">are:</w:t>
      </w:r>
    </w:p>
    <w:p>
      <w:pPr>
        <w:numPr>
          <w:ilvl w:val="0"/>
          <w:numId w:val="1010"/>
        </w:numPr>
        <w:pStyle w:val="Compact"/>
      </w:pPr>
      <w:r>
        <w:rPr>
          <w:bCs/>
          <w:b/>
        </w:rPr>
        <w:t xml:space="preserve">Use Phase (Approx. 88% of total PCF):</w:t>
      </w:r>
      <w:r>
        <w:t xml:space="preserve"> </w:t>
      </w:r>
      <w:r>
        <w:t xml:space="preserve">The energy consumption during the product\'s lifespan (wsydlmlefh) is the most significant contributor to the overall PCF.</w:t>
      </w:r>
    </w:p>
    <w:p>
      <w:pPr>
        <w:numPr>
          <w:ilvl w:val="1"/>
          <w:numId w:val="1011"/>
        </w:numPr>
        <w:pStyle w:val="Compact"/>
      </w:pPr>
      <w:r>
        <w:rPr>
          <w:bCs/>
          <w:b/>
        </w:rPr>
        <w:t xml:space="preserve">Recommendation:</w:t>
      </w:r>
      <w:r>
        <w:t xml:space="preserve"> </w:t>
      </w:r>
      <w:r>
        <w:t xml:space="preserve">Focus on product design for energy efficiency, promote renewable energy use by end-users, and explore alternative energy sources for the product\'s operation. Provide clear guidance to users on energy-saving practices.</w:t>
      </w:r>
    </w:p>
    <w:p>
      <w:pPr>
        <w:numPr>
          <w:ilvl w:val="0"/>
          <w:numId w:val="1010"/>
        </w:numPr>
        <w:pStyle w:val="Compact"/>
      </w:pPr>
      <w:r>
        <w:rPr>
          <w:bCs/>
          <w:b/>
        </w:rPr>
        <w:t xml:space="preserve">Production Phase (Scope 2, Approx. 8% of total PCF):</w:t>
      </w:r>
      <w:r>
        <w:t xml:space="preserve"> </w:t>
      </w:r>
      <w:r>
        <w:t xml:space="preserve">Purchased electricity for manufacturing is the second largest contributor.</w:t>
      </w:r>
    </w:p>
    <w:p>
      <w:pPr>
        <w:numPr>
          <w:ilvl w:val="1"/>
          <w:numId w:val="1012"/>
        </w:numPr>
        <w:pStyle w:val="Compact"/>
      </w:pPr>
      <w:r>
        <w:rPr>
          <w:bCs/>
          <w:b/>
        </w:rPr>
        <w:t xml:space="preserve">Recommendation:</w:t>
      </w:r>
      <w:r>
        <w:t xml:space="preserve"> </w:t>
      </w:r>
      <w:r>
        <w:t xml:space="preserve">Increase the percentage of renewable energy usage (mhudydfzvo) at production facilities. Invest in on-site renewable energy generation or purchase certified renewable energy. Improve manufacturing process efficiency to reduce energy intensity (nisgdpfwtv).</w:t>
      </w:r>
    </w:p>
    <w:p>
      <w:pPr>
        <w:numPr>
          <w:ilvl w:val="0"/>
          <w:numId w:val="1010"/>
        </w:numPr>
        <w:pStyle w:val="Compact"/>
      </w:pPr>
      <w:r>
        <w:rPr>
          <w:bCs/>
          <w:b/>
        </w:rPr>
        <w:t xml:space="preserve">Material Acquisition (Scope 3, Approx. 5% of total PCF):</w:t>
      </w:r>
      <w:r>
        <w:t xml:space="preserve"> </w:t>
      </w:r>
      <w:r>
        <w:t xml:space="preserve">The production of raw materials, particularly electronics and primary metals, contributes notably.</w:t>
      </w:r>
    </w:p>
    <w:p>
      <w:pPr>
        <w:numPr>
          <w:ilvl w:val="1"/>
          <w:numId w:val="1013"/>
        </w:numPr>
        <w:pStyle w:val="Compact"/>
      </w:pPr>
      <w:r>
        <w:rPr>
          <w:bCs/>
          <w:b/>
        </w:rPr>
        <w:t xml:space="preserve">Recommendation:</w:t>
      </w:r>
      <w:r>
        <w:t xml:space="preserve"> </w:t>
      </w:r>
      <w:r>
        <w:t xml:space="preserve">Explore opportunities for using lower-carbon materials, increasing recycled content in components like steel and plastic, and optimizing material usage to reduce the overall Bill of Materials.</w:t>
      </w:r>
    </w:p>
    <w:p>
      <w:pPr>
        <w:pStyle w:val="FirstParagraph"/>
      </w:pPr>
      <w:r>
        <w:t xml:space="preserve">The end-of-life phase shows a net benefit due to assumed high recyclability and the presence of circular programs. This indicates that</w:t>
      </w:r>
      <w:r>
        <w:t xml:space="preserve"> </w:t>
      </w:r>
      <w:r>
        <w:rPr>
          <w:bCs/>
          <w:b/>
        </w:rPr>
        <w:t xml:space="preserve">ntirltrjxt</w:t>
      </w:r>
      <w:r>
        <w:t xml:space="preserve">\'s efforts in circularity are effective in mitigating downstream emissions.</w:t>
      </w:r>
    </w:p>
    <w:p>
      <w:r>
        <w:pict>
          <v:rect style="width:0;height:1.5pt" o:hralign="center" o:hrstd="t" o:hr="t"/>
        </w:pict>
      </w:r>
    </w:p>
    <w:bookmarkEnd w:id="38"/>
    <w:bookmarkStart w:id="39" w:name="disclaimer"/>
    <w:p>
      <w:pPr>
        <w:pStyle w:val="Heading2"/>
      </w:pPr>
      <w:r>
        <w:t xml:space="preserve">6. Disclaimer</w:t>
      </w:r>
    </w:p>
    <w:p>
      <w:pPr>
        <w:pStyle w:val="FirstParagraph"/>
      </w:pPr>
      <w:r>
        <w:t xml:space="preserve">This Product Carbon Footprint report is generated based on the parameters and data provided by the user, supplemented by industry-standard emission factors and illustrative numerical assumptions where specific quantifiable data was not furnished. While the methodology adheres to the GHG Protocol and best practices, the quantitative results are illustrative and should be treated as such. For a precise and certifiable PCF, detailed primary data from</w:t>
      </w:r>
      <w:r>
        <w:t xml:space="preserve"> </w:t>
      </w:r>
      <w:r>
        <w:rPr>
          <w:bCs/>
          <w:b/>
        </w:rPr>
        <w:t xml:space="preserve">ntirltrjxt</w:t>
      </w:r>
      <w:r>
        <w:t xml:space="preserve">\'s operations and supply chain would be indispensable. This report serves as a strategic tool for identifying environmental impacts and guiding sustainability efforts.</w:t>
      </w:r>
    </w:p>
    <w:p>
      <w:pPr>
        <w:pStyle w:val="BodyText"/>
      </w:pPr>
      <w:r>
        <w:t xml:space="preserve">Confidential - Internal Use Only</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ildszlsjiv</dc:title>
  <dc:creator/>
  <dc:description>High-detail Product Carbon Footprint (PCF) analysis for ildszlsjiv, performed by Senior Sustainability Consultant ymurqjfjjk for ntirltrjxt, adhering to GHG Protocol and 2026 LSR Update requirements.</dc:description>
  <dc:language>en</dc:language>
  <cp:keywords/>
  <dcterms:created xsi:type="dcterms:W3CDTF">2026-07-15T11:35:38Z</dcterms:created>
  <dcterms:modified xsi:type="dcterms:W3CDTF">2026-07-15T11:35:38Z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