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iktottnmgi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iktottnmgi</w:t>
      </w:r>
    </w:p>
    <w:p>
      <w:pPr>
        <w:pStyle w:val="BodyText"/>
      </w:pPr>
      <w:r>
        <w:t xml:space="preserve">Name of the Company: uptehwsffd</w:t>
      </w:r>
    </w:p>
    <w:p>
      <w:pPr>
        <w:pStyle w:val="BodyText"/>
      </w:pPr>
      <w:r>
        <w:t xml:space="preserve">Protocol Data (Accounting Standard): GHG Protocol</w:t>
      </w:r>
    </w:p>
    <w:p>
      <w:pPr>
        <w:pStyle w:val="BodyText"/>
      </w:pPr>
      <w:r>
        <w:t xml:space="preserve">Senior Sustainability Consultant: osxphxdewo</w:t>
      </w:r>
    </w:p>
    <w:p>
      <w:pPr>
        <w:pStyle w:val="BodyText"/>
      </w:pPr>
      <w:r>
        <w:t xml:space="preserve">This report is generated based on available data and industry standards, providing an estimate of the product\'s carbon footprint.</w:t>
      </w:r>
    </w:p>
    <w:bookmarkEnd w:id="20"/>
    <w:bookmarkStart w:id="21" w:name="Xf9ebb435549f41852489b3ebeb890dea2b5f4f3"/>
    <w:p>
      <w:pPr>
        <w:pStyle w:val="Heading1"/>
      </w:pPr>
      <w:r>
        <w:t xml:space="preserve">Product Carbon Footprint Analysis for iktottnmgi</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iktottnmgi, manufactured by uptehwsffd. Conducted by Senior Sustainability Consultant osxphxdewo, this analysis adheres strictly to the GHG Protocol accounting standard, incorporating the 2026 Land Sector and Removals (LSR) Standard and ensuring comprehensive Scope 3 coverage. The PCF is calculated from a factory-gate system boundary, covering material acquisition, production, transportation, use phase, and end-of-life scenarios. The primary goal is to identify key emission hotspots across the product\'s lifecycle and provide uptehwsffd with actionable insights for emissions reduction.</w:t>
      </w:r>
    </w:p>
    <w:bookmarkEnd w:id="22"/>
    <w:p>
      <w:r>
        <w:pict>
          <v:rect style="width:0;height:1.5pt" o:hralign="center" o:hrstd="t" o:hr="t"/>
        </w:pict>
      </w:r>
    </w:p>
    <w:bookmarkStart w:id="27" w:name="methodology-and-accounting-standard"/>
    <w:p>
      <w:pPr>
        <w:pStyle w:val="Heading2"/>
      </w:pPr>
      <w:r>
        <w:t xml:space="preserve">1. Methodology and Accounting Standard</w:t>
      </w:r>
    </w:p>
    <w:p>
      <w:pPr>
        <w:pStyle w:val="FirstParagraph"/>
      </w:pPr>
      <w:r>
        <w:t xml:space="preserve">This Product Carbon Footprint (PCF) analysis is conducted in strict accordance with the Greenhouse Gas (GHG) Protocol, the globally recognized standard for measuring and managing emissions.</w:t>
      </w:r>
    </w:p>
    <w:bookmarkStart w:id="23" w:name="ghg-protocol-framework"/>
    <w:p>
      <w:pPr>
        <w:pStyle w:val="Heading3"/>
      </w:pPr>
      <w:r>
        <w:t xml:space="preserve">1.1 GHG Protocol Framework</w:t>
      </w:r>
    </w:p>
    <w:p>
      <w:pPr>
        <w:pStyle w:val="FirstParagraph"/>
      </w:pPr>
      <w:r>
        <w:t xml:space="preserve">Emissions are categorized into the following scopes:</w:t>
      </w:r>
    </w:p>
    <w:p>
      <w:pPr>
        <w:numPr>
          <w:ilvl w:val="0"/>
          <w:numId w:val="1001"/>
        </w:numPr>
        <w:pStyle w:val="Compact"/>
      </w:pPr>
      <w:r>
        <w:rPr>
          <w:bCs/>
          <w:b/>
        </w:rPr>
        <w:t xml:space="preserve">Scope 1: Direct GHG Emissions</w:t>
      </w:r>
      <w:r>
        <w:t xml:space="preserve"> </w:t>
      </w:r>
      <w:r>
        <w:t xml:space="preserve">- Emissions from sources owned or controlled by the company (e.g., on-site fuel combustion).</w:t>
      </w:r>
    </w:p>
    <w:p>
      <w:pPr>
        <w:numPr>
          <w:ilvl w:val="0"/>
          <w:numId w:val="1001"/>
        </w:numPr>
        <w:pStyle w:val="Compact"/>
      </w:pPr>
      <w:r>
        <w:rPr>
          <w:bCs/>
          <w:b/>
        </w:rPr>
        <w:t xml:space="preserve">Scope 2: Energy Indirect GHG Emissions</w:t>
      </w:r>
      <w:r>
        <w:t xml:space="preserve"> </w:t>
      </w:r>
      <w:r>
        <w:t xml:space="preserve">- Emissions from the generation of purchased electricity, steam, heating, or cooling consumed by the company.</w:t>
      </w:r>
    </w:p>
    <w:p>
      <w:pPr>
        <w:numPr>
          <w:ilvl w:val="0"/>
          <w:numId w:val="1001"/>
        </w:numPr>
        <w:pStyle w:val="Compact"/>
      </w:pPr>
      <w:r>
        <w:rPr>
          <w:bCs/>
          <w:b/>
        </w:rPr>
        <w:t xml:space="preserve">Scope 3: Other Indirect GHG Emissions</w:t>
      </w:r>
      <w:r>
        <w:t xml:space="preserve"> </w:t>
      </w:r>
      <w:r>
        <w:t xml:space="preserve">- All other indirect emissions that occur in a company’s value chain, both upstream and downstream.</w:t>
      </w:r>
    </w:p>
    <w:bookmarkEnd w:id="23"/>
    <w:bookmarkStart w:id="24" w:name="lsr-update"/>
    <w:p>
      <w:pPr>
        <w:pStyle w:val="Heading3"/>
      </w:pPr>
      <w:r>
        <w:t xml:space="preserve">1.2 2026 LSR Update</w:t>
      </w:r>
    </w:p>
    <w:p>
      <w:pPr>
        <w:pStyle w:val="FirstParagraph"/>
      </w:pPr>
      <w:r>
        <w:t xml:space="preserve">The analysis applies the Land Sector and Removals (LSR) Standard, addressing greenhouse gas emissions and removals from land use, land-use change, and forestry activities. This ensures a more holistic accounting of biogenic carbon flows and removals associated with the product\'s lifecycle.</w:t>
      </w:r>
    </w:p>
    <w:bookmarkEnd w:id="24"/>
    <w:bookmarkStart w:id="25" w:name="scope-3-compliance"/>
    <w:p>
      <w:pPr>
        <w:pStyle w:val="Heading3"/>
      </w:pPr>
      <w:r>
        <w:t xml:space="preserve">1.3 Scope 3 Compliance</w:t>
      </w:r>
    </w:p>
    <w:p>
      <w:pPr>
        <w:pStyle w:val="FirstParagraph"/>
      </w:pPr>
      <w:r>
        <w:t xml:space="preserve">In line with 2026 requirements, this report ensures at least 95% coverage for Scope 3 emissions, capturing a comprehensive view of the value chain\'s environmental impact.</w:t>
      </w:r>
    </w:p>
    <w:bookmarkEnd w:id="25"/>
    <w:bookmarkStart w:id="26" w:name="pcf-methodology-steps"/>
    <w:p>
      <w:pPr>
        <w:pStyle w:val="Heading3"/>
      </w:pPr>
      <w:r>
        <w:t xml:space="preserve">1.4 PCF Methodology Steps</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iktottnmgi</w:t>
      </w:r>
    </w:p>
    <w:p>
      <w:pPr>
        <w:numPr>
          <w:ilvl w:val="1"/>
          <w:numId w:val="1003"/>
        </w:numPr>
        <w:pStyle w:val="Compact"/>
      </w:pPr>
      <w:r>
        <w:rPr>
          <w:bCs/>
          <w:b/>
        </w:rPr>
        <w:t xml:space="preserve">System Boundary:</w:t>
      </w:r>
      <w:r>
        <w:t xml:space="preserve"> </w:t>
      </w:r>
      <w:r>
        <w:t xml:space="preserve">factory_gate (cradle-to-gate, plus downstream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Accounting Standard:</w:t>
      </w:r>
      <w:r>
        <w:t xml:space="preserve"> </w:t>
      </w:r>
      <w:r>
        <w:t xml:space="preserve">GHG Protocol</w:t>
      </w:r>
    </w:p>
    <w:p>
      <w:pPr>
        <w:numPr>
          <w:ilvl w:val="1"/>
          <w:numId w:val="1003"/>
        </w:numPr>
        <w:pStyle w:val="Compact"/>
      </w:pPr>
      <w:r>
        <w:rPr>
          <w:bCs/>
          <w:b/>
        </w:rPr>
        <w:t xml:space="preserve">Allocation:</w:t>
      </w:r>
      <w:r>
        <w:t xml:space="preserve"> </w:t>
      </w:r>
      <w:r>
        <w:t xml:space="preserve">Where applicable for co-products or by-products, emissions are allocated based on physical or economic causality. For this single product analysis, direct attribution is prioritized.</w:t>
      </w:r>
    </w:p>
    <w:p>
      <w:pPr>
        <w:numPr>
          <w:ilvl w:val="0"/>
          <w:numId w:val="1002"/>
        </w:numPr>
        <w:pStyle w:val="Compact"/>
      </w:pPr>
      <w:r>
        <w:rPr>
          <w:bCs/>
          <w:b/>
        </w:rPr>
        <w:t xml:space="preserve">Map Lifecycle (LCI Inventory Stages):</w:t>
      </w:r>
      <w:r>
        <w:t xml:space="preserve"> </w:t>
      </w:r>
      <w:r>
        <w:t xml:space="preserve">The product lifecycle is mapped from raw material extraction, through manufacturing, distribution, the use phase, and finally, end-of-life treatment.</w:t>
      </w:r>
    </w:p>
    <w:p>
      <w:pPr>
        <w:numPr>
          <w:ilvl w:val="0"/>
          <w:numId w:val="1002"/>
        </w:numPr>
        <w:pStyle w:val="Compact"/>
      </w:pPr>
      <w:r>
        <w:rPr>
          <w:bCs/>
          <w:b/>
        </w:rPr>
        <w:t xml:space="preserve">Collect Data (Primary/Secondary Data Points):</w:t>
      </w:r>
      <w:r>
        <w:t xml:space="preserve"> </w:t>
      </w:r>
      <w:r>
        <w:t xml:space="preserve">Both primary data (e.g., specific energy consumption, BOM) and secondary data (e.g., industry-average emission factors) are collected.</w:t>
      </w:r>
    </w:p>
    <w:p>
      <w:pPr>
        <w:numPr>
          <w:ilvl w:val="0"/>
          <w:numId w:val="1002"/>
        </w:numPr>
        <w:pStyle w:val="Compact"/>
      </w:pPr>
      <w:r>
        <w:rPr>
          <w:bCs/>
          <w:b/>
        </w:rPr>
        <w:t xml:space="preserve">Calculate Emissions:</w:t>
      </w:r>
      <w:r>
        <w:t xml:space="preserve"> </w:t>
      </w:r>
      <w:r>
        <w:t xml:space="preserve">Emissions are calculated using the formula: Activity Data × Emission Factor = CO2e.</w:t>
      </w:r>
    </w:p>
    <w:p>
      <w:pPr>
        <w:numPr>
          <w:ilvl w:val="1"/>
          <w:numId w:val="1004"/>
        </w:numPr>
        <w:pStyle w:val="Compact"/>
      </w:pPr>
      <w:r>
        <w:t xml:space="preserve">Activity Data: e.g., kg of material, kWh of electricity, tkm of transport.</w:t>
      </w:r>
    </w:p>
    <w:p>
      <w:pPr>
        <w:numPr>
          <w:ilvl w:val="1"/>
          <w:numId w:val="1004"/>
        </w:numPr>
        <w:pStyle w:val="Compact"/>
      </w:pPr>
      <w:r>
        <w:t xml:space="preserve">Emission Factors: Sourced from industry-standard databases such as Ecoinvent and DEFRA, or other reputable sources.</w:t>
      </w:r>
    </w:p>
    <w:p>
      <w:pPr>
        <w:numPr>
          <w:ilvl w:val="0"/>
          <w:numId w:val="1002"/>
        </w:numPr>
        <w:pStyle w:val="Compact"/>
      </w:pPr>
      <w:r>
        <w:rPr>
          <w:bCs/>
          <w:b/>
        </w:rPr>
        <w:t xml:space="preserve">Review &amp; Report:</w:t>
      </w:r>
      <w:r>
        <w:t xml:space="preserve"> </w:t>
      </w:r>
      <w:r>
        <w:t xml:space="preserve">Emissions are aggregated by lifecycle stage and GHG scope. Hotspots are identified, and data reliability is assessed.</w:t>
      </w:r>
    </w:p>
    <w:bookmarkEnd w:id="26"/>
    <w:bookmarkEnd w:id="27"/>
    <w:p>
      <w:r>
        <w:pict>
          <v:rect style="width:0;height:1.5pt" o:hralign="center" o:hrstd="t" o:hr="t"/>
        </w:pict>
      </w:r>
    </w:p>
    <w:bookmarkStart w:id="34" w:name="X5a50329e1801d66c4611dd69d93a52e474e0465"/>
    <w:p>
      <w:pPr>
        <w:pStyle w:val="Heading2"/>
      </w:pPr>
      <w:r>
        <w:t xml:space="preserve">2. Detailed Product Carbon Footprint Analysis for iktottnmgi</w:t>
      </w:r>
    </w:p>
    <w:p>
      <w:pPr>
        <w:pStyle w:val="FirstParagraph"/>
      </w:pPr>
      <w:r>
        <w:rPr>
          <w:bCs/>
          <w:b/>
        </w:rPr>
        <w:t xml:space="preserve">Company Name:</w:t>
      </w:r>
      <w:r>
        <w:t xml:space="preserve"> </w:t>
      </w:r>
      <w:r>
        <w:t xml:space="preserve">uptehwsffd</w:t>
      </w:r>
    </w:p>
    <w:p>
      <w:pPr>
        <w:pStyle w:val="BodyText"/>
      </w:pPr>
      <w:r>
        <w:rPr>
          <w:bCs/>
          <w:b/>
        </w:rPr>
        <w:t xml:space="preserve">Product Name:</w:t>
      </w:r>
      <w:r>
        <w:t xml:space="preserve"> </w:t>
      </w:r>
      <w:r>
        <w:t xml:space="preserve">iktottnmgi</w:t>
      </w:r>
    </w:p>
    <w:p>
      <w:pPr>
        <w:pStyle w:val="BodyText"/>
      </w:pPr>
      <w:r>
        <w:rPr>
          <w:bCs/>
          <w:b/>
        </w:rPr>
        <w:t xml:space="preserve">Senior Sustainability Consultant:</w:t>
      </w:r>
      <w:r>
        <w:t xml:space="preserve"> </w:t>
      </w:r>
      <w:r>
        <w:t xml:space="preserve">osxphxdewo</w:t>
      </w:r>
    </w:p>
    <w:bookmarkStart w:id="33" w:name="lifecycle-inventory-data-collection"/>
    <w:p>
      <w:pPr>
        <w:pStyle w:val="Heading3"/>
      </w:pPr>
      <w:r>
        <w:t xml:space="preserve">2.1 Lifecycle Inventory Data Collection</w:t>
      </w:r>
    </w:p>
    <w:p>
      <w:pPr>
        <w:pStyle w:val="FirstParagraph"/>
      </w:pPr>
      <w:r>
        <w:t xml:space="preserve">This section details the primary and secondary data collected across the product lifecycle stages, forming the basis for the emissions calculation.</w:t>
      </w:r>
    </w:p>
    <w:bookmarkStart w:id="28" w:name="bill-of-materials-bom-for-iktottnmgi"/>
    <w:p>
      <w:pPr>
        <w:pStyle w:val="Heading4"/>
      </w:pPr>
      <w:r>
        <w:t xml:space="preserve">2.1.1 Bill of Materials (BOM) for iktottnmgi</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bl>
    <w:p>
      <w:pPr>
        <w:pStyle w:val="BodyText"/>
      </w:pPr>
      <w:r>
        <w:rPr>
          <w:bCs/>
          <w:b/>
        </w:rPr>
        <w:t xml:space="preserve">Total Material Emissions (Upstream Scope 3, Category 1): 7.40 kgCO2e</w:t>
      </w:r>
    </w:p>
    <w:bookmarkEnd w:id="28"/>
    <w:bookmarkStart w:id="29" w:name="production-phase-data"/>
    <w:p>
      <w:pPr>
        <w:pStyle w:val="Heading4"/>
      </w:pPr>
      <w:r>
        <w:t xml:space="preserve">2.1.2 Production Phase Data</w:t>
      </w:r>
    </w:p>
    <w:p>
      <w:pPr>
        <w:numPr>
          <w:ilvl w:val="0"/>
          <w:numId w:val="1005"/>
        </w:numPr>
        <w:pStyle w:val="Compact"/>
      </w:pPr>
      <w:r>
        <w:rPr>
          <w:bCs/>
          <w:b/>
        </w:rPr>
        <w:t xml:space="preserve">Energy Intensity (kWh/unit):</w:t>
      </w:r>
      <w:r>
        <w:t xml:space="preserve"> </w:t>
      </w:r>
      <w:r>
        <w:t xml:space="preserve">10 kWh/unit</w:t>
      </w:r>
    </w:p>
    <w:p>
      <w:pPr>
        <w:numPr>
          <w:ilvl w:val="0"/>
          <w:numId w:val="1005"/>
        </w:numPr>
        <w:pStyle w:val="Compact"/>
      </w:pPr>
      <w:r>
        <w:rPr>
          <w:bCs/>
          <w:b/>
        </w:rPr>
        <w:t xml:space="preserve">Renewable Energy Usage:</w:t>
      </w:r>
      <w:r>
        <w:t xml:space="preserve"> </w:t>
      </w:r>
      <w:r>
        <w:t xml:space="preserve">60%</w:t>
      </w:r>
    </w:p>
    <w:p>
      <w:pPr>
        <w:numPr>
          <w:ilvl w:val="0"/>
          <w:numId w:val="1005"/>
        </w:numPr>
        <w:pStyle w:val="Compact"/>
      </w:pPr>
      <w:r>
        <w:rPr>
          <w:bCs/>
          <w:b/>
        </w:rPr>
        <w:t xml:space="preserve">Assumed Grid Electricity Emission Factor (China):</w:t>
      </w:r>
      <w:r>
        <w:t xml:space="preserve"> </w:t>
      </w:r>
      <w:r>
        <w:t xml:space="preserve">0.7 kgCO2e/kWh</w:t>
      </w:r>
    </w:p>
    <w:bookmarkEnd w:id="29"/>
    <w:bookmarkStart w:id="30" w:name="transport-logistics-data"/>
    <w:p>
      <w:pPr>
        <w:pStyle w:val="Heading4"/>
      </w:pPr>
      <w:r>
        <w:t xml:space="preserve">2.1.3 Transport Logistics Data</w:t>
      </w:r>
    </w:p>
    <w:p>
      <w:pPr>
        <w:numPr>
          <w:ilvl w:val="0"/>
          <w:numId w:val="1006"/>
        </w:numPr>
        <w:pStyle w:val="Compact"/>
      </w:pPr>
      <w:r>
        <w:rPr>
          <w:bCs/>
          <w:b/>
        </w:rPr>
        <w:t xml:space="preserve">Inbound/Mid-stream Transport Mode:</w:t>
      </w:r>
      <w:r>
        <w:t xml:space="preserve"> </w:t>
      </w:r>
      <w:r>
        <w:t xml:space="preserve">Road Freight (Heavy Truck)</w:t>
      </w:r>
    </w:p>
    <w:p>
      <w:pPr>
        <w:numPr>
          <w:ilvl w:val="0"/>
          <w:numId w:val="1006"/>
        </w:numPr>
        <w:pStyle w:val="Compact"/>
      </w:pPr>
      <w:r>
        <w:rPr>
          <w:bCs/>
          <w:b/>
        </w:rPr>
        <w:t xml:space="preserve">Transport Distance (Average):</w:t>
      </w:r>
      <w:r>
        <w:t xml:space="preserve"> </w:t>
      </w:r>
      <w:r>
        <w:t xml:space="preserve">500 km</w:t>
      </w:r>
    </w:p>
    <w:p>
      <w:pPr>
        <w:numPr>
          <w:ilvl w:val="0"/>
          <w:numId w:val="1006"/>
        </w:numPr>
        <w:pStyle w:val="Compact"/>
      </w:pPr>
      <w:r>
        <w:rPr>
          <w:bCs/>
          <w:b/>
        </w:rPr>
        <w:t xml:space="preserve">Assumed Product Weight for Transport:</w:t>
      </w:r>
      <w:r>
        <w:t xml:space="preserve"> </w:t>
      </w:r>
      <w:r>
        <w:t xml:space="preserve">1 kg (approximation for tkm calculation)</w:t>
      </w:r>
    </w:p>
    <w:p>
      <w:pPr>
        <w:numPr>
          <w:ilvl w:val="0"/>
          <w:numId w:val="1006"/>
        </w:numPr>
        <w:pStyle w:val="Compact"/>
      </w:pPr>
      <w:r>
        <w:rPr>
          <w:bCs/>
          <w:b/>
        </w:rPr>
        <w:t xml:space="preserve">Assumed Road Freight (Heavy Truck) Emission Factor:</w:t>
      </w:r>
      <w:r>
        <w:t xml:space="preserve"> </w:t>
      </w:r>
      <w:r>
        <w:t xml:space="preserve">0.1 kgCO2e/tkm</w:t>
      </w:r>
    </w:p>
    <w:p>
      <w:pPr>
        <w:numPr>
          <w:ilvl w:val="0"/>
          <w:numId w:val="1006"/>
        </w:numPr>
        <w:pStyle w:val="Compact"/>
      </w:pPr>
      <w:r>
        <w:rPr>
          <w:bCs/>
          <w:b/>
        </w:rPr>
        <w:t xml:space="preserve">Last-Mile Delivery Channel:</w:t>
      </w:r>
      <w:r>
        <w:t xml:space="preserve"> </w:t>
      </w:r>
      <w:r>
        <w:t xml:space="preserve">Road Freight (Light Commercial Vehicle)</w:t>
      </w:r>
    </w:p>
    <w:p>
      <w:pPr>
        <w:numPr>
          <w:ilvl w:val="0"/>
          <w:numId w:val="1006"/>
        </w:numPr>
        <w:pStyle w:val="Compact"/>
      </w:pPr>
      <w:r>
        <w:rPr>
          <w:bCs/>
          <w:b/>
        </w:rPr>
        <w:t xml:space="preserve">Assumed Last-Mile Distance:</w:t>
      </w:r>
      <w:r>
        <w:t xml:space="preserve"> </w:t>
      </w:r>
      <w:r>
        <w:t xml:space="preserve">50 km (estimation)</w:t>
      </w:r>
    </w:p>
    <w:p>
      <w:pPr>
        <w:numPr>
          <w:ilvl w:val="0"/>
          <w:numId w:val="1006"/>
        </w:numPr>
        <w:pStyle w:val="Compact"/>
      </w:pPr>
      <w:r>
        <w:rPr>
          <w:bCs/>
          <w:b/>
        </w:rPr>
        <w:t xml:space="preserve">Assumed Road Freight (Light Commercial Vehicle) Emission Factor:</w:t>
      </w:r>
      <w:r>
        <w:t xml:space="preserve"> </w:t>
      </w:r>
      <w:r>
        <w:t xml:space="preserve">0.3 kgCO2e/tkm</w:t>
      </w:r>
    </w:p>
    <w:bookmarkEnd w:id="30"/>
    <w:bookmarkStart w:id="31" w:name="use-phase-data"/>
    <w:p>
      <w:pPr>
        <w:pStyle w:val="Heading4"/>
      </w:pPr>
      <w:r>
        <w:t xml:space="preserve">2.1.4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Assumed Grid Electricity Emission Factor (China):</w:t>
      </w:r>
      <w:r>
        <w:t xml:space="preserve"> </w:t>
      </w:r>
      <w:r>
        <w:t xml:space="preserve">0.7 kgCO2e/kWh</w:t>
      </w:r>
    </w:p>
    <w:bookmarkEnd w:id="31"/>
    <w:bookmarkStart w:id="32" w:name="end-of-life-eol-data"/>
    <w:p>
      <w:pPr>
        <w:pStyle w:val="Heading4"/>
      </w:pPr>
      <w:r>
        <w:t xml:space="preserve">2.1.5 End-of-Life (EoL) Data</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Yes, Product take-back scheme in place.</w:t>
      </w:r>
    </w:p>
    <w:p>
      <w:pPr>
        <w:numPr>
          <w:ilvl w:val="0"/>
          <w:numId w:val="1008"/>
        </w:numPr>
        <w:pStyle w:val="Compact"/>
      </w:pPr>
      <w:r>
        <w:rPr>
          <w:bCs/>
          <w:b/>
        </w:rPr>
        <w:t xml:space="preserve">Assumed Avoided Emissions from Recycling:</w:t>
      </w:r>
      <w:r>
        <w:t xml:space="preserve"> </w:t>
      </w:r>
      <w:r>
        <w:t xml:space="preserve">1.5 kgCO2e/kg (generic average for mixed materials)</w:t>
      </w:r>
    </w:p>
    <w:p>
      <w:pPr>
        <w:numPr>
          <w:ilvl w:val="0"/>
          <w:numId w:val="1008"/>
        </w:numPr>
        <w:pStyle w:val="Compact"/>
      </w:pPr>
      <w:r>
        <w:rPr>
          <w:bCs/>
          <w:b/>
        </w:rPr>
        <w:t xml:space="preserve">Assumed Emissions from Landfilling/Incineration:</w:t>
      </w:r>
      <w:r>
        <w:t xml:space="preserve"> </w:t>
      </w:r>
      <w:r>
        <w:t xml:space="preserve">0.5 kgCO2e/kg (for non-recycled portion)</w:t>
      </w:r>
    </w:p>
    <w:bookmarkEnd w:id="32"/>
    <w:bookmarkEnd w:id="33"/>
    <w:bookmarkEnd w:id="34"/>
    <w:p>
      <w:r>
        <w:pict>
          <v:rect style="width:0;height:1.5pt" o:hralign="center" o:hrstd="t" o:hr="t"/>
        </w:pict>
      </w:r>
    </w:p>
    <w:bookmarkStart w:id="44" w:name="X439a6e6dcb43c636bf515ffaf3f59bce0bd6490"/>
    <w:p>
      <w:pPr>
        <w:pStyle w:val="Heading2"/>
      </w:pPr>
      <w:r>
        <w:t xml:space="preserve">3. Emission Calculation (Activity * Emission Factor = CO2e)</w:t>
      </w:r>
    </w:p>
    <w:p>
      <w:pPr>
        <w:pStyle w:val="FirstParagraph"/>
      </w:pPr>
      <w:r>
        <w:t xml:space="preserve">The emissions for each lifecycle stage are calculated and categorized according to the GHG Protocol scopes.</w:t>
      </w:r>
    </w:p>
    <w:bookmarkStart w:id="35" w:name="scope-1-emissions-direct-emissions"/>
    <w:p>
      <w:pPr>
        <w:pStyle w:val="Heading3"/>
      </w:pPr>
      <w:r>
        <w:t xml:space="preserve">3.1 Scope 1 Emissions (Direct Emissions)</w:t>
      </w:r>
    </w:p>
    <w:p>
      <w:pPr>
        <w:pStyle w:val="FirstParagraph"/>
      </w:pPr>
      <w:r>
        <w:t xml:space="preserve">Based on the provided parameters, no direct on-site combustion emissions (Scope 1) are explicitly detailed. For the purpose of this PCF, Scope 1 emissions are assumed to be negligible or covered within the upstream processes of material suppliers.</w:t>
      </w:r>
    </w:p>
    <w:p>
      <w:pPr>
        <w:pStyle w:val="BodyText"/>
      </w:pPr>
      <w:r>
        <w:rPr>
          <w:bCs/>
          <w:b/>
        </w:rPr>
        <w:t xml:space="preserve">Total Scope 1 Emissions: 0.00 kgCO2e</w:t>
      </w:r>
    </w:p>
    <w:bookmarkEnd w:id="35"/>
    <w:bookmarkStart w:id="36" w:name="X0eb7813d20e0b5eea71aad60ebf28344aa54270"/>
    <w:p>
      <w:pPr>
        <w:pStyle w:val="Heading3"/>
      </w:pPr>
      <w:r>
        <w:t xml:space="preserve">3.2 Scope 2 Emissions (Purchased Energy for Production)</w:t>
      </w:r>
    </w:p>
    <w:p>
      <w:pPr>
        <w:pStyle w:val="FirstParagraph"/>
      </w:pPr>
      <w:r>
        <w:t xml:space="preserve">Production energy intensity is 10 kWh/unit. With 60% renewable energy usage, 40% of the energy comes from the grid.</w:t>
      </w:r>
    </w:p>
    <w:p>
      <w:pPr>
        <w:numPr>
          <w:ilvl w:val="0"/>
          <w:numId w:val="1009"/>
        </w:numPr>
        <w:pStyle w:val="Compact"/>
      </w:pPr>
      <w:r>
        <w:t xml:space="preserve">Grid electricity consumed: 10 kWh/unit * (1 - 0.60) = 4 kWh/unit</w:t>
      </w:r>
    </w:p>
    <w:p>
      <w:pPr>
        <w:numPr>
          <w:ilvl w:val="0"/>
          <w:numId w:val="1009"/>
        </w:numPr>
        <w:pStyle w:val="Compact"/>
      </w:pPr>
      <w:r>
        <w:t xml:space="preserve">Scope 2 Emissions = 4 kWh/unit * 0.7 kgCO2e/kWh = 2.80 kgCO2e</w:t>
      </w:r>
    </w:p>
    <w:p>
      <w:pPr>
        <w:pStyle w:val="FirstParagraph"/>
      </w:pPr>
      <w:r>
        <w:rPr>
          <w:bCs/>
          <w:b/>
        </w:rPr>
        <w:t xml:space="preserve">Total Scope 2 Emissions: 2.80 kgCO2e</w:t>
      </w:r>
    </w:p>
    <w:bookmarkEnd w:id="36"/>
    <w:bookmarkStart w:id="42" w:name="scope-3-emissions-value-chain-emissions"/>
    <w:p>
      <w:pPr>
        <w:pStyle w:val="Heading3"/>
      </w:pPr>
      <w:r>
        <w:t xml:space="preserve">3.3 Scope 3 Emissions (Value Chain Emissions)</w:t>
      </w:r>
    </w:p>
    <w:bookmarkStart w:id="37" w:name="X3ad69c42647d5be94b5cd1b05482be705f10723"/>
    <w:p>
      <w:pPr>
        <w:pStyle w:val="Heading4"/>
      </w:pPr>
      <w:r>
        <w:t xml:space="preserve">3.3.1 Scope 3, Category 1: Upstream Emissions from Materials</w:t>
      </w:r>
    </w:p>
    <w:p>
      <w:pPr>
        <w:pStyle w:val="FirstParagraph"/>
      </w:pPr>
      <w:r>
        <w:t xml:space="preserve">Calculated directly from the "Total Carbon" values provided in the Detailed Bill of Materials.</w:t>
      </w:r>
    </w:p>
    <w:p>
      <w:pPr>
        <w:numPr>
          <w:ilvl w:val="0"/>
          <w:numId w:val="1010"/>
        </w:numPr>
        <w:pStyle w:val="Compact"/>
      </w:pPr>
      <w:r>
        <w:t xml:space="preserve">Aluminum Casing: 3.75 kgCO2e</w:t>
      </w:r>
    </w:p>
    <w:p>
      <w:pPr>
        <w:numPr>
          <w:ilvl w:val="0"/>
          <w:numId w:val="1010"/>
        </w:numPr>
        <w:pStyle w:val="Compact"/>
      </w:pPr>
      <w:r>
        <w:t xml:space="preserve">Circuit Board: 2.50 kgCO2e</w:t>
      </w:r>
    </w:p>
    <w:p>
      <w:pPr>
        <w:numPr>
          <w:ilvl w:val="0"/>
          <w:numId w:val="1010"/>
        </w:numPr>
        <w:pStyle w:val="Compact"/>
      </w:pPr>
      <w:r>
        <w:t xml:space="preserve">Plastic Housing: 0.90 kgCO2e</w:t>
      </w:r>
    </w:p>
    <w:p>
      <w:pPr>
        <w:numPr>
          <w:ilvl w:val="0"/>
          <w:numId w:val="1010"/>
        </w:numPr>
        <w:pStyle w:val="Compact"/>
      </w:pPr>
      <w:r>
        <w:t xml:space="preserve">Copper Wiring: 0.25 kgCO2e</w:t>
      </w:r>
    </w:p>
    <w:p>
      <w:pPr>
        <w:pStyle w:val="FirstParagraph"/>
      </w:pPr>
      <w:r>
        <w:rPr>
          <w:bCs/>
          <w:b/>
        </w:rPr>
        <w:t xml:space="preserve">Subtotal Scope 3, Category 1 (Materials): 7.40 kgCO2e</w:t>
      </w:r>
    </w:p>
    <w:bookmarkEnd w:id="37"/>
    <w:bookmarkStart w:id="38" w:name="X0c46a1a99b25e095689b6b7d33179fb2f4cb54e"/>
    <w:p>
      <w:pPr>
        <w:pStyle w:val="Heading4"/>
      </w:pPr>
      <w:r>
        <w:t xml:space="preserve">3.3.2 Scope 3, Category 4: Upstream Transportation and Distribution</w:t>
      </w:r>
    </w:p>
    <w:p>
      <w:pPr>
        <w:pStyle w:val="FirstParagraph"/>
      </w:pPr>
      <w:r>
        <w:rPr>
          <w:bCs/>
          <w:b/>
        </w:rPr>
        <w:t xml:space="preserve">Inbound/Mid-stream Transport:</w:t>
      </w:r>
    </w:p>
    <w:p>
      <w:pPr>
        <w:numPr>
          <w:ilvl w:val="0"/>
          <w:numId w:val="1011"/>
        </w:numPr>
        <w:pStyle w:val="Compact"/>
      </w:pPr>
      <w:r>
        <w:t xml:space="preserve">Product Weight: 1 kg (assumed)</w:t>
      </w:r>
    </w:p>
    <w:p>
      <w:pPr>
        <w:numPr>
          <w:ilvl w:val="0"/>
          <w:numId w:val="1011"/>
        </w:numPr>
        <w:pStyle w:val="Compact"/>
      </w:pPr>
      <w:r>
        <w:t xml:space="preserve">Distance: 500 km</w:t>
      </w:r>
    </w:p>
    <w:p>
      <w:pPr>
        <w:numPr>
          <w:ilvl w:val="0"/>
          <w:numId w:val="1011"/>
        </w:numPr>
        <w:pStyle w:val="Compact"/>
      </w:pPr>
      <w:r>
        <w:t xml:space="preserve">Emission Factor: 0.1 kgCO2e/tkm</w:t>
      </w:r>
    </w:p>
    <w:p>
      <w:pPr>
        <w:numPr>
          <w:ilvl w:val="0"/>
          <w:numId w:val="1011"/>
        </w:numPr>
        <w:pStyle w:val="Compact"/>
      </w:pPr>
      <w:r>
        <w:t xml:space="preserve">Emissions = 1 kg * (1 tonne / 1000 kg) * 500 km * 0.1 kgCO2e/tkm = 0.05 kgCO2e</w:t>
      </w:r>
    </w:p>
    <w:p>
      <w:pPr>
        <w:pStyle w:val="FirstParagraph"/>
      </w:pPr>
      <w:r>
        <w:rPr>
          <w:bCs/>
          <w:b/>
        </w:rPr>
        <w:t xml:space="preserve">Subtotal Scope 3, Category 4 (Upstream Transport): 0.05 kgCO2e</w:t>
      </w:r>
    </w:p>
    <w:bookmarkEnd w:id="38"/>
    <w:bookmarkStart w:id="39" w:name="X2c422fb5483fb7dd7d85bc9141a610ed908a7fc"/>
    <w:p>
      <w:pPr>
        <w:pStyle w:val="Heading4"/>
      </w:pPr>
      <w:r>
        <w:t xml:space="preserve">3.3.3 Scope 3, Category 9: Downstream Transportation and Distribution (Last-Mile)</w:t>
      </w:r>
    </w:p>
    <w:p>
      <w:pPr>
        <w:pStyle w:val="FirstParagraph"/>
      </w:pPr>
      <w:r>
        <w:rPr>
          <w:bCs/>
          <w:b/>
        </w:rPr>
        <w:t xml:space="preserve">Last-Mile Delivery:</w:t>
      </w:r>
    </w:p>
    <w:p>
      <w:pPr>
        <w:numPr>
          <w:ilvl w:val="0"/>
          <w:numId w:val="1012"/>
        </w:numPr>
        <w:pStyle w:val="Compact"/>
      </w:pPr>
      <w:r>
        <w:t xml:space="preserve">Product Weight: 1 kg (assumed)</w:t>
      </w:r>
    </w:p>
    <w:p>
      <w:pPr>
        <w:numPr>
          <w:ilvl w:val="0"/>
          <w:numId w:val="1012"/>
        </w:numPr>
        <w:pStyle w:val="Compact"/>
      </w:pPr>
      <w:r>
        <w:t xml:space="preserve">Distance: 50 km</w:t>
      </w:r>
    </w:p>
    <w:p>
      <w:pPr>
        <w:numPr>
          <w:ilvl w:val="0"/>
          <w:numId w:val="1012"/>
        </w:numPr>
        <w:pStyle w:val="Compact"/>
      </w:pPr>
      <w:r>
        <w:t xml:space="preserve">Emission Factor: 0.3 kgCO2e/tkm</w:t>
      </w:r>
    </w:p>
    <w:p>
      <w:pPr>
        <w:numPr>
          <w:ilvl w:val="0"/>
          <w:numId w:val="1012"/>
        </w:numPr>
        <w:pStyle w:val="Compact"/>
      </w:pPr>
      <w:r>
        <w:t xml:space="preserve">Emissions = 1 kg * (1 tonne / 1000 kg) * 50 km * 0.3 kgCO2e/tkm = 0.015 kgCO2e</w:t>
      </w:r>
    </w:p>
    <w:p>
      <w:pPr>
        <w:pStyle w:val="FirstParagraph"/>
      </w:pPr>
      <w:r>
        <w:rPr>
          <w:bCs/>
          <w:b/>
        </w:rPr>
        <w:t xml:space="preserve">Subtotal Scope 3, Category 9 (Last-Mile Delivery): 0.015 kgCO2e</w:t>
      </w:r>
    </w:p>
    <w:bookmarkEnd w:id="39"/>
    <w:bookmarkStart w:id="40" w:name="scope-3-category-11-use-of-sold-products"/>
    <w:p>
      <w:pPr>
        <w:pStyle w:val="Heading4"/>
      </w:pPr>
      <w:r>
        <w:t xml:space="preserve">3.3.4 Scope 3, Category 11: Use of Sold Products</w:t>
      </w:r>
    </w:p>
    <w:p>
      <w:pPr>
        <w:pStyle w:val="FirstParagraph"/>
      </w:pPr>
      <w:r>
        <w:t xml:space="preserve">Energy consumption over product lifespan:</w:t>
      </w:r>
    </w:p>
    <w:p>
      <w:pPr>
        <w:numPr>
          <w:ilvl w:val="0"/>
          <w:numId w:val="1013"/>
        </w:numPr>
        <w:pStyle w:val="Compact"/>
      </w:pPr>
      <w:r>
        <w:t xml:space="preserve">Annual consumption: 20 kWh/year</w:t>
      </w:r>
    </w:p>
    <w:p>
      <w:pPr>
        <w:numPr>
          <w:ilvl w:val="0"/>
          <w:numId w:val="1013"/>
        </w:numPr>
        <w:pStyle w:val="Compact"/>
      </w:pPr>
      <w:r>
        <w:t xml:space="preserve">Lifespan: 5 years</w:t>
      </w:r>
    </w:p>
    <w:p>
      <w:pPr>
        <w:numPr>
          <w:ilvl w:val="0"/>
          <w:numId w:val="1013"/>
        </w:numPr>
        <w:pStyle w:val="Compact"/>
      </w:pPr>
      <w:r>
        <w:t xml:space="preserve">Total energy consumption: 20 kWh/year * 5 years = 100 kWh</w:t>
      </w:r>
    </w:p>
    <w:p>
      <w:pPr>
        <w:numPr>
          <w:ilvl w:val="0"/>
          <w:numId w:val="1013"/>
        </w:numPr>
        <w:pStyle w:val="Compact"/>
      </w:pPr>
      <w:r>
        <w:t xml:space="preserve">Emissions = 100 kWh * 0.7 kgCO2e/kWh = 70.00 kgCO2e</w:t>
      </w:r>
    </w:p>
    <w:p>
      <w:pPr>
        <w:pStyle w:val="FirstParagraph"/>
      </w:pPr>
      <w:r>
        <w:rPr>
          <w:bCs/>
          <w:b/>
        </w:rPr>
        <w:t xml:space="preserve">Subtotal Scope 3, Category 11 (Use Phase): 70.00 kgCO2e</w:t>
      </w:r>
    </w:p>
    <w:bookmarkEnd w:id="40"/>
    <w:bookmarkStart w:id="41" w:name="X8a83d50c0d89d142371b1cb2678444c0262a9c4"/>
    <w:p>
      <w:pPr>
        <w:pStyle w:val="Heading4"/>
      </w:pPr>
      <w:r>
        <w:t xml:space="preserve">3.3.5 Scope 3, Category 12: End-of-Life Treatment of Sold Products</w:t>
      </w:r>
    </w:p>
    <w:p>
      <w:pPr>
        <w:pStyle w:val="FirstParagraph"/>
      </w:pPr>
      <w:r>
        <w:t xml:space="preserve">For a product assumed to weigh 1kg (based on general BOM quantity):</w:t>
      </w:r>
    </w:p>
    <w:p>
      <w:pPr>
        <w:numPr>
          <w:ilvl w:val="0"/>
          <w:numId w:val="1014"/>
        </w:numPr>
        <w:pStyle w:val="Compact"/>
      </w:pPr>
      <w:r>
        <w:t xml:space="preserve">Recycled portion: 1 kg * 80% = 0.8 kg</w:t>
      </w:r>
    </w:p>
    <w:p>
      <w:pPr>
        <w:numPr>
          <w:ilvl w:val="0"/>
          <w:numId w:val="1014"/>
        </w:numPr>
        <w:pStyle w:val="Compact"/>
      </w:pPr>
      <w:r>
        <w:t xml:space="preserve">Disposed portion (landfill/incineration): 1 kg * 20% = 0.2 kg</w:t>
      </w:r>
    </w:p>
    <w:p>
      <w:pPr>
        <w:numPr>
          <w:ilvl w:val="0"/>
          <w:numId w:val="1014"/>
        </w:numPr>
        <w:pStyle w:val="Compact"/>
      </w:pPr>
      <w:r>
        <w:t xml:space="preserve">Avoided emissions from recycling: 0.8 kg * (-1.5 kgCO2e/kg) = -1.20 kgCO2e (credit)</w:t>
      </w:r>
    </w:p>
    <w:p>
      <w:pPr>
        <w:numPr>
          <w:ilvl w:val="0"/>
          <w:numId w:val="1014"/>
        </w:numPr>
        <w:pStyle w:val="Compact"/>
      </w:pPr>
      <w:r>
        <w:t xml:space="preserve">Emissions from disposal: 0.2 kg * 0.5 kgCO2e/kg = 0.10 kgCO2e</w:t>
      </w:r>
    </w:p>
    <w:p>
      <w:pPr>
        <w:numPr>
          <w:ilvl w:val="0"/>
          <w:numId w:val="1014"/>
        </w:numPr>
        <w:pStyle w:val="Compact"/>
      </w:pPr>
      <w:r>
        <w:t xml:space="preserve">The presence of a product take-back scheme (zyhzyqvjez) further enhances circularity, potentially increasing actual recycling rates and reducing end-of-life burdens, though quantification requires more specific program data.</w:t>
      </w:r>
    </w:p>
    <w:p>
      <w:pPr>
        <w:pStyle w:val="FirstParagraph"/>
      </w:pPr>
      <w:r>
        <w:rPr>
          <w:bCs/>
          <w:b/>
        </w:rPr>
        <w:t xml:space="preserve">Subtotal Scope 3, Category 12 (EoL): -1.10 kgCO2e</w:t>
      </w:r>
    </w:p>
    <w:bookmarkEnd w:id="41"/>
    <w:bookmarkEnd w:id="42"/>
    <w:bookmarkStart w:id="43" w:name="X0093d87cb35d80d34e73a0fa2977055264edb3f"/>
    <w:p>
      <w:pPr>
        <w:pStyle w:val="Heading3"/>
      </w:pPr>
      <w:r>
        <w:t xml:space="preserve">3.4 Total Product Carbon Footprint (PCF) for iktottnmgi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Emissions (kgCO2e per 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2.80</w:t>
            </w:r>
          </w:p>
        </w:tc>
      </w:tr>
      <w:tr>
        <w:tc>
          <w:tcPr/>
          <w:p>
            <w:pPr>
              <w:pStyle w:val="Compact"/>
              <w:jc w:val="left"/>
            </w:pPr>
            <w:r>
              <w:rPr>
                <w:bCs/>
                <w:b/>
              </w:rPr>
              <w:t xml:space="preserve">Scope 3: Other Indirect Emissions</w:t>
            </w:r>
          </w:p>
        </w:tc>
        <w:tc>
          <w:tcPr/>
          <w:p>
            <w:pPr>
              <w:pStyle w:val="Compact"/>
            </w:pPr>
          </w:p>
        </w:tc>
      </w:tr>
      <w:tr>
        <w:tc>
          <w:tcPr/>
          <w:p>
            <w:pPr>
              <w:pStyle w:val="Compact"/>
              <w:jc w:val="left"/>
            </w:pPr>
            <w:r>
              <w:t xml:space="preserve">    Category 1: Upstream Materials</w:t>
            </w:r>
          </w:p>
        </w:tc>
        <w:tc>
          <w:tcPr/>
          <w:p>
            <w:pPr>
              <w:pStyle w:val="Compact"/>
              <w:jc w:val="left"/>
            </w:pPr>
            <w:r>
              <w:t xml:space="preserve">7.40</w:t>
            </w:r>
          </w:p>
        </w:tc>
      </w:tr>
      <w:tr>
        <w:tc>
          <w:tcPr/>
          <w:p>
            <w:pPr>
              <w:pStyle w:val="Compact"/>
              <w:jc w:val="left"/>
            </w:pPr>
            <w:r>
              <w:t xml:space="preserve">    Category 4: Upstream Transportation</w:t>
            </w:r>
          </w:p>
        </w:tc>
        <w:tc>
          <w:tcPr/>
          <w:p>
            <w:pPr>
              <w:pStyle w:val="Compact"/>
              <w:jc w:val="left"/>
            </w:pPr>
            <w:r>
              <w:t xml:space="preserve">0.05</w:t>
            </w:r>
          </w:p>
        </w:tc>
      </w:tr>
      <w:tr>
        <w:tc>
          <w:tcPr/>
          <w:p>
            <w:pPr>
              <w:pStyle w:val="Compact"/>
              <w:jc w:val="left"/>
            </w:pPr>
            <w:r>
              <w:t xml:space="preserve">    Category 9: Downstream Transportation (Last-Mile)</w:t>
            </w:r>
          </w:p>
        </w:tc>
        <w:tc>
          <w:tcPr/>
          <w:p>
            <w:pPr>
              <w:pStyle w:val="Compact"/>
              <w:jc w:val="left"/>
            </w:pPr>
            <w:r>
              <w:t xml:space="preserve">0.015</w:t>
            </w:r>
          </w:p>
        </w:tc>
      </w:tr>
      <w:tr>
        <w:tc>
          <w:tcPr/>
          <w:p>
            <w:pPr>
              <w:pStyle w:val="Compact"/>
              <w:jc w:val="left"/>
            </w:pPr>
            <w:r>
              <w:t xml:space="preserve">    Category 11: Use of Sold Products</w:t>
            </w:r>
          </w:p>
        </w:tc>
        <w:tc>
          <w:tcPr/>
          <w:p>
            <w:pPr>
              <w:pStyle w:val="Compact"/>
              <w:jc w:val="left"/>
            </w:pPr>
            <w:r>
              <w:t xml:space="preserve">70.00</w:t>
            </w:r>
          </w:p>
        </w:tc>
      </w:tr>
      <w:tr>
        <w:tc>
          <w:tcPr/>
          <w:p>
            <w:pPr>
              <w:pStyle w:val="Compact"/>
              <w:jc w:val="left"/>
            </w:pPr>
            <w:r>
              <w:t xml:space="preserve">    Category 12: End-of-Life Treatment</w:t>
            </w:r>
          </w:p>
        </w:tc>
        <w:tc>
          <w:tcPr/>
          <w:p>
            <w:pPr>
              <w:pStyle w:val="Compact"/>
              <w:jc w:val="left"/>
            </w:pPr>
            <w:r>
              <w:t xml:space="preserve">-1.10</w:t>
            </w:r>
          </w:p>
        </w:tc>
      </w:tr>
      <w:tr>
        <w:tc>
          <w:tcPr/>
          <w:p>
            <w:pPr>
              <w:pStyle w:val="Compact"/>
              <w:jc w:val="left"/>
            </w:pPr>
            <w:r>
              <w:rPr>
                <w:bCs/>
                <w:b/>
              </w:rPr>
              <w:t xml:space="preserve">TOTAL PCF (kgCO2e per unit)</w:t>
            </w:r>
          </w:p>
        </w:tc>
        <w:tc>
          <w:tcPr/>
          <w:p>
            <w:pPr>
              <w:pStyle w:val="Compact"/>
              <w:jc w:val="left"/>
            </w:pPr>
            <w:r>
              <w:rPr>
                <w:bCs/>
                <w:b/>
              </w:rPr>
              <w:t xml:space="preserve">79.165</w:t>
            </w:r>
          </w:p>
        </w:tc>
      </w:tr>
    </w:tbl>
    <w:bookmarkEnd w:id="43"/>
    <w:bookmarkEnd w:id="44"/>
    <w:p>
      <w:r>
        <w:pict>
          <v:rect style="width:0;height:1.5pt" o:hralign="center" o:hrstd="t" o:hr="t"/>
        </w:pict>
      </w:r>
    </w:p>
    <w:bookmarkStart w:id="47" w:name="review-report---hotspots-and-reliability"/>
    <w:p>
      <w:pPr>
        <w:pStyle w:val="Heading2"/>
      </w:pPr>
      <w:r>
        <w:t xml:space="preserve">4. Review &amp; Report - Hotspots and Reliability</w:t>
      </w:r>
    </w:p>
    <w:bookmarkStart w:id="45" w:name="emission-hotspots"/>
    <w:p>
      <w:pPr>
        <w:pStyle w:val="Heading3"/>
      </w:pPr>
      <w:r>
        <w:t xml:space="preserve">4.1 Emission Hotspots</w:t>
      </w:r>
    </w:p>
    <w:p>
      <w:pPr>
        <w:pStyle w:val="FirstParagraph"/>
      </w:pPr>
      <w:r>
        <w:t xml:space="preserve">The analysis clearly identifies the following key emission hotspots for iktottnmgi:</w:t>
      </w:r>
    </w:p>
    <w:p>
      <w:pPr>
        <w:numPr>
          <w:ilvl w:val="0"/>
          <w:numId w:val="1015"/>
        </w:numPr>
        <w:pStyle w:val="Compact"/>
      </w:pPr>
      <w:r>
        <w:rPr>
          <w:bCs/>
          <w:b/>
        </w:rPr>
        <w:t xml:space="preserve">Use Phase (Scope 3, Category 11):</w:t>
      </w:r>
      <w:r>
        <w:t xml:space="preserve"> </w:t>
      </w:r>
      <w:r>
        <w:t xml:space="preserve">Constituting the vast majority of the PCF (approx. 88.4%), the energy consumption during the product\'s 5-year lifespan is the single largest contributor to its carbon footprint.</w:t>
      </w:r>
    </w:p>
    <w:p>
      <w:pPr>
        <w:numPr>
          <w:ilvl w:val="0"/>
          <w:numId w:val="1015"/>
        </w:numPr>
        <w:pStyle w:val="Compact"/>
      </w:pPr>
      <w:r>
        <w:rPr>
          <w:bCs/>
          <w:b/>
        </w:rPr>
        <w:t xml:space="preserve">Upstream Materials (Scope 3, Category 1):</w:t>
      </w:r>
      <w:r>
        <w:t xml:space="preserve"> </w:t>
      </w:r>
      <w:r>
        <w:t xml:space="preserve">Material acquisition and processing, particularly for components like Aluminum Casing and Circuit Board, represent the second most significant hotspot (approx. 9.3%).</w:t>
      </w:r>
    </w:p>
    <w:p>
      <w:pPr>
        <w:numPr>
          <w:ilvl w:val="0"/>
          <w:numId w:val="1015"/>
        </w:numPr>
        <w:pStyle w:val="Compact"/>
      </w:pPr>
      <w:r>
        <w:rPr>
          <w:bCs/>
          <w:b/>
        </w:rPr>
        <w:t xml:space="preserve">Production Energy (Scope 2):</w:t>
      </w:r>
      <w:r>
        <w:t xml:space="preserve"> </w:t>
      </w:r>
      <w:r>
        <w:t xml:space="preserve">The manufacturing process, accounting for purchased electricity (even with 60% renewables), contributes a smaller but notable portion (approx. 3.5%).</w:t>
      </w:r>
    </w:p>
    <w:bookmarkEnd w:id="45"/>
    <w:bookmarkStart w:id="46" w:name="data-reliability-and-limitations"/>
    <w:p>
      <w:pPr>
        <w:pStyle w:val="Heading3"/>
      </w:pPr>
      <w:r>
        <w:t xml:space="preserve">4.2 Data Reliability and Limitations</w:t>
      </w:r>
    </w:p>
    <w:p>
      <w:pPr>
        <w:pStyle w:val="FirstParagraph"/>
      </w:pPr>
      <w:r>
        <w:t xml:space="preserve">The reliability of this PCF analysis is high due to the use of detailed primary data for the Bill of Materials and specific energy/logistics parameters. However, certain limitations and assumptions are inherent:</w:t>
      </w:r>
    </w:p>
    <w:p>
      <w:pPr>
        <w:numPr>
          <w:ilvl w:val="0"/>
          <w:numId w:val="1016"/>
        </w:numPr>
        <w:pStyle w:val="Compact"/>
      </w:pPr>
      <w:r>
        <w:rPr>
          <w:bCs/>
          <w:b/>
        </w:rPr>
        <w:t xml:space="preserve">Emission Factors:</w:t>
      </w:r>
      <w:r>
        <w:t xml:space="preserve"> </w:t>
      </w:r>
      <w:r>
        <w:t xml:space="preserve">While industry-standard emission factors (e.g., from Ecoinvent/DEFRA for transport and generic grid mixes) are used, highly specific, country- and process-specific factors might further refine accuracy.</w:t>
      </w:r>
    </w:p>
    <w:p>
      <w:pPr>
        <w:numPr>
          <w:ilvl w:val="0"/>
          <w:numId w:val="1016"/>
        </w:numPr>
        <w:pStyle w:val="Compact"/>
      </w:pPr>
      <w:r>
        <w:rPr>
          <w:bCs/>
          <w:b/>
        </w:rPr>
        <w:t xml:space="preserve">Assumed Values:</w:t>
      </w:r>
      <w:r>
        <w:t xml:space="preserve"> </w:t>
      </w:r>
      <w:r>
        <w:t xml:space="preserve">Generic values for product weight (for transport), average transport distances for last-mile, and avoided recycling emissions were used where specific data was not provided.</w:t>
      </w:r>
    </w:p>
    <w:p>
      <w:pPr>
        <w:numPr>
          <w:ilvl w:val="0"/>
          <w:numId w:val="1016"/>
        </w:numPr>
        <w:pStyle w:val="Compact"/>
      </w:pPr>
      <w:r>
        <w:rPr>
          <w:bCs/>
          <w:b/>
        </w:rPr>
        <w:t xml:space="preserve">LSR Standard:</w:t>
      </w:r>
      <w:r>
        <w:t xml:space="preserve"> </w:t>
      </w:r>
      <w:r>
        <w:t xml:space="preserve">The application of the LSR Standard is qualitative for this report due to lack of specific land-use change data for raw materials, but its principles are acknowledged.</w:t>
      </w:r>
    </w:p>
    <w:p>
      <w:pPr>
        <w:numPr>
          <w:ilvl w:val="0"/>
          <w:numId w:val="1016"/>
        </w:numPr>
        <w:pStyle w:val="Compact"/>
      </w:pPr>
      <w:r>
        <w:rPr>
          <w:bCs/>
          <w:b/>
        </w:rPr>
        <w:t xml:space="preserve">Circular Programs:</w:t>
      </w:r>
      <w:r>
        <w:t xml:space="preserve"> </w:t>
      </w:r>
      <w:r>
        <w:t xml:space="preserve">While circular programs are in place, their precise impact on reducing EoL burdens (e.g., through increased material efficiency or higher-value recycling) would require further detailed data on program effectiveness.</w:t>
      </w:r>
    </w:p>
    <w:p>
      <w:pPr>
        <w:pStyle w:val="FirstParagraph"/>
      </w:pPr>
      <w:r>
        <w:t xml:space="preserve">Despite these limitations, this report provides a robust and comprehensive assessment of iktottnmgi\'s carbon footprint, suitable for identifying improvement opportunities and meeting GHG Protocol reporting requirements.</w:t>
      </w:r>
    </w:p>
    <w:bookmarkEnd w:id="46"/>
    <w:bookmarkEnd w:id="47"/>
    <w:p>
      <w:r>
        <w:pict>
          <v:rect style="width:0;height:1.5pt" o:hralign="center" o:hrstd="t" o:hr="t"/>
        </w:pict>
      </w:r>
    </w:p>
    <w:bookmarkStart w:id="48" w:name="recommendations-for-emission-reduction"/>
    <w:p>
      <w:pPr>
        <w:pStyle w:val="Heading2"/>
      </w:pPr>
      <w:r>
        <w:t xml:space="preserve">5. Recommendations for Emission Reduction</w:t>
      </w:r>
    </w:p>
    <w:p>
      <w:pPr>
        <w:pStyle w:val="FirstParagraph"/>
      </w:pPr>
      <w:r>
        <w:t xml:space="preserve">Based on the hotspot analysis, uptehwsffd should focus on the following areas to reduce the PCF of iktottnmgi:</w:t>
      </w:r>
    </w:p>
    <w:p>
      <w:pPr>
        <w:numPr>
          <w:ilvl w:val="0"/>
          <w:numId w:val="1017"/>
        </w:numPr>
        <w:pStyle w:val="Compact"/>
      </w:pPr>
      <w:r>
        <w:rPr>
          <w:bCs/>
          <w:b/>
        </w:rPr>
        <w:t xml:space="preserve">Optimize Use Phase Efficiency:</w:t>
      </w:r>
      <w:r>
        <w:t xml:space="preserve"> </w:t>
      </w:r>
      <w:r>
        <w:t xml:space="preserve">Invest in R&amp;D to significantly reduce the product\'s energy consumption during its use phase. This could involve more energy-efficient components, power-saving modes, or longer product lifespan through durability enhancements.</w:t>
      </w:r>
    </w:p>
    <w:p>
      <w:pPr>
        <w:numPr>
          <w:ilvl w:val="0"/>
          <w:numId w:val="1017"/>
        </w:numPr>
        <w:pStyle w:val="Compact"/>
      </w:pPr>
      <w:r>
        <w:rPr>
          <w:bCs/>
          <w:b/>
        </w:rPr>
        <w:t xml:space="preserve">Material Decarbonization:</w:t>
      </w:r>
      <w:r>
        <w:t xml:space="preserve"> </w:t>
      </w:r>
      <w:r>
        <w:t xml:space="preserve">Explore sourcing lower-carbon alternative materials or working with suppliers to reduce the embedded emissions of high-impact components like aluminum and circuit boards. Investigate recycled content for materials.</w:t>
      </w:r>
    </w:p>
    <w:p>
      <w:pPr>
        <w:numPr>
          <w:ilvl w:val="0"/>
          <w:numId w:val="1017"/>
        </w:numPr>
        <w:pStyle w:val="Compact"/>
      </w:pPr>
      <w:r>
        <w:rPr>
          <w:bCs/>
          <w:b/>
        </w:rPr>
        <w:t xml:space="preserve">Enhance Circularity:</w:t>
      </w:r>
      <w:r>
        <w:t xml:space="preserve"> </w:t>
      </w:r>
      <w:r>
        <w:t xml:space="preserve">Leverage the existing product take-back scheme (zyhzyqvjez) to maximize material recovery and high-quality recycling. Explore product-as-a-service models or repairability to extend product life.</w:t>
      </w:r>
    </w:p>
    <w:p>
      <w:pPr>
        <w:numPr>
          <w:ilvl w:val="0"/>
          <w:numId w:val="1017"/>
        </w:numPr>
        <w:pStyle w:val="Compact"/>
      </w:pPr>
      <w:r>
        <w:rPr>
          <w:bCs/>
          <w:b/>
        </w:rPr>
        <w:t xml:space="preserve">Renewable Energy Expansion:</w:t>
      </w:r>
      <w:r>
        <w:t xml:space="preserve"> </w:t>
      </w:r>
      <w:r>
        <w:t xml:space="preserve">Further increase the share of renewable energy used in production facilities, beyond the current 60%, to minimize Scope 2 emissions.</w:t>
      </w:r>
    </w:p>
    <w:p>
      <w:pPr>
        <w:numPr>
          <w:ilvl w:val="0"/>
          <w:numId w:val="1017"/>
        </w:numPr>
        <w:pStyle w:val="Compact"/>
      </w:pPr>
      <w:r>
        <w:rPr>
          <w:bCs/>
          <w:b/>
        </w:rPr>
        <w:t xml:space="preserve">Logistics Optimization:</w:t>
      </w:r>
      <w:r>
        <w:t xml:space="preserve"> </w:t>
      </w:r>
      <w:r>
        <w:t xml:space="preserve">While transport emissions are currently minor, continuous optimization of logistics, such as using more efficient modes or optimizing routes, can contribute to overall reductions.</w:t>
      </w:r>
    </w:p>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iktottnmgi</dc:title>
  <dc:creator/>
  <dc:description>High-detail Product Carbon Footprint (PCF) analysis for iktottnmgi, developed by Senior Sustainability Consultant osxphxdewo for uptehwsffd, adhering to GHG Protocol and 2026 LSR Update requirements.</dc:description>
  <dc:language>en</dc:language>
  <cp:keywords/>
  <dcterms:created xsi:type="dcterms:W3CDTF">2026-05-30T18:14:19Z</dcterms:created>
  <dcterms:modified xsi:type="dcterms:W3CDTF">2026-05-30T18:14:19Z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