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igxqtmtowk</w:t>
      </w:r>
      <w:r>
        <w:t xml:space="preserve"> </w:t>
      </w:r>
      <w:r>
        <w:t xml:space="preserve">-</w:t>
      </w:r>
      <w:r>
        <w:t xml:space="preserve"> </w:t>
      </w:r>
      <w:r>
        <w:t xml:space="preserve">uwgniutwyy</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igxqtmtowk</w:t>
      </w:r>
    </w:p>
    <w:p>
      <w:pPr>
        <w:pStyle w:val="BodyText"/>
      </w:pPr>
      <w:r>
        <w:rPr>
          <w:bCs/>
          <w:b/>
        </w:rPr>
        <w:t xml:space="preserve">Company:</w:t>
      </w:r>
      <w:r>
        <w:t xml:space="preserve"> </w:t>
      </w:r>
      <w:r>
        <w:t xml:space="preserve">uwgniutwyy</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uuxzhmsjis</w:t>
      </w:r>
    </w:p>
    <w:p>
      <w:pPr>
        <w:pStyle w:val="BodyText"/>
      </w:pPr>
      <w:r>
        <w:t xml:space="preserve">Disclaimer: This report is generated based on available data and industry standards. While efforts have been made to ensure accuracy, the actual environmental impacts may vary depending on real-world conditions and data precision.</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June 3,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\'igxqtmtowk\', a Smart Home Device manufactured by uwgniutwyy. The analysis was conducted by uuxzhmsjis, Senior Sustainability Consultant, adhering strictly to the Greenhouse Gas (GHG) Protocol standards, including the 2026 Land Sector and Removals (LSR) update and the 95% coverage requirement for Scope 3 emissions. The total cradle-to-grave carbon footprint for one functional unit of \'igxqtmtowk\' is calculated to be approximately 22.33 kg CO2e, with the use phase being the most significant contributor. This report identifies key emission hotspots across the product\'s lifecycle, from raw material extraction and manufacturing to transport, product use, and end-of-life scenarios, providing uwgniutwyy with actionable insights for emission reduction strategies.</w:t>
      </w:r>
    </w:p>
    <w:p>
      <w:r>
        <w:pict>
          <v:rect style="width:0;height:1.5pt" o:hralign="center" o:hrstd="t" o:hr="t"/>
        </w:pict>
      </w:r>
    </w:p>
    <w:bookmarkEnd w:id="22"/>
    <w:bookmarkStart w:id="28" w:name="define-scope"/>
    <w:p>
      <w:pPr>
        <w:pStyle w:val="Heading2"/>
      </w:pPr>
      <w:r>
        <w:t xml:space="preserve">1. Define Scope</w:t>
      </w:r>
    </w:p>
    <w:p>
      <w:pPr>
        <w:pStyle w:val="FirstParagraph"/>
      </w:pPr>
      <w:r>
        <w:t xml:space="preserve">The first step in conducting a PCF analysis is to clearly define the scope of the assessment. This section outlines the functional unit, system boundaries, geographic scope, accounting standard, and allocation principles applied.</w:t>
      </w:r>
    </w:p>
    <w:bookmarkStart w:id="23" w:name="functional-unit"/>
    <w:p>
      <w:pPr>
        <w:pStyle w:val="Heading3"/>
      </w:pPr>
      <w:r>
        <w:t xml:space="preserve">Functional Unit</w:t>
      </w:r>
    </w:p>
    <w:p>
      <w:pPr>
        <w:pStyle w:val="FirstParagraph"/>
      </w:pPr>
      <w:r>
        <w:t xml:space="preserve">The functional unit for this PCF analysis is defined as</w:t>
      </w:r>
      <w:r>
        <w:t xml:space="preserve"> </w:t>
      </w:r>
      <w:r>
        <w:rPr>
          <w:bCs/>
          <w:b/>
        </w:rPr>
        <w:t xml:space="preserve">1.0 unit of \'igxqtmtowk\' (Smart Home Device)</w:t>
      </w:r>
      <w:r>
        <w:t xml:space="preserve">, providing its intended service throughout its estimated lifespan.</w:t>
      </w:r>
    </w:p>
    <w:bookmarkEnd w:id="23"/>
    <w:bookmarkStart w:id="24" w:name="system-boundary"/>
    <w:p>
      <w:pPr>
        <w:pStyle w:val="Heading3"/>
      </w:pPr>
      <w:r>
        <w:t xml:space="preserve">System Boundary</w:t>
      </w:r>
    </w:p>
    <w:p>
      <w:pPr>
        <w:pStyle w:val="FirstParagraph"/>
      </w:pPr>
      <w:r>
        <w:t xml:space="preserve">The system boundary for this analysis is a comprehensive "Cradle-to-Grave" assessment, extending beyond the initially indicated \'factory_gate\' parameter to fully incorporate the use phase and end-of-life scenarios as required. This approach captures emissions across the entire product lifecycle:</w:t>
      </w:r>
    </w:p>
    <w:p>
      <w:pPr>
        <w:numPr>
          <w:ilvl w:val="0"/>
          <w:numId w:val="1001"/>
        </w:numPr>
        <w:pStyle w:val="Compact"/>
      </w:pPr>
      <w:r>
        <w:rPr>
          <w:bCs/>
          <w:b/>
        </w:rPr>
        <w:t xml:space="preserve">Upstream (Cradle-to-Gate):</w:t>
      </w:r>
      <w:r>
        <w:t xml:space="preserve"> </w:t>
      </w:r>
      <w:r>
        <w:t xml:space="preserve">Includes raw material extraction, processing, manufacturing of components, and transportation of materials and components to the final production facility in China.</w:t>
      </w:r>
    </w:p>
    <w:p>
      <w:pPr>
        <w:numPr>
          <w:ilvl w:val="0"/>
          <w:numId w:val="1001"/>
        </w:numPr>
        <w:pStyle w:val="Compact"/>
      </w:pPr>
      <w:r>
        <w:rPr>
          <w:bCs/>
          <w:b/>
        </w:rPr>
        <w:t xml:space="preserve">Core (Production at Factory Gate):</w:t>
      </w:r>
      <w:r>
        <w:t xml:space="preserve"> </w:t>
      </w:r>
      <w:r>
        <w:t xml:space="preserve">Encompasses the energy consumption during the assembly and manufacturing processes at uwgniutwyy\'s production facility.</w:t>
      </w:r>
    </w:p>
    <w:p>
      <w:pPr>
        <w:numPr>
          <w:ilvl w:val="0"/>
          <w:numId w:val="1001"/>
        </w:numPr>
        <w:pStyle w:val="Compact"/>
      </w:pPr>
      <w:r>
        <w:rPr>
          <w:bCs/>
          <w:b/>
        </w:rPr>
        <w:t xml:space="preserve">Downstream:</w:t>
      </w:r>
      <w:r>
        <w:t xml:space="preserve"> </w:t>
      </w:r>
      <w:r>
        <w:t xml:space="preserve">Includes transportation from the factory gate to the customer, the energy consumption during the product\'s operational use, and its end-of-life treatment.</w:t>
      </w:r>
    </w:p>
    <w:bookmarkEnd w:id="24"/>
    <w:bookmarkStart w:id="25" w:name="geographic-scope"/>
    <w:p>
      <w:pPr>
        <w:pStyle w:val="Heading3"/>
      </w:pPr>
      <w:r>
        <w:t xml:space="preserve">Geographic Scope</w:t>
      </w:r>
    </w:p>
    <w:p>
      <w:pPr>
        <w:pStyle w:val="FirstParagraph"/>
      </w:pPr>
      <w:r>
        <w:t xml:space="preserve">The geographic scope covers:</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indicating that material sourcing, manufacturing of some components, and eventual distribution and use of the product primarily involve European supply chains and customer base.</w:t>
      </w:r>
    </w:p>
    <w:bookmarkEnd w:id="25"/>
    <w:bookmarkStart w:id="26" w:name="accounting-standard"/>
    <w:p>
      <w:pPr>
        <w:pStyle w:val="Heading3"/>
      </w:pPr>
      <w:r>
        <w:t xml:space="preserve">Accounting Standard</w:t>
      </w:r>
    </w:p>
    <w:p>
      <w:pPr>
        <w:pStyle w:val="FirstParagraph"/>
      </w:pPr>
      <w:r>
        <w:t xml:space="preserve">This Product Carbon Footprint analysis adheres strictly to the</w:t>
      </w:r>
      <w:r>
        <w:t xml:space="preserve"> </w:t>
      </w:r>
      <w:r>
        <w:rPr>
          <w:bCs/>
          <w:b/>
        </w:rPr>
        <w:t xml:space="preserve">GHG Protocol</w:t>
      </w:r>
      <w:r>
        <w:t xml:space="preserve">, which provides the global standard framework for measuring and managing greenhouse gas emissions. Emissions are categorized into Scope 1 (direct emissions), Scope 2 (indirect emissions from purchased energy), and Scope 3 (all other indirect emissions across the value chain).</w:t>
      </w:r>
    </w:p>
    <w:bookmarkEnd w:id="26"/>
    <w:bookmarkStart w:id="27" w:name="allocation"/>
    <w:p>
      <w:pPr>
        <w:pStyle w:val="Heading3"/>
      </w:pPr>
      <w:r>
        <w:t xml:space="preserve">Allocation</w:t>
      </w:r>
    </w:p>
    <w:p>
      <w:pPr>
        <w:pStyle w:val="FirstParagraph"/>
      </w:pPr>
      <w:r>
        <w:t xml:space="preserve">For this single product PCF, direct allocation methods are primarily used, attributing all relevant emissions to the \'igxqtmtowk\' unit. Where shared processes or facilities are involved (e.g., in raw material production), appropriate allocation principles based on mass, economic value, or physical causality would typically be applied. For this specific product, emissions are directly assigned to the product unit based on its material composition, energy consumption, and transport distances.</w:t>
      </w:r>
    </w:p>
    <w:p>
      <w:r>
        <w:pict>
          <v:rect style="width:0;height:1.5pt" o:hralign="center" o:hrstd="t" o:hr="t"/>
        </w:pict>
      </w:r>
    </w:p>
    <w:bookmarkEnd w:id="27"/>
    <w:bookmarkEnd w:id="28"/>
    <w:bookmarkStart w:id="36" w:name="X9b3f95e3515408304ff4a9cec9842f2424d7a20"/>
    <w:p>
      <w:pPr>
        <w:pStyle w:val="Heading2"/>
      </w:pPr>
      <w:r>
        <w:t xml:space="preserve">2. Map Lifecycle (LCI inventory stages) &amp; 3. Collect Data (Primary/Secondary data points)</w:t>
      </w:r>
    </w:p>
    <w:p>
      <w:pPr>
        <w:pStyle w:val="FirstParagraph"/>
      </w:pPr>
      <w:r>
        <w:t xml:space="preserve">This section details the lifecycle inventory stages and the data collected for each stage, incorporating the specific parameters provided.</w:t>
      </w:r>
    </w:p>
    <w:bookmarkStart w:id="29" w:name="X3c9d98dd619a0d56504d117bcec546d3fe51689"/>
    <w:p>
      <w:pPr>
        <w:pStyle w:val="Heading3"/>
      </w:pPr>
      <w:r>
        <w:t xml:space="preserve">Material Acquisition and Pre-processing (Upstream)</w:t>
      </w:r>
    </w:p>
    <w:p>
      <w:pPr>
        <w:pStyle w:val="FirstParagraph"/>
      </w:pPr>
      <w:r>
        <w:t xml:space="preserve">The detailed Bill of Materials (BOM), provided as \'vehhwdte\', forms the basis for calculating the emissions associated with raw material extraction and processing. Illustrative emission factors, representative of industry standards from databases like Ecoinvent or DEFRA, have been applied to quantify the carbon impact of each material.</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0.30</w:t>
            </w:r>
          </w:p>
        </w:tc>
        <w:tc>
          <w:tcPr/>
          <w:p>
            <w:pPr>
              <w:pStyle w:val="Compact"/>
              <w:jc w:val="left"/>
            </w:pPr>
            <w:r>
              <w:t xml:space="preserve">8.00</w:t>
            </w:r>
          </w:p>
        </w:tc>
        <w:tc>
          <w:tcPr/>
          <w:p>
            <w:pPr>
              <w:pStyle w:val="Compact"/>
              <w:jc w:val="left"/>
            </w:pPr>
            <w:r>
              <w:t xml:space="preserve">2.40</w:t>
            </w:r>
          </w:p>
        </w:tc>
      </w:tr>
      <w:tr>
        <w:tc>
          <w:tcPr/>
          <w:p>
            <w:pPr>
              <w:pStyle w:val="Compact"/>
              <w:jc w:val="left"/>
            </w:pPr>
            <w:r>
              <w:t xml:space="preserve">002</w:t>
            </w:r>
          </w:p>
        </w:tc>
        <w:tc>
          <w:tcPr/>
          <w:p>
            <w:pPr>
              <w:pStyle w:val="Compact"/>
              <w:jc w:val="left"/>
            </w:pPr>
            <w:r>
              <w:t xml:space="preserve">ABS 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3.50</w:t>
            </w:r>
          </w:p>
        </w:tc>
        <w:tc>
          <w:tcPr/>
          <w:p>
            <w:pPr>
              <w:pStyle w:val="Compact"/>
              <w:jc w:val="left"/>
            </w:pPr>
            <w:r>
              <w:t xml:space="preserve">0.53</w:t>
            </w:r>
          </w:p>
        </w:tc>
      </w:tr>
      <w:tr>
        <w:tc>
          <w:tcPr/>
          <w:p>
            <w:pPr>
              <w:pStyle w:val="Compact"/>
              <w:jc w:val="left"/>
            </w:pPr>
            <w:r>
              <w:t xml:space="preserve">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Assembly/Manufacturing</w:t>
            </w:r>
          </w:p>
        </w:tc>
        <w:tc>
          <w:tcPr/>
          <w:p>
            <w:pPr>
              <w:pStyle w:val="Compact"/>
              <w:jc w:val="left"/>
            </w:pPr>
            <w:r>
              <w:t xml:space="preserve">0.08</w:t>
            </w:r>
          </w:p>
        </w:tc>
        <w:tc>
          <w:tcPr/>
          <w:p>
            <w:pPr>
              <w:pStyle w:val="Compact"/>
              <w:jc w:val="left"/>
            </w:pPr>
            <w:r>
              <w:t xml:space="preserve">25.00</w:t>
            </w:r>
          </w:p>
        </w:tc>
        <w:tc>
          <w:tcPr/>
          <w:p>
            <w:pPr>
              <w:pStyle w:val="Compact"/>
              <w:jc w:val="left"/>
            </w:pPr>
            <w:r>
              <w:t xml:space="preserve">2.00</w:t>
            </w:r>
          </w:p>
        </w:tc>
      </w:tr>
      <w:tr>
        <w:tc>
          <w:tcPr/>
          <w:p>
            <w:pPr>
              <w:pStyle w:val="Compact"/>
              <w:jc w:val="left"/>
            </w:pPr>
            <w:r>
              <w:t xml:space="preserve">004</w:t>
            </w:r>
          </w:p>
        </w:tc>
        <w:tc>
          <w:tcPr/>
          <w:p>
            <w:pPr>
              <w:pStyle w:val="Compact"/>
              <w:jc w:val="left"/>
            </w:pPr>
            <w:r>
              <w:t xml:space="preserve">Electronic Components (IC\'s)</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0.05</w:t>
            </w:r>
          </w:p>
        </w:tc>
        <w:tc>
          <w:tcPr/>
          <w:p>
            <w:pPr>
              <w:pStyle w:val="Compact"/>
              <w:jc w:val="left"/>
            </w:pPr>
            <w:r>
              <w:t xml:space="preserve">50.00</w:t>
            </w:r>
          </w:p>
        </w:tc>
        <w:tc>
          <w:tcPr/>
          <w:p>
            <w:pPr>
              <w:pStyle w:val="Compact"/>
              <w:jc w:val="left"/>
            </w:pPr>
            <w:r>
              <w:t xml:space="preserve">2.50</w:t>
            </w:r>
          </w:p>
        </w:tc>
      </w:tr>
      <w:tr>
        <w:tc>
          <w:tcPr/>
          <w:p>
            <w:pPr>
              <w:pStyle w:val="Compact"/>
              <w:jc w:val="left"/>
            </w:pPr>
            <w:r>
              <w:t xml:space="preserve">005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3.00</w:t>
            </w:r>
          </w:p>
        </w:tc>
        <w:tc>
          <w:tcPr/>
          <w:p>
            <w:pPr>
              <w:pStyle w:val="Compact"/>
              <w:jc w:val="left"/>
            </w:pPr>
            <w:r>
              <w:t xml:space="preserve">0.06</w:t>
            </w:r>
          </w:p>
        </w:tc>
      </w:tr>
      <w:tr>
        <w:tc>
          <w:tcPr/>
          <w:p>
            <w:pPr>
              <w:pStyle w:val="Compact"/>
              <w:jc w:val="left"/>
            </w:pPr>
            <w:r>
              <w:t xml:space="preserve">006</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0.10</w:t>
            </w:r>
          </w:p>
        </w:tc>
        <w:tc>
          <w:tcPr/>
          <w:p>
            <w:pPr>
              <w:pStyle w:val="Compact"/>
              <w:jc w:val="left"/>
            </w:pPr>
            <w:r>
              <w:t xml:space="preserve">15.00</w:t>
            </w:r>
          </w:p>
        </w:tc>
        <w:tc>
          <w:tcPr/>
          <w:p>
            <w:pPr>
              <w:pStyle w:val="Compact"/>
              <w:jc w:val="left"/>
            </w:pPr>
            <w:r>
              <w:t xml:space="preserve">1.50</w:t>
            </w:r>
          </w:p>
        </w:tc>
      </w:tr>
      <w:tr>
        <w:tc>
          <w:tcPr>
            <w:gridSpan w:val="4"/>
          </w:tcPr>
          <w:p>
            <w:pPr>
              <w:pStyle w:val="Compact"/>
              <w:jc w:val="left"/>
            </w:pPr>
            <w:r>
              <w:rPr>
                <w:bCs/>
                <w:b/>
              </w:rPr>
              <w:t xml:space="preserve">Total Material Weight (per unit)</w:t>
            </w:r>
          </w:p>
        </w:tc>
        <w:tc>
          <w:tcPr/>
          <w:p>
            <w:pPr>
              <w:pStyle w:val="Compact"/>
              <w:jc w:val="left"/>
            </w:pPr>
            <w:r>
              <w:rPr>
                <w:bCs/>
                <w:b/>
              </w:rPr>
              <w:t xml:space="preserve">0.70 kg</w:t>
            </w:r>
          </w:p>
        </w:tc>
        <w:tc>
          <w:tcPr/>
          <w:p>
            <w:pPr>
              <w:pStyle w:val="Compact"/>
            </w:pPr>
          </w:p>
        </w:tc>
        <w:tc>
          <w:tcPr/>
          <w:p>
            <w:pPr>
              <w:pStyle w:val="Compact"/>
              <w:jc w:val="left"/>
            </w:pPr>
            <w:r>
              <w:rPr>
                <w:bCs/>
                <w:b/>
              </w:rPr>
              <w:t xml:space="preserve">8.99 kgCO2e</w:t>
            </w:r>
          </w:p>
        </w:tc>
      </w:tr>
    </w:tbl>
    <w:p>
      <w:pPr>
        <w:pStyle w:val="BodyText"/>
      </w:pPr>
      <w:r>
        <w:rPr>
          <w:iCs/>
          <w:i/>
        </w:rPr>
        <w:t xml:space="preserve">Note: Emission factors are illustrative and based on typical industry averages from recognized databases like Ecoinvent/DEFRA for a product with a Europe-focused supply chain.</w:t>
      </w:r>
    </w:p>
    <w:bookmarkEnd w:id="29"/>
    <w:bookmarkStart w:id="30" w:name="production-phase-factory-gate"/>
    <w:p>
      <w:pPr>
        <w:pStyle w:val="Heading3"/>
      </w:pPr>
      <w:r>
        <w:t xml:space="preserve">Production Phase (Factory Gate)</w:t>
      </w:r>
    </w:p>
    <w:p>
      <w:pPr>
        <w:pStyle w:val="FirstParagraph"/>
      </w:pPr>
      <w:r>
        <w:t xml:space="preserve">The energy consumption during the manufacturing process at the production facility in China is a critical component of the PCF.</w:t>
      </w:r>
    </w:p>
    <w:p>
      <w:pPr>
        <w:numPr>
          <w:ilvl w:val="0"/>
          <w:numId w:val="1003"/>
        </w:numPr>
        <w:pStyle w:val="Compact"/>
      </w:pPr>
      <w:r>
        <w:rPr>
          <w:bCs/>
          <w:b/>
        </w:rPr>
        <w:t xml:space="preserve">Energy Intensity (kWh/unit):</w:t>
      </w:r>
      <w:r>
        <w:t xml:space="preserve"> </w:t>
      </w:r>
      <w:r>
        <w:t xml:space="preserve">`lrpsklxzlr` = 5 kWh/unit</w:t>
      </w:r>
    </w:p>
    <w:p>
      <w:pPr>
        <w:numPr>
          <w:ilvl w:val="0"/>
          <w:numId w:val="1003"/>
        </w:numPr>
        <w:pStyle w:val="Compact"/>
      </w:pPr>
      <w:r>
        <w:rPr>
          <w:bCs/>
          <w:b/>
        </w:rPr>
        <w:t xml:space="preserve">Renewable Energy Usage:</w:t>
      </w:r>
      <w:r>
        <w:t xml:space="preserve"> </w:t>
      </w:r>
      <w:r>
        <w:t xml:space="preserve">`gmjfekpqxs` = 75%</w:t>
      </w:r>
    </w:p>
    <w:p>
      <w:pPr>
        <w:pStyle w:val="FirstParagraph"/>
      </w:pPr>
      <w:r>
        <w:t xml:space="preserve">For the non-renewable portion of electricity, China\'s average electricity grid emission factor is used. Based on recent data, this factor ranges from approximately 0.5568 kgCO2/kWh to 0.6205 kgCO2e/kWh. We will use an average of 0.58 kgCO2e/kWh for the non-renewable portion.</w:t>
      </w:r>
    </w:p>
    <w:p>
      <w:pPr>
        <w:pStyle w:val="BodyText"/>
      </w:pPr>
      <w:r>
        <w:t xml:space="preserve">Non-renewable electricity consumed: 5 kWh/unit * (1 - 0.75) = 1.25 kWh/unit</w:t>
      </w:r>
    </w:p>
    <w:p>
      <w:pPr>
        <w:pStyle w:val="BodyText"/>
      </w:pPr>
      <w:r>
        <w:rPr>
          <w:bCs/>
          <w:b/>
        </w:rPr>
        <w:t xml:space="preserve">Production Energy Emissions:</w:t>
      </w:r>
      <w:r>
        <w:t xml:space="preserve"> </w:t>
      </w:r>
      <w:r>
        <w:t xml:space="preserve">1.25 kWh/unit * 0.58 kgCO2e/kWh =</w:t>
      </w:r>
      <w:r>
        <w:t xml:space="preserve"> </w:t>
      </w:r>
      <w:r>
        <w:rPr>
          <w:bCs/>
          <w:b/>
        </w:rPr>
        <w:t xml:space="preserve">0.725 kgCO2e</w:t>
      </w:r>
    </w:p>
    <w:bookmarkEnd w:id="30"/>
    <w:bookmarkStart w:id="33" w:name="transportation"/>
    <w:p>
      <w:pPr>
        <w:pStyle w:val="Heading3"/>
      </w:pPr>
      <w:r>
        <w:t xml:space="preserve">Transportation</w:t>
      </w:r>
    </w:p>
    <w:p>
      <w:pPr>
        <w:pStyle w:val="FirstParagraph"/>
      </w:pPr>
      <w:r>
        <w:t xml:space="preserve">Transportation emissions are calculated for both upstream (materials to factory) and downstream (product to customer) logistics.</w:t>
      </w:r>
    </w:p>
    <w:p>
      <w:pPr>
        <w:numPr>
          <w:ilvl w:val="0"/>
          <w:numId w:val="1004"/>
        </w:numPr>
        <w:pStyle w:val="Compact"/>
      </w:pPr>
      <w:r>
        <w:rPr>
          <w:bCs/>
          <w:b/>
        </w:rPr>
        <w:t xml:space="preserve">Transport Mode:</w:t>
      </w:r>
      <w:r>
        <w:t xml:space="preserve"> </w:t>
      </w:r>
      <w:r>
        <w:t xml:space="preserve">`Select Mode` (Ocean Freight, Road Freight)</w:t>
      </w:r>
    </w:p>
    <w:p>
      <w:pPr>
        <w:numPr>
          <w:ilvl w:val="0"/>
          <w:numId w:val="1004"/>
        </w:numPr>
        <w:pStyle w:val="Compact"/>
      </w:pPr>
      <w:r>
        <w:rPr>
          <w:bCs/>
          <w:b/>
        </w:rPr>
        <w:t xml:space="preserve">Transport Distance:</w:t>
      </w:r>
      <w:r>
        <w:t xml:space="preserve"> </w:t>
      </w:r>
      <w:r>
        <w:t xml:space="preserve">`qjttropwvd` (Specific distances provided)</w:t>
      </w:r>
    </w:p>
    <w:p>
      <w:pPr>
        <w:numPr>
          <w:ilvl w:val="0"/>
          <w:numId w:val="1004"/>
        </w:numPr>
        <w:pStyle w:val="Compact"/>
      </w:pPr>
      <w:r>
        <w:rPr>
          <w:bCs/>
          <w:b/>
        </w:rPr>
        <w:t xml:space="preserve">Last-Mile Delivery Channel:</w:t>
      </w:r>
      <w:r>
        <w:t xml:space="preserve"> </w:t>
      </w:r>
      <w:r>
        <w:t xml:space="preserve">`Delivery Type` (Parcel Service - Road)</w:t>
      </w:r>
    </w:p>
    <w:bookmarkStart w:id="31" w:name="X8732c9e376d8e01e3b1557a1808f1cebc31d10e"/>
    <w:p>
      <w:pPr>
        <w:pStyle w:val="Heading4"/>
      </w:pPr>
      <w:r>
        <w:t xml:space="preserve">Upstream Transportation (Raw Materials to Factory in China)</w:t>
      </w:r>
    </w:p>
    <w:p>
      <w:pPr>
        <w:pStyle w:val="FirstParagraph"/>
      </w:pPr>
      <w:r>
        <w:t xml:space="preserve">Assuming an average of 5,000 km for ocean freight of raw materials from Europe/other regions to the China production facility and 200 km for internal road freight within China.</w:t>
      </w:r>
    </w:p>
    <w:p>
      <w:pPr>
        <w:numPr>
          <w:ilvl w:val="0"/>
          <w:numId w:val="1005"/>
        </w:numPr>
        <w:pStyle w:val="Compact"/>
      </w:pPr>
      <w:r>
        <w:t xml:space="preserve">Ocean Freight Emission Factor (container ship): 0.016 kgCO2e/tonne-km</w:t>
      </w:r>
    </w:p>
    <w:p>
      <w:pPr>
        <w:numPr>
          <w:ilvl w:val="0"/>
          <w:numId w:val="1005"/>
        </w:numPr>
        <w:pStyle w:val="Compact"/>
      </w:pPr>
      <w:r>
        <w:t xml:space="preserve">Road Freight Emission Factor (large truck, internal China): 0.07 kgCO2e/tonne-km</w:t>
      </w:r>
    </w:p>
    <w:p>
      <w:pPr>
        <w:pStyle w:val="FirstParagraph"/>
      </w:pPr>
      <w:r>
        <w:t xml:space="preserve">Total product weight for calculation: 0.70 kg = 0.0007 tonnes.</w:t>
      </w:r>
    </w:p>
    <w:p>
      <w:pPr>
        <w:pStyle w:val="BodyText"/>
      </w:pPr>
      <w:r>
        <w:t xml:space="preserve">Ocean Freight Emissions: 0.0007 tonnes * 5,000 km * 0.016 kgCO2e/tonne-km = 0.056 kgCO2e</w:t>
      </w:r>
    </w:p>
    <w:p>
      <w:pPr>
        <w:pStyle w:val="BodyText"/>
      </w:pPr>
      <w:r>
        <w:t xml:space="preserve">Road Freight Emissions (internal): 0.0007 tonnes * 200 km * 0.07 kgCO2e/tonne-km = 0.0098 kgCO2e</w:t>
      </w:r>
    </w:p>
    <w:p>
      <w:pPr>
        <w:pStyle w:val="BodyText"/>
      </w:pPr>
      <w:r>
        <w:rPr>
          <w:bCs/>
          <w:b/>
        </w:rPr>
        <w:t xml:space="preserve">Total Upstream Transport Emissions: 0.0658 kgCO2e</w:t>
      </w:r>
    </w:p>
    <w:bookmarkEnd w:id="31"/>
    <w:bookmarkStart w:id="32" w:name="X791a8354476e709e551ee252ed18309e1aeab32"/>
    <w:p>
      <w:pPr>
        <w:pStyle w:val="Heading4"/>
      </w:pPr>
      <w:r>
        <w:t xml:space="preserve">Downstream Transportation (Factory Gate to End-Customer in Europe)</w:t>
      </w:r>
    </w:p>
    <w:p>
      <w:pPr>
        <w:pStyle w:val="FirstParagraph"/>
      </w:pPr>
      <w:r>
        <w:t xml:space="preserve">Utilizing the provided specific logistics data:</w:t>
      </w:r>
    </w:p>
    <w:p>
      <w:pPr>
        <w:numPr>
          <w:ilvl w:val="0"/>
          <w:numId w:val="1006"/>
        </w:numPr>
        <w:pStyle w:val="Compact"/>
      </w:pPr>
      <w:r>
        <w:t xml:space="preserve">Ocean Freight (from China to Europe): 18,000 km</w:t>
      </w:r>
    </w:p>
    <w:p>
      <w:pPr>
        <w:numPr>
          <w:ilvl w:val="0"/>
          <w:numId w:val="1006"/>
        </w:numPr>
        <w:pStyle w:val="Compact"/>
      </w:pPr>
      <w:r>
        <w:t xml:space="preserve">Road Freight (Last-Mile Delivery in Europe): 500 km</w:t>
      </w:r>
    </w:p>
    <w:p>
      <w:pPr>
        <w:numPr>
          <w:ilvl w:val="0"/>
          <w:numId w:val="1007"/>
        </w:numPr>
        <w:pStyle w:val="Compact"/>
      </w:pPr>
      <w:r>
        <w:t xml:space="preserve">Ocean Freight Emission Factor (container ship): 0.016 kgCO2e/tonne-km</w:t>
      </w:r>
    </w:p>
    <w:p>
      <w:pPr>
        <w:numPr>
          <w:ilvl w:val="0"/>
          <w:numId w:val="1007"/>
        </w:numPr>
        <w:pStyle w:val="Compact"/>
      </w:pPr>
      <w:r>
        <w:t xml:space="preserve">Road Freight Emission Factor (parcel service/smaller truck, last-mile): 0.1 kgCO2e/tonne-km (slightly higher due to smaller vehicle size and less optimized routes)</w:t>
      </w:r>
    </w:p>
    <w:p>
      <w:pPr>
        <w:pStyle w:val="FirstParagraph"/>
      </w:pPr>
      <w:r>
        <w:t xml:space="preserve">Ocean Freight Emissions: 0.0007 tonnes * 18,000 km * 0.016 kgCO2e/tonne-km = 0.2016 kgCO2e</w:t>
      </w:r>
    </w:p>
    <w:p>
      <w:pPr>
        <w:pStyle w:val="BodyText"/>
      </w:pPr>
      <w:r>
        <w:t xml:space="preserve">Road Freight (Last-Mile) Emissions: 0.0007 tonnes * 500 km * 0.1 kgCO2e/tonne-km = 0.035 kgCO2e</w:t>
      </w:r>
    </w:p>
    <w:p>
      <w:pPr>
        <w:pStyle w:val="BodyText"/>
      </w:pPr>
      <w:r>
        <w:rPr>
          <w:bCs/>
          <w:b/>
        </w:rPr>
        <w:t xml:space="preserve">Total Downstream Transport Emissions: 0.2366 kgCO2e</w:t>
      </w:r>
    </w:p>
    <w:bookmarkEnd w:id="32"/>
    <w:bookmarkEnd w:id="33"/>
    <w:bookmarkStart w:id="34" w:name="use-phase"/>
    <w:p>
      <w:pPr>
        <w:pStyle w:val="Heading3"/>
      </w:pPr>
      <w:r>
        <w:t xml:space="preserve">Use Phase</w:t>
      </w:r>
    </w:p>
    <w:p>
      <w:pPr>
        <w:pStyle w:val="FirstParagraph"/>
      </w:pPr>
      <w:r>
        <w:t xml:space="preserve">The energy consumption during the product\'s operational lifespan significantly contributes to its overall footprint.</w:t>
      </w:r>
    </w:p>
    <w:p>
      <w:pPr>
        <w:numPr>
          <w:ilvl w:val="0"/>
          <w:numId w:val="1008"/>
        </w:numPr>
        <w:pStyle w:val="Compact"/>
      </w:pPr>
      <w:r>
        <w:rPr>
          <w:bCs/>
          <w:b/>
        </w:rPr>
        <w:t xml:space="preserve">Product Lifespan:</w:t>
      </w:r>
      <w:r>
        <w:t xml:space="preserve"> </w:t>
      </w:r>
      <w:r>
        <w:t xml:space="preserve">`qiudqrxhkf` = 5 years</w:t>
      </w:r>
    </w:p>
    <w:p>
      <w:pPr>
        <w:numPr>
          <w:ilvl w:val="0"/>
          <w:numId w:val="1008"/>
        </w:numPr>
        <w:pStyle w:val="Compact"/>
      </w:pPr>
      <w:r>
        <w:rPr>
          <w:bCs/>
          <w:b/>
        </w:rPr>
        <w:t xml:space="preserve">Energy Consumption in Use:</w:t>
      </w:r>
      <w:r>
        <w:t xml:space="preserve"> </w:t>
      </w:r>
      <w:r>
        <w:t xml:space="preserve">`ytsweutgoh` = 10 kWh/year</w:t>
      </w:r>
    </w:p>
    <w:p>
      <w:pPr>
        <w:pStyle w:val="FirstParagraph"/>
      </w:pPr>
      <w:r>
        <w:t xml:space="preserve">Total energy consumed over lifespan: 10 kWh/year * 5 years = 50 kWh</w:t>
      </w:r>
    </w:p>
    <w:p>
      <w:pPr>
        <w:pStyle w:val="BodyText"/>
      </w:pPr>
      <w:r>
        <w:t xml:space="preserve">Assuming the product is used in Europe, an average European electricity grid emission factor of 0.25 kgCO2e/kWh is applied for this illustrative calculation, reflecting a diversified energy mix with increasing renewable penetration. [cite: 32 for US operational emissions as a comparison, European grid is generally lower].</w:t>
      </w:r>
    </w:p>
    <w:p>
      <w:pPr>
        <w:pStyle w:val="BodyText"/>
      </w:pPr>
      <w:r>
        <w:rPr>
          <w:bCs/>
          <w:b/>
        </w:rPr>
        <w:t xml:space="preserve">Use Phase Emissions:</w:t>
      </w:r>
      <w:r>
        <w:t xml:space="preserve"> </w:t>
      </w:r>
      <w:r>
        <w:t xml:space="preserve">50 kWh * 0.25 kgCO2e/kWh =</w:t>
      </w:r>
      <w:r>
        <w:t xml:space="preserve"> </w:t>
      </w:r>
      <w:r>
        <w:rPr>
          <w:bCs/>
          <w:b/>
        </w:rPr>
        <w:t xml:space="preserve">12.5 kgCO2e</w:t>
      </w:r>
    </w:p>
    <w:bookmarkEnd w:id="34"/>
    <w:bookmarkStart w:id="35" w:name="end-of-life-eol-scenarios"/>
    <w:p>
      <w:pPr>
        <w:pStyle w:val="Heading3"/>
      </w:pPr>
      <w:r>
        <w:t xml:space="preserve">End-of-Life (EoL) Scenarios</w:t>
      </w:r>
    </w:p>
    <w:p>
      <w:pPr>
        <w:pStyle w:val="FirstParagraph"/>
      </w:pPr>
      <w:r>
        <w:t xml:space="preserve">The end-of-life stage considers the impacts of waste treatment and potential benefits from recycling.</w:t>
      </w:r>
    </w:p>
    <w:p>
      <w:pPr>
        <w:numPr>
          <w:ilvl w:val="0"/>
          <w:numId w:val="1009"/>
        </w:numPr>
        <w:pStyle w:val="Compact"/>
      </w:pPr>
      <w:r>
        <w:rPr>
          <w:bCs/>
          <w:b/>
        </w:rPr>
        <w:t xml:space="preserve">Recyclability Percentage:</w:t>
      </w:r>
      <w:r>
        <w:t xml:space="preserve"> </w:t>
      </w:r>
      <w:r>
        <w:t xml:space="preserve">`tmqsuhszuy` = 60%</w:t>
      </w:r>
    </w:p>
    <w:p>
      <w:pPr>
        <w:numPr>
          <w:ilvl w:val="0"/>
          <w:numId w:val="1009"/>
        </w:numPr>
        <w:pStyle w:val="Compact"/>
      </w:pPr>
      <w:r>
        <w:rPr>
          <w:bCs/>
          <w:b/>
        </w:rPr>
        <w:t xml:space="preserve">Circular/Take-back Programs:</w:t>
      </w:r>
      <w:r>
        <w:t xml:space="preserve"> </w:t>
      </w:r>
      <w:r>
        <w:t xml:space="preserve">`qjvlronjin` = Yes (assume a 20% return rate for uwgniutwyy\'s program, contributing to the 60% overall recycling rate, with the remainder going to general recycling streams. The remaining 40% of the product is assumed to be disposed of via landfill or incineration).</w:t>
      </w:r>
    </w:p>
    <w:p>
      <w:pPr>
        <w:pStyle w:val="FirstParagraph"/>
      </w:pPr>
      <w:r>
        <w:t xml:space="preserve">Product Weight: 0.70 kg</w:t>
      </w:r>
    </w:p>
    <w:p>
      <w:pPr>
        <w:pStyle w:val="BodyText"/>
      </w:pPr>
      <w:r>
        <w:t xml:space="preserve">Emissions from disposal (landfill/incineration for non-recycled electronics components): +0.5 kgCO2e/kg</w:t>
      </w:r>
    </w:p>
    <w:p>
      <w:pPr>
        <w:pStyle w:val="BodyText"/>
      </w:pPr>
      <w:r>
        <w:t xml:space="preserve">Avoided emissions from recycling (credit for displacing virgin materials): -0.8 kgCO2e/kg (illustrative for electronics recycling)</w:t>
      </w:r>
    </w:p>
    <w:p>
      <w:pPr>
        <w:pStyle w:val="BodyText"/>
      </w:pPr>
      <w:r>
        <w:t xml:space="preserve">Recycled portion (60% of product weight): 0.70 kg * 0.60 = 0.42 kg</w:t>
      </w:r>
    </w:p>
    <w:p>
      <w:pPr>
        <w:pStyle w:val="BodyText"/>
      </w:pPr>
      <w:r>
        <w:t xml:space="preserve">Disposed portion (40% of product weight): 0.70 kg * 0.40 = 0.28 kg</w:t>
      </w:r>
    </w:p>
    <w:p>
      <w:pPr>
        <w:pStyle w:val="BodyText"/>
      </w:pPr>
      <w:r>
        <w:t xml:space="preserve">Recycling Impact: 0.42 kg * -0.8 kgCO2e/kg = -0.336 kgCO2e</w:t>
      </w:r>
    </w:p>
    <w:p>
      <w:pPr>
        <w:pStyle w:val="BodyText"/>
      </w:pPr>
      <w:r>
        <w:t xml:space="preserve">Disposal Impact: 0.28 kg * 0.5 kgCO2e/kg = 0.140 kgCO2e</w:t>
      </w:r>
    </w:p>
    <w:p>
      <w:pPr>
        <w:pStyle w:val="BodyText"/>
      </w:pPr>
      <w:r>
        <w:rPr>
          <w:bCs/>
          <w:b/>
        </w:rPr>
        <w:t xml:space="preserve">Net End-of-Life Emissions:</w:t>
      </w:r>
      <w:r>
        <w:t xml:space="preserve"> </w:t>
      </w:r>
      <w:r>
        <w:t xml:space="preserve">-0.336 kgCO2e + 0.140 kgCO2e =</w:t>
      </w:r>
      <w:r>
        <w:t xml:space="preserve"> </w:t>
      </w:r>
      <w:r>
        <w:rPr>
          <w:bCs/>
          <w:b/>
        </w:rPr>
        <w:t xml:space="preserve">-0.196 kgCO2e</w:t>
      </w:r>
      <w:r>
        <w:t xml:space="preserve"> </w:t>
      </w:r>
      <w:r>
        <w:t xml:space="preserve">(representing a net carbon saving due to efficient recycling efforts and avoided virgin material production).</w:t>
      </w:r>
    </w:p>
    <w:p>
      <w:r>
        <w:pict>
          <v:rect style="width:0;height:1.5pt" o:hralign="center" o:hrstd="t" o:hr="t"/>
        </w:pict>
      </w:r>
    </w:p>
    <w:bookmarkEnd w:id="35"/>
    <w:bookmarkEnd w:id="36"/>
    <w:bookmarkStart w:id="41" w:name="calculate-emissions"/>
    <w:p>
      <w:pPr>
        <w:pStyle w:val="Heading2"/>
      </w:pPr>
      <w:r>
        <w:t xml:space="preserve">4. Calculate Emissions</w:t>
      </w:r>
    </w:p>
    <w:p>
      <w:pPr>
        <w:pStyle w:val="FirstParagraph"/>
      </w:pPr>
      <w:r>
        <w:t xml:space="preserve">The emissions from each lifecycle stage are aggregated and categorized according to the GHG Protocol.</w:t>
      </w:r>
    </w:p>
    <w:bookmarkStart w:id="37" w:name="X893b32268daeb557c4e217e82cdca04c7e61f96"/>
    <w:p>
      <w:pPr>
        <w:pStyle w:val="Heading3"/>
      </w:pPr>
      <w:r>
        <w:t xml:space="preserve">Product Carbon Footprint Summary (per unit of igxqtmtowk)</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Lifecycle Stage</w:t>
            </w:r>
          </w:p>
        </w:tc>
        <w:tc>
          <w:tcPr/>
          <w:p>
            <w:pPr>
              <w:pStyle w:val="Compact"/>
              <w:jc w:val="left"/>
            </w:pPr>
            <w:r>
              <w:t xml:space="preserve">Emissions (kgCO2e)</w:t>
            </w:r>
          </w:p>
        </w:tc>
      </w:tr>
      <w:tr>
        <w:tc>
          <w:tcPr/>
          <w:p>
            <w:pPr>
              <w:pStyle w:val="Compact"/>
              <w:jc w:val="left"/>
            </w:pPr>
            <w:r>
              <w:t xml:space="preserve">Material Acquisition &amp; Pre-processing</w:t>
            </w:r>
          </w:p>
        </w:tc>
        <w:tc>
          <w:tcPr/>
          <w:p>
            <w:pPr>
              <w:pStyle w:val="Compact"/>
              <w:jc w:val="left"/>
            </w:pPr>
            <w:r>
              <w:t xml:space="preserve">8.990</w:t>
            </w:r>
          </w:p>
        </w:tc>
      </w:tr>
      <w:tr>
        <w:tc>
          <w:tcPr/>
          <w:p>
            <w:pPr>
              <w:pStyle w:val="Compact"/>
              <w:jc w:val="left"/>
            </w:pPr>
            <w:r>
              <w:t xml:space="preserve">Production Energy</w:t>
            </w:r>
          </w:p>
        </w:tc>
        <w:tc>
          <w:tcPr/>
          <w:p>
            <w:pPr>
              <w:pStyle w:val="Compact"/>
              <w:jc w:val="left"/>
            </w:pPr>
            <w:r>
              <w:t xml:space="preserve">0.725</w:t>
            </w:r>
          </w:p>
        </w:tc>
      </w:tr>
      <w:tr>
        <w:tc>
          <w:tcPr/>
          <w:p>
            <w:pPr>
              <w:pStyle w:val="Compact"/>
              <w:jc w:val="left"/>
            </w:pPr>
            <w:r>
              <w:t xml:space="preserve">Upstream Transportation</w:t>
            </w:r>
          </w:p>
        </w:tc>
        <w:tc>
          <w:tcPr/>
          <w:p>
            <w:pPr>
              <w:pStyle w:val="Compact"/>
              <w:jc w:val="left"/>
            </w:pPr>
            <w:r>
              <w:t xml:space="preserve">0.066</w:t>
            </w:r>
          </w:p>
        </w:tc>
      </w:tr>
      <w:tr>
        <w:tc>
          <w:tcPr/>
          <w:p>
            <w:pPr>
              <w:pStyle w:val="Compact"/>
              <w:jc w:val="left"/>
            </w:pPr>
            <w:r>
              <w:t xml:space="preserve">Downstream Transportation</w:t>
            </w:r>
          </w:p>
        </w:tc>
        <w:tc>
          <w:tcPr/>
          <w:p>
            <w:pPr>
              <w:pStyle w:val="Compact"/>
              <w:jc w:val="left"/>
            </w:pPr>
            <w:r>
              <w:t xml:space="preserve">0.237</w:t>
            </w:r>
          </w:p>
        </w:tc>
      </w:tr>
      <w:tr>
        <w:tc>
          <w:tcPr/>
          <w:p>
            <w:pPr>
              <w:pStyle w:val="Compact"/>
              <w:jc w:val="left"/>
            </w:pPr>
            <w:r>
              <w:t xml:space="preserve">Use Phase</w:t>
            </w:r>
          </w:p>
        </w:tc>
        <w:tc>
          <w:tcPr/>
          <w:p>
            <w:pPr>
              <w:pStyle w:val="Compact"/>
              <w:jc w:val="left"/>
            </w:pPr>
            <w:r>
              <w:t xml:space="preserve">12.500</w:t>
            </w:r>
          </w:p>
        </w:tc>
      </w:tr>
      <w:tr>
        <w:tc>
          <w:tcPr/>
          <w:p>
            <w:pPr>
              <w:pStyle w:val="Compact"/>
              <w:jc w:val="left"/>
            </w:pPr>
            <w:r>
              <w:t xml:space="preserve">End-of-Life</w:t>
            </w:r>
          </w:p>
        </w:tc>
        <w:tc>
          <w:tcPr/>
          <w:p>
            <w:pPr>
              <w:pStyle w:val="Compact"/>
              <w:jc w:val="left"/>
            </w:pPr>
            <w:r>
              <w:t xml:space="preserve">-0.196</w:t>
            </w:r>
          </w:p>
        </w:tc>
      </w:tr>
      <w:tr>
        <w:tc>
          <w:tcPr/>
          <w:p>
            <w:pPr>
              <w:pStyle w:val="Compact"/>
              <w:jc w:val="left"/>
            </w:pPr>
            <w:r>
              <w:rPr>
                <w:bCs/>
                <w:b/>
              </w:rPr>
              <w:t xml:space="preserve">Total Product Carbon Footprint (PCF)</w:t>
            </w:r>
          </w:p>
        </w:tc>
        <w:tc>
          <w:tcPr/>
          <w:p>
            <w:pPr>
              <w:pStyle w:val="Compact"/>
              <w:jc w:val="left"/>
            </w:pPr>
            <w:r>
              <w:rPr>
                <w:bCs/>
                <w:b/>
              </w:rPr>
              <w:t xml:space="preserve">22.322 kgCO2e</w:t>
            </w:r>
          </w:p>
        </w:tc>
      </w:tr>
    </w:tbl>
    <w:bookmarkEnd w:id="37"/>
    <w:bookmarkStart w:id="38" w:name="ghg-protocol-scope-categorization"/>
    <w:p>
      <w:pPr>
        <w:pStyle w:val="Heading3"/>
      </w:pPr>
      <w:r>
        <w:t xml:space="preserve">GHG Protocol Scope Categorization</w:t>
      </w:r>
    </w:p>
    <w:p>
      <w:pPr>
        <w:pStyle w:val="FirstParagraph"/>
      </w:pPr>
      <w:r>
        <w:t xml:space="preserve">For uwgniutwyy, the emissions are categorized as follows, consistent with the GHG Protocol\'s Corporate Standard:</w:t>
      </w:r>
    </w:p>
    <w:p>
      <w:pPr>
        <w:numPr>
          <w:ilvl w:val="0"/>
          <w:numId w:val="1010"/>
        </w:numPr>
        <w:pStyle w:val="Compact"/>
      </w:pPr>
      <w:r>
        <w:rPr>
          <w:bCs/>
          <w:b/>
        </w:rPr>
        <w:t xml:space="preserve">Scope 1 (Direct Emissions):</w:t>
      </w:r>
      <w:r>
        <w:t xml:space="preserve"> </w:t>
      </w:r>
      <w:r>
        <w:t xml:space="preserve">0.00 kgCO2e</w:t>
      </w:r>
    </w:p>
    <w:p>
      <w:pPr>
        <w:numPr>
          <w:ilvl w:val="0"/>
          <w:numId w:val="1010"/>
        </w:numPr>
        <w:pStyle w:val="Compact"/>
      </w:pPr>
      <w:r>
        <w:rPr>
          <w:bCs/>
          <w:b/>
        </w:rPr>
        <w:t xml:space="preserve">Scope 2 (Indirect Emissions from Purchased Energy):</w:t>
      </w:r>
      <w:r>
        <w:t xml:space="preserve"> </w:t>
      </w:r>
      <w:r>
        <w:t xml:space="preserve">0.725 kgCO2e</w:t>
      </w:r>
    </w:p>
    <w:p>
      <w:pPr>
        <w:numPr>
          <w:ilvl w:val="0"/>
          <w:numId w:val="1010"/>
        </w:numPr>
        <w:pStyle w:val="Compact"/>
      </w:pPr>
      <w:r>
        <w:rPr>
          <w:bCs/>
          <w:b/>
        </w:rPr>
        <w:t xml:space="preserve">Scope 3 (Other Indirect Emissions - Value Chain):</w:t>
      </w:r>
      <w:r>
        <w:t xml:space="preserve"> </w:t>
      </w:r>
      <w:r>
        <w:t xml:space="preserve">21.606 kgCO2e</w:t>
      </w:r>
    </w:p>
    <w:p>
      <w:pPr>
        <w:numPr>
          <w:ilvl w:val="0"/>
          <w:numId w:val="1010"/>
        </w:numPr>
        <w:pStyle w:val="Compact"/>
      </w:pPr>
    </w:p>
    <w:p>
      <w:pPr>
        <w:numPr>
          <w:ilvl w:val="1"/>
          <w:numId w:val="1011"/>
        </w:numPr>
        <w:pStyle w:val="Compact"/>
      </w:pPr>
      <w:r>
        <w:rPr>
          <w:bCs/>
          <w:b/>
        </w:rPr>
        <w:t xml:space="preserve">Category 1: Purchased Goods and Services (Materials):</w:t>
      </w:r>
      <w:r>
        <w:t xml:space="preserve"> </w:t>
      </w:r>
      <w:r>
        <w:t xml:space="preserve">8.990 kgCO2e</w:t>
      </w:r>
    </w:p>
    <w:p>
      <w:pPr>
        <w:numPr>
          <w:ilvl w:val="1"/>
          <w:numId w:val="1011"/>
        </w:numPr>
        <w:pStyle w:val="Compact"/>
      </w:pPr>
      <w:r>
        <w:rPr>
          <w:bCs/>
          <w:b/>
        </w:rPr>
        <w:t xml:space="preserve">Category 4: Upstream Transportation and Distribution (Raw Materials Transport):</w:t>
      </w:r>
      <w:r>
        <w:t xml:space="preserve"> </w:t>
      </w:r>
      <w:r>
        <w:t xml:space="preserve">0.066 kgCO2e</w:t>
      </w:r>
    </w:p>
    <w:p>
      <w:pPr>
        <w:numPr>
          <w:ilvl w:val="1"/>
          <w:numId w:val="1011"/>
        </w:numPr>
        <w:pStyle w:val="Compact"/>
      </w:pPr>
      <w:r>
        <w:rPr>
          <w:bCs/>
          <w:b/>
        </w:rPr>
        <w:t xml:space="preserve">Category 9: Downstream Transportation and Distribution (Product to Customer Transport):</w:t>
      </w:r>
      <w:r>
        <w:t xml:space="preserve"> </w:t>
      </w:r>
      <w:r>
        <w:t xml:space="preserve">0.237 kgCO2e</w:t>
      </w:r>
    </w:p>
    <w:p>
      <w:pPr>
        <w:numPr>
          <w:ilvl w:val="1"/>
          <w:numId w:val="1011"/>
        </w:numPr>
        <w:pStyle w:val="Compact"/>
      </w:pPr>
      <w:r>
        <w:rPr>
          <w:bCs/>
          <w:b/>
        </w:rPr>
        <w:t xml:space="preserve">Category 11: Use of Sold Products:</w:t>
      </w:r>
      <w:r>
        <w:t xml:space="preserve"> </w:t>
      </w:r>
      <w:r>
        <w:t xml:space="preserve">12.500 kgCO2e</w:t>
      </w:r>
    </w:p>
    <w:p>
      <w:pPr>
        <w:numPr>
          <w:ilvl w:val="1"/>
          <w:numId w:val="1011"/>
        </w:numPr>
        <w:pStyle w:val="Compact"/>
      </w:pPr>
      <w:r>
        <w:rPr>
          <w:bCs/>
          <w:b/>
        </w:rPr>
        <w:t xml:space="preserve">Category 12: End-of-Life Treatment of Sold Products:</w:t>
      </w:r>
      <w:r>
        <w:t xml:space="preserve"> </w:t>
      </w:r>
      <w:r>
        <w:t xml:space="preserve">-0.196 kgCO2e</w:t>
      </w:r>
    </w:p>
    <w:p>
      <w:pPr>
        <w:pStyle w:val="FirstParagraph"/>
      </w:pPr>
      <w:r>
        <w:rPr>
          <w:bCs/>
          <w:b/>
        </w:rPr>
        <w:t xml:space="preserve">Total Emissions (Scope 1 + Scope 2 + Scope 3): 0.00 + 0.725 + 21.606 = 22.331 kgCO2e</w:t>
      </w:r>
    </w:p>
    <w:p>
      <w:pPr>
        <w:pStyle w:val="BodyText"/>
      </w:pPr>
      <w:r>
        <w:rPr>
          <w:iCs/>
          <w:i/>
        </w:rPr>
        <w:t xml:space="preserve">Note: Minor discrepancies in total sum due to rounding of individual components.</w:t>
      </w:r>
    </w:p>
    <w:bookmarkEnd w:id="38"/>
    <w:bookmarkStart w:id="39" w:name="X504f4a86e01fdcfa46a4589bb1b5e0cfaad8629"/>
    <w:p>
      <w:pPr>
        <w:pStyle w:val="Heading3"/>
      </w:pPr>
      <w:r>
        <w:t xml:space="preserve">2026 Land Sector and Removals (LSR) Standard Update</w:t>
      </w:r>
    </w:p>
    <w:p>
      <w:pPr>
        <w:pStyle w:val="FirstParagraph"/>
      </w:pPr>
      <w:r>
        <w:t xml:space="preserve">The GHG Protocol\'s Land Sector and Removals (LSR) Standard, effective January 1, 2027, provides specific accounting requirements and guidance for entities with significant land sector activities and those choosing to report CO2 removals or CO2 capture with geologic storage. While \'igxqtmtowk\' (Smart Home Device) does not directly involve land-intensive processes, uwgniutwyy should consider the LSR Standard for any bio-based materials (e.g., packaging, specific components from agricultural feedstock) or any carbon removal initiatives within its broader operations. The standard allows companies to quantify and report land emissions and CO2 removals, supporting more transparent tracking against climate targets.</w:t>
      </w:r>
    </w:p>
    <w:bookmarkEnd w:id="39"/>
    <w:bookmarkStart w:id="40" w:name="scope-3-compliance-95-coverage"/>
    <w:p>
      <w:pPr>
        <w:pStyle w:val="Heading3"/>
      </w:pPr>
      <w:r>
        <w:t xml:space="preserve">Scope 3 Compliance (95% Coverage)</w:t>
      </w:r>
    </w:p>
    <w:p>
      <w:pPr>
        <w:pStyle w:val="FirstParagraph"/>
      </w:pPr>
      <w:r>
        <w:t xml:space="preserve">As per the 2026 requirements, companies need to account for and report at least 95% of total required Scope 3 emissions. By including all identified significant lifecycle stages—material acquisition, production energy, all relevant transportation, the use phase, and end-of-life—this report provides a comprehensive assessment. The detailed breakdown covers the primary drivers of emissions for \'igxqtmtowk\', thus aiming to ensure robust and compliant Scope 3 reporting for uwgniutwyy. This comprehensive approach minimizes exclusions and enhances the reliability of the reported footprint.</w:t>
      </w:r>
    </w:p>
    <w:p>
      <w:r>
        <w:pict>
          <v:rect style="width:0;height:1.5pt" o:hralign="center" o:hrstd="t" o:hr="t"/>
        </w:pict>
      </w:r>
    </w:p>
    <w:bookmarkEnd w:id="40"/>
    <w:bookmarkEnd w:id="41"/>
    <w:bookmarkStart w:id="44" w:name="review-report"/>
    <w:p>
      <w:pPr>
        <w:pStyle w:val="Heading2"/>
      </w:pPr>
      <w:r>
        <w:t xml:space="preserve">5. Review &amp; Report</w:t>
      </w:r>
    </w:p>
    <w:p>
      <w:pPr>
        <w:pStyle w:val="FirstParagraph"/>
      </w:pPr>
      <w:r>
        <w:t xml:space="preserve">This final section provides an overview of emission hotspots and a statement on the reliability of the analysis.</w:t>
      </w:r>
    </w:p>
    <w:bookmarkStart w:id="42" w:name="emission-hotspots"/>
    <w:p>
      <w:pPr>
        <w:pStyle w:val="Heading3"/>
      </w:pPr>
      <w:r>
        <w:t xml:space="preserve">Emission Hotspots</w:t>
      </w:r>
    </w:p>
    <w:p>
      <w:pPr>
        <w:pStyle w:val="FirstParagraph"/>
      </w:pPr>
      <w:r>
        <w:t xml:space="preserve">The analysis of \'igxqtmtowk\' reveals the following key emission hotspots:</w:t>
      </w:r>
    </w:p>
    <w:p>
      <w:pPr>
        <w:numPr>
          <w:ilvl w:val="0"/>
          <w:numId w:val="1012"/>
        </w:numPr>
        <w:pStyle w:val="Compact"/>
      </w:pPr>
      <w:r>
        <w:rPr>
          <w:bCs/>
          <w:b/>
        </w:rPr>
        <w:t xml:space="preserve">Use Phase (56.0%):</w:t>
      </w:r>
      <w:r>
        <w:t xml:space="preserve"> </w:t>
      </w:r>
      <w:r>
        <w:t xml:space="preserve">The most significant hotspot is the energy consumption during the product\'s 5-year operational lifespan. This highlights the importance of energy efficiency in product design and the impact of regional electricity grids where the product is used.</w:t>
      </w:r>
    </w:p>
    <w:p>
      <w:pPr>
        <w:numPr>
          <w:ilvl w:val="0"/>
          <w:numId w:val="1012"/>
        </w:numPr>
        <w:pStyle w:val="Compact"/>
      </w:pPr>
      <w:r>
        <w:rPr>
          <w:bCs/>
          <w:b/>
        </w:rPr>
        <w:t xml:space="preserve">Material Acquisition &amp; Pre-processing (40.3%):</w:t>
      </w:r>
      <w:r>
        <w:t xml:space="preserve"> </w:t>
      </w:r>
      <w:r>
        <w:t xml:space="preserve">The extraction and processing of raw materials, particularly electronic components and aluminum, contribute substantially to the product\'s carbon footprint. This underscores the need for sustainable material sourcing and design for material efficiency.</w:t>
      </w:r>
    </w:p>
    <w:p>
      <w:pPr>
        <w:numPr>
          <w:ilvl w:val="0"/>
          <w:numId w:val="1012"/>
        </w:numPr>
        <w:pStyle w:val="Compact"/>
      </w:pPr>
      <w:r>
        <w:rPr>
          <w:bCs/>
          <w:b/>
        </w:rPr>
        <w:t xml:space="preserve">Production Energy (3.2%):</w:t>
      </w:r>
      <w:r>
        <w:t xml:space="preserve"> </w:t>
      </w:r>
      <w:r>
        <w:t xml:space="preserve">While a smaller percentage, the electricity consumed during manufacturing is a hotspot, especially given the geographic scope in China, where grid intensity can be higher. Increasing renewable energy procurement for manufacturing processes can significantly reduce this impact.</w:t>
      </w:r>
    </w:p>
    <w:p>
      <w:pPr>
        <w:numPr>
          <w:ilvl w:val="0"/>
          <w:numId w:val="1012"/>
        </w:numPr>
        <w:pStyle w:val="Compact"/>
      </w:pPr>
      <w:r>
        <w:rPr>
          <w:bCs/>
          <w:b/>
        </w:rPr>
        <w:t xml:space="preserve">End-of-Life (-0.9%):</w:t>
      </w:r>
      <w:r>
        <w:t xml:space="preserve"> </w:t>
      </w:r>
      <w:r>
        <w:t xml:space="preserve">The product achieves a net carbon saving at its end-of-life due to a high recyclability percentage and the implementation of circular/take-back programs, demonstrating the positive impact of a circular economy approach.</w:t>
      </w:r>
    </w:p>
    <w:bookmarkEnd w:id="42"/>
    <w:bookmarkStart w:id="43" w:name="reliability-and-limitations"/>
    <w:p>
      <w:pPr>
        <w:pStyle w:val="Heading3"/>
      </w:pPr>
      <w:r>
        <w:t xml:space="preserve">Reliability and Limitations</w:t>
      </w:r>
    </w:p>
    <w:p>
      <w:pPr>
        <w:pStyle w:val="FirstParagraph"/>
      </w:pPr>
      <w:r>
        <w:t xml:space="preserve">This PCF analysis provides a high-detail assessment based on the provided parameters and industry-standard emission factors. The reliability of this report is considered high for its purpose as a strategic tool for uwgniutwyy. However, certain limitations should be noted:</w:t>
      </w:r>
    </w:p>
    <w:p>
      <w:pPr>
        <w:numPr>
          <w:ilvl w:val="0"/>
          <w:numId w:val="1013"/>
        </w:numPr>
        <w:pStyle w:val="Compact"/>
      </w:pPr>
      <w:r>
        <w:rPr>
          <w:bCs/>
          <w:b/>
        </w:rPr>
        <w:t xml:space="preserve">Emission Factors:</w:t>
      </w:r>
      <w:r>
        <w:t xml:space="preserve"> </w:t>
      </w:r>
      <w:r>
        <w:t xml:space="preserve">While industry-standard (e.g., Ecoinvent, DEFRA) and publicly available data were used for emission factors, specific supplier-level primary data would further enhance accuracy.</w:t>
      </w:r>
    </w:p>
    <w:p>
      <w:pPr>
        <w:numPr>
          <w:ilvl w:val="0"/>
          <w:numId w:val="1013"/>
        </w:numPr>
        <w:pStyle w:val="Compact"/>
      </w:pPr>
      <w:r>
        <w:rPr>
          <w:bCs/>
          <w:b/>
        </w:rPr>
        <w:t xml:space="preserve">Placeholder Data:</w:t>
      </w:r>
      <w:r>
        <w:t xml:space="preserve"> </w:t>
      </w:r>
      <w:r>
        <w:t xml:space="preserve">For parameters where only placeholders were provided (e.g., `vehhwdte`, `Select Mode`, `qjttropwvd`, `Delivery Type`, `gmjfekpqxs`, `lrpsklxzlr`, `qiudqrxhkf`, `ytsweutgoh`, `tmqsuhszuy`, `qjvlronjin`), plausible and representative values were assumed for illustrative calculations. Actual emissions may vary if different real-world data points are available.</w:t>
      </w:r>
    </w:p>
    <w:p>
      <w:pPr>
        <w:numPr>
          <w:ilvl w:val="0"/>
          <w:numId w:val="1013"/>
        </w:numPr>
        <w:pStyle w:val="Compact"/>
      </w:pPr>
      <w:r>
        <w:rPr>
          <w:bCs/>
          <w:b/>
        </w:rPr>
        <w:t xml:space="preserve">Geographic Specificity:</w:t>
      </w:r>
      <w:r>
        <w:t xml:space="preserve"> </w:t>
      </w:r>
      <w:r>
        <w:t xml:space="preserve">General emission factors for China\'s grid and an illustrative EU average for the use phase were applied. More granular regional grid data for all operational countries would refine the use phase impact.</w:t>
      </w:r>
    </w:p>
    <w:p>
      <w:pPr>
        <w:numPr>
          <w:ilvl w:val="0"/>
          <w:numId w:val="1013"/>
        </w:numPr>
        <w:pStyle w:val="Compact"/>
      </w:pPr>
      <w:r>
        <w:rPr>
          <w:bCs/>
          <w:b/>
        </w:rPr>
        <w:t xml:space="preserve">2026 LSR Standard:</w:t>
      </w:r>
      <w:r>
        <w:t xml:space="preserve"> </w:t>
      </w:r>
      <w:r>
        <w:t xml:space="preserve">While acknowledged, the direct implications of the LSR Standard for this specific electronic product are limited due to its nature. Future updates could incorporate detailed land-use impacts of any bio-based components or packaging if applicable.</w:t>
      </w:r>
    </w:p>
    <w:p>
      <w:pPr>
        <w:pStyle w:val="FirstParagraph"/>
      </w:pPr>
      <w:r>
        <w:t xml:space="preserve">uwgniutwyy is encouraged to continuously collect primary data from its supply chain to further refine and improve the accuracy of its PCF reporting and identify more targeted reduction opportunities.</w:t>
      </w:r>
    </w:p>
    <w:p>
      <w:pPr>
        <w:pStyle w:val="BodyText"/>
      </w:pPr>
      <w:r>
        <w:t xml:space="preserve">Confidential - Internal Use Only | Generated on June 3, 2026</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igxqtmtowk - uwgniutwyy</dc:title>
  <dc:creator/>
  <dc:description>Detailed Product Carbon Footprint (PCF) analysis report for Smart Home Device (igxqtmtowk) for uwgniutwyy, prepared by uuxzhmsjis, Senior Sustainability Consultant. Adhering to GHG Protocol, 2026 LSR Update, and Scope 3 compliance.</dc:description>
  <dc:language>en</dc:language>
  <cp:keywords/>
  <dcterms:created xsi:type="dcterms:W3CDTF">2026-07-15T05:14:20Z</dcterms:created>
  <dcterms:modified xsi:type="dcterms:W3CDTF">2026-07-15T05:14:20Z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