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ievzxxlqlq</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ievzxxlqlq"/>
    <w:p>
      <w:pPr>
        <w:pStyle w:val="Heading2"/>
      </w:pPr>
      <w:r>
        <w:t xml:space="preserve">For Product: ievzxxlqlq</w:t>
      </w:r>
    </w:p>
    <w:p>
      <w:pPr>
        <w:pStyle w:val="FirstParagraph"/>
      </w:pPr>
      <w:r>
        <w:rPr>
          <w:bCs/>
          <w:b/>
        </w:rPr>
        <w:t xml:space="preserve">Company Name:</w:t>
      </w:r>
      <w:r>
        <w:t xml:space="preserve"> </w:t>
      </w:r>
      <w:r>
        <w:t xml:space="preserve">vwtmqoiuhs</w:t>
      </w:r>
    </w:p>
    <w:p>
      <w:pPr>
        <w:pStyle w:val="BodyText"/>
      </w:pPr>
      <w:r>
        <w:rPr>
          <w:bCs/>
          <w:b/>
        </w:rPr>
        <w:t xml:space="preserve">Senior Sustainability Consultant:</w:t>
      </w:r>
      <w:r>
        <w:t xml:space="preserve"> </w:t>
      </w:r>
      <w:r>
        <w:t xml:space="preserve">hpmexnvyon</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parameters provided. All calculations and assumptions are clearly stated to ensure transparency and replicability.</w:t>
      </w:r>
    </w:p>
    <w:bookmarkEnd w:id="20"/>
    <w:bookmarkEnd w:id="21"/>
    <w:p>
      <w:pPr>
        <w:pStyle w:val="BodyText"/>
      </w:pPr>
      <w:r>
        <w:t xml:space="preserve">Carbon Footprint Report: ievzxxlqlq | Generated Date: June 1, 2026</w:t>
      </w:r>
    </w:p>
    <w:bookmarkStart w:id="22" w:name="executive-summary"/>
    <w:p>
      <w:pPr>
        <w:pStyle w:val="Heading1"/>
      </w:pPr>
      <w:r>
        <w:t xml:space="preserve">Executive Summary</w:t>
      </w:r>
    </w:p>
    <w:p>
      <w:pPr>
        <w:pStyle w:val="FirstParagraph"/>
      </w:pPr>
      <w:r>
        <w:t xml:space="preserve">This report presents a high-detail Product Carbon Footprint (PCF) analysis for ievzxxlqlq, manufactured by vwtmqoiuhs, conducted by Senior Sustainability Consultant hpmexnvyon. The analysis adheres strictly to the GHG Protocol standards, including the latest 2026 Land Sector and Removals (LSR) Standard update where applicable. The PCF quantifies greenhouse gas (GHG) emissions across the product\'s lifecycle, from raw material acquisition through manufacturing, transport, use, and end-of-life, with a functional unit of 1.0 unit. The system boundary is defined as factory-gate, focusing on emissions up to the point of dispatch from the manufacturing facility for direct operational control, but expanding to cover the full value chain (Scope 3) as per GHG Protocol requirements.</w:t>
      </w:r>
    </w:p>
    <w:p>
      <w:pPr>
        <w:pStyle w:val="BodyText"/>
      </w:pPr>
      <w:r>
        <w:t xml:space="preserve">The total estimated Product Carbon Footprint for one unit of ievzxxlqlq is</w:t>
      </w:r>
      <w:r>
        <w:t xml:space="preserve"> </w:t>
      </w:r>
      <w:r>
        <w:rPr>
          <w:bCs/>
          <w:b/>
        </w:rPr>
        <w:t xml:space="preserve">12.19 kg CO2e</w:t>
      </w:r>
      <w:r>
        <w:t xml:space="preserve">. Key hotspots identified include the product\'s use phase, followed by last-mile delivery and material acquisition. Recommendations for emission reduction are provided, leveraging the detailed data and lifecycle mapping.</w:t>
      </w:r>
    </w:p>
    <w:p>
      <w:r>
        <w:pict>
          <v:rect style="width:0;height:1.5pt" o:hralign="center" o:hrstd="t" o:hr="t"/>
        </w:pict>
      </w:r>
    </w:p>
    <w:bookmarkEnd w:id="22"/>
    <w:bookmarkStart w:id="28" w:name="introduction-and-scope-definition"/>
    <w:p>
      <w:pPr>
        <w:pStyle w:val="Heading1"/>
      </w:pPr>
      <w:r>
        <w:t xml:space="preserve">1. Introduction and Scope Definition</w:t>
      </w:r>
    </w:p>
    <w:bookmarkStart w:id="23" w:name="functional-unit"/>
    <w:p>
      <w:pPr>
        <w:pStyle w:val="Heading2"/>
      </w:pPr>
      <w:r>
        <w:t xml:space="preserve">1.1. Functional Unit</w:t>
      </w:r>
    </w:p>
    <w:p>
      <w:pPr>
        <w:pStyle w:val="FirstParagraph"/>
      </w:pPr>
      <w:r>
        <w:t xml:space="preserve">The functional unit for this PCF analysis is defined as</w:t>
      </w:r>
      <w:r>
        <w:t xml:space="preserve"> </w:t>
      </w:r>
      <w:r>
        <w:rPr>
          <w:bCs/>
          <w:b/>
        </w:rPr>
        <w:t xml:space="preserve">1.0 unit of ievzxxlqlq</w:t>
      </w:r>
      <w:r>
        <w:t xml:space="preserve">, representing the service provided by a single product throughout its lifespan.</w:t>
      </w:r>
    </w:p>
    <w:bookmarkEnd w:id="23"/>
    <w:bookmarkStart w:id="24" w:name="system-boundaries"/>
    <w:p>
      <w:pPr>
        <w:pStyle w:val="Heading2"/>
      </w:pPr>
      <w:r>
        <w:t xml:space="preserve">1.2. System Boundaries</w:t>
      </w:r>
    </w:p>
    <w:p>
      <w:pPr>
        <w:pStyle w:val="FirstParagraph"/>
      </w:pPr>
      <w:r>
        <w:t xml:space="preserve">This analysis adopts a “cradle-to-grave” approach, encompassing all life cycle stages:</w:t>
      </w:r>
    </w:p>
    <w:p>
      <w:pPr>
        <w:numPr>
          <w:ilvl w:val="0"/>
          <w:numId w:val="1001"/>
        </w:numPr>
        <w:pStyle w:val="Compact"/>
      </w:pPr>
      <w:r>
        <w:rPr>
          <w:bCs/>
          <w:b/>
        </w:rPr>
        <w:t xml:space="preserve">Raw Material Acquisition and Pre-processing:</w:t>
      </w:r>
      <w:r>
        <w:t xml:space="preserve"> </w:t>
      </w:r>
      <w:r>
        <w:t xml:space="preserve">Extraction, processing, and manufacturing of all components and materials listed in the Bill of Materials.</w:t>
      </w:r>
    </w:p>
    <w:p>
      <w:pPr>
        <w:numPr>
          <w:ilvl w:val="0"/>
          <w:numId w:val="1001"/>
        </w:numPr>
        <w:pStyle w:val="Compact"/>
      </w:pPr>
      <w:r>
        <w:rPr>
          <w:bCs/>
          <w:b/>
        </w:rPr>
        <w:t xml:space="preserve">Production (Manufacturing):</w:t>
      </w:r>
      <w:r>
        <w:t xml:space="preserve"> </w:t>
      </w:r>
      <w:r>
        <w:t xml:space="preserve">All processes occurring at the manufacturing facility (factory_gate boundary), including energy consumption and direct emissions.</w:t>
      </w:r>
    </w:p>
    <w:p>
      <w:pPr>
        <w:numPr>
          <w:ilvl w:val="0"/>
          <w:numId w:val="1001"/>
        </w:numPr>
        <w:pStyle w:val="Compact"/>
      </w:pPr>
      <w:r>
        <w:rPr>
          <w:bCs/>
          <w:b/>
        </w:rPr>
        <w:t xml:space="preserve">Transport:</w:t>
      </w:r>
      <w:r>
        <w:t xml:space="preserve"> </w:t>
      </w:r>
      <w:r>
        <w:t xml:space="preserve">Upstream transport of materials to the factory, and downstream transport (distribution and last-mile delivery) of the finished product to the end-user.</w:t>
      </w:r>
    </w:p>
    <w:p>
      <w:pPr>
        <w:numPr>
          <w:ilvl w:val="0"/>
          <w:numId w:val="1001"/>
        </w:numPr>
        <w:pStyle w:val="Compact"/>
      </w:pPr>
      <w:r>
        <w:rPr>
          <w:bCs/>
          <w:b/>
        </w:rPr>
        <w:t xml:space="preserve">Use Phase:</w:t>
      </w:r>
      <w:r>
        <w:t xml:space="preserve"> </w:t>
      </w:r>
      <w:r>
        <w:t xml:space="preserve">Energy consumption during the product\'s operational lifespan.</w:t>
      </w:r>
    </w:p>
    <w:p>
      <w:pPr>
        <w:numPr>
          <w:ilvl w:val="0"/>
          <w:numId w:val="1001"/>
        </w:numPr>
        <w:pStyle w:val="Compact"/>
      </w:pPr>
      <w:r>
        <w:rPr>
          <w:bCs/>
          <w:b/>
        </w:rPr>
        <w:t xml:space="preserve">End-of-Life (EoL):</w:t>
      </w:r>
      <w:r>
        <w:t xml:space="preserve"> </w:t>
      </w:r>
      <w:r>
        <w:t xml:space="preserve">Collection, sorting, recycling, disposal, and benefits from circular economy programs.</w:t>
      </w:r>
    </w:p>
    <w:p>
      <w:pPr>
        <w:pStyle w:val="FirstParagraph"/>
      </w:pPr>
      <w:r>
        <w:t xml:space="preserve">The primary system boundary for direct operational control is defined as</w:t>
      </w:r>
      <w:r>
        <w:t xml:space="preserve"> </w:t>
      </w:r>
      <w:r>
        <w:rPr>
          <w:bCs/>
          <w:b/>
        </w:rPr>
        <w:t xml:space="preserve">factory_gate</w:t>
      </w:r>
      <w:r>
        <w:t xml:space="preserve">, meaning emissions related to manufacturing are primarily considered up to the point the product leaves the factory. However, to achieve comprehensive Scope 3 reporting, the value chain elements (upstream and downstream) are fully integrated.</w:t>
      </w:r>
    </w:p>
    <w:bookmarkEnd w:id="24"/>
    <w:bookmarkStart w:id="25" w:name="geographic-scope"/>
    <w:p>
      <w:pPr>
        <w:pStyle w:val="Heading2"/>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Use Phase &amp; End-of-Life:</w:t>
      </w:r>
      <w:r>
        <w:t xml:space="preserve"> </w:t>
      </w:r>
      <w:r>
        <w:t xml:space="preserve">Assumed to be global average conditions or typical consumption patterns relevant to the primary market.</w:t>
      </w:r>
    </w:p>
    <w:bookmarkEnd w:id="25"/>
    <w:bookmarkStart w:id="26" w:name="accounting-standard"/>
    <w:p>
      <w:pPr>
        <w:pStyle w:val="Heading2"/>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Product Standard</w:t>
      </w:r>
      <w:r>
        <w:t xml:space="preserve">. Emissions are categorized into Scope 1 (direct), Scope 2 (purchased energy), and Scope 3 (value chain). Furthermore, the analysis incorporates the</w:t>
      </w:r>
      <w:r>
        <w:t xml:space="preserve"> </w:t>
      </w:r>
      <w:r>
        <w:rPr>
          <w:bCs/>
          <w:b/>
        </w:rPr>
        <w:t xml:space="preserve">2026 Land Sector and Removals (LSR) Standard update</w:t>
      </w:r>
      <w:r>
        <w:t xml:space="preserve"> </w:t>
      </w:r>
      <w:r>
        <w:t xml:space="preserve">for relevant land use and carbon removals. The LSR Standard, effective January 1, 2027, provides requirements and guidance for accounting for land sector emissions and CO₂ removals, particularly for entities with significant land-related activities in their operations or value chain. While direct land-use change for product manufacturing (within factory_gate) is not a primary driver for ievzxxlqlq, the standard\'s principles for biogenic emissions and removals are acknowledged and applied where relevant in the supply chain context.</w:t>
      </w:r>
    </w:p>
    <w:bookmarkEnd w:id="26"/>
    <w:bookmarkStart w:id="27" w:name="allocation"/>
    <w:p>
      <w:pPr>
        <w:pStyle w:val="Heading2"/>
      </w:pPr>
      <w:r>
        <w:t xml:space="preserve">1.5. Allocation</w:t>
      </w:r>
    </w:p>
    <w:p>
      <w:pPr>
        <w:pStyle w:val="FirstParagraph"/>
      </w:pPr>
      <w:r>
        <w:t xml:space="preserve">Allocation of environmental impacts for co-products or multi-functional processes is performed using mass-based allocation where specific process data is unavailable, following GHG Protocol guidance.</w:t>
      </w:r>
    </w:p>
    <w:p>
      <w:r>
        <w:pict>
          <v:rect style="width:0;height:1.5pt" o:hralign="center" o:hrstd="t" o:hr="t"/>
        </w:pict>
      </w:r>
    </w:p>
    <w:bookmarkEnd w:id="27"/>
    <w:bookmarkEnd w:id="28"/>
    <w:bookmarkStart w:id="36" w:name="X77c77e763eb0e7aad4619600a53bfcd0a36988a"/>
    <w:p>
      <w:pPr>
        <w:pStyle w:val="Heading1"/>
      </w:pPr>
      <w:r>
        <w:t xml:space="preserve">2. Lifecycle Mapping and Data Collection (LCI)</w:t>
      </w:r>
    </w:p>
    <w:bookmarkStart w:id="30" w:name="detailed-bill-of-materials-bom"/>
    <w:p>
      <w:pPr>
        <w:pStyle w:val="Heading2"/>
      </w:pPr>
      <w:r>
        <w:t xml:space="preserve">2.1. Detailed Bill of Materials (BOM)</w:t>
      </w:r>
    </w:p>
    <w:p>
      <w:pPr>
        <w:pStyle w:val="FirstParagraph"/>
      </w:pPr>
      <w:r>
        <w:t xml:space="preserve">The Bill of Materials (BOM) provided as "rnhgerlk" is used for high-accuracy material impact calculation. Due to the placeholder nature of "rnhgerlk," an illustrative BOM has been constructed following the specified format (ID, Description, Category, Process, Qty, Unit, Emission Factor, Total Carbon) to demonstrate the methodology and calculations. These illustrative values are used in place of actual data for this report to fulfill the prompt\'s requirements.</w:t>
      </w:r>
    </w:p>
    <w:bookmarkStart w:id="29" w:name="Xcc5e6a736655f4d6ef21579f3c702e55d877850"/>
    <w:p>
      <w:pPr>
        <w:pStyle w:val="Heading3"/>
      </w:pPr>
      <w:r>
        <w:t xml:space="preserve">Illustrative Bill of Materials for ievzxxlqlq</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0.05 * 15.0 = 0.75</w:t>
            </w:r>
          </w:p>
        </w:tc>
      </w:tr>
      <w:tr>
        <w:tc>
          <w:tcPr/>
          <w:p>
            <w:pPr>
              <w:pStyle w:val="Compact"/>
              <w:jc w:val="left"/>
            </w:pPr>
            <w:r>
              <w:t xml:space="preserve">M003</w:t>
            </w:r>
          </w:p>
        </w:tc>
        <w:tc>
          <w:tcPr/>
          <w:p>
            <w:pPr>
              <w:pStyle w:val="Compact"/>
              <w:jc w:val="left"/>
            </w:pPr>
            <w:r>
              <w:t xml:space="preserve">Lithium Battery</w:t>
            </w:r>
          </w:p>
        </w:tc>
        <w:tc>
          <w:tcPr/>
          <w:p>
            <w:pPr>
              <w:pStyle w:val="Compact"/>
              <w:jc w:val="left"/>
            </w:pPr>
            <w:r>
              <w:t xml:space="preserve">Metals/Electronics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 * 20.0 = 0.40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0.01 * 5.0 = 0.05</w:t>
            </w:r>
          </w:p>
        </w:tc>
      </w:tr>
      <w:tr>
        <w:tc>
          <w:tcPr>
            <w:gridSpan w:val="7"/>
          </w:tcPr>
          <w:p>
            <w:pPr>
              <w:pStyle w:val="Compact"/>
              <w:jc w:val="right"/>
            </w:pPr>
            <w:r>
              <w:rPr>
                <w:bCs/>
                <w:b/>
              </w:rPr>
              <w:t xml:space="preserve">Subtotal Material Emissions:</w:t>
            </w:r>
          </w:p>
        </w:tc>
        <w:tc>
          <w:tcPr/>
          <w:p>
            <w:pPr>
              <w:pStyle w:val="Compact"/>
              <w:jc w:val="left"/>
            </w:pPr>
            <w:r>
              <w:rPr>
                <w:bCs/>
                <w:b/>
              </w:rPr>
              <w:t xml:space="preserve">1.55</w:t>
            </w:r>
          </w:p>
        </w:tc>
      </w:tr>
    </w:tbl>
    <w:p>
      <w:pPr>
        <w:pStyle w:val="BodyText"/>
      </w:pPr>
      <w:r>
        <w:t xml:space="preserve">Total raw material acquisition and pre-processing emissions (Scope 3, Upstream) =</w:t>
      </w:r>
      <w:r>
        <w:t xml:space="preserve"> </w:t>
      </w:r>
      <w:r>
        <w:rPr>
          <w:bCs/>
          <w:b/>
        </w:rPr>
        <w:t xml:space="preserve">1.55 kg CO2e</w:t>
      </w:r>
      <w:r>
        <w:t xml:space="preserve">.</w:t>
      </w:r>
    </w:p>
    <w:bookmarkEnd w:id="29"/>
    <w:bookmarkEnd w:id="30"/>
    <w:bookmarkStart w:id="31" w:name="energy-inputs-production-phase"/>
    <w:p>
      <w:pPr>
        <w:pStyle w:val="Heading2"/>
      </w:pPr>
      <w:r>
        <w:t xml:space="preserve">2.2. Energy Inputs (Production Phase)</w:t>
      </w:r>
    </w:p>
    <w:p>
      <w:pPr>
        <w:pStyle w:val="FirstParagraph"/>
      </w:pPr>
      <w:r>
        <w:t xml:space="preserve">Energy consumption data for the production phase (manufacturing at the factory_gate) is critical for Scope 2 emissions.</w:t>
      </w:r>
    </w:p>
    <w:p>
      <w:pPr>
        <w:numPr>
          <w:ilvl w:val="0"/>
          <w:numId w:val="1003"/>
        </w:numPr>
        <w:pStyle w:val="Compact"/>
      </w:pPr>
      <w:r>
        <w:rPr>
          <w:bCs/>
          <w:b/>
        </w:rPr>
        <w:t xml:space="preserve">Energy Intensity (kWh/unit):</w:t>
      </w:r>
      <w:r>
        <w:t xml:space="preserve"> </w:t>
      </w:r>
      <w:r>
        <w:t xml:space="preserve">ungrjnkfxv (assumed: 2.5 kWh/unit)</w:t>
      </w:r>
    </w:p>
    <w:p>
      <w:pPr>
        <w:numPr>
          <w:ilvl w:val="0"/>
          <w:numId w:val="1003"/>
        </w:numPr>
        <w:pStyle w:val="Compact"/>
      </w:pPr>
      <w:r>
        <w:rPr>
          <w:bCs/>
          <w:b/>
        </w:rPr>
        <w:t xml:space="preserve">Renewable Energy Usage:</w:t>
      </w:r>
      <w:r>
        <w:t xml:space="preserve"> </w:t>
      </w:r>
      <w:r>
        <w:t xml:space="preserve">ekmusejjyf (assumed: 60%)</w:t>
      </w:r>
    </w:p>
    <w:bookmarkEnd w:id="31"/>
    <w:bookmarkStart w:id="32" w:name="logistics-data"/>
    <w:p>
      <w:pPr>
        <w:pStyle w:val="Heading2"/>
      </w:pPr>
      <w:r>
        <w:t xml:space="preserve">2.3. Logistics Data</w:t>
      </w:r>
    </w:p>
    <w:p>
      <w:pPr>
        <w:pStyle w:val="FirstParagraph"/>
      </w:pPr>
      <w:r>
        <w:t xml:space="preserve">Transportation plays a significant role in value chain emissions (Scope 3).</w:t>
      </w:r>
    </w:p>
    <w:p>
      <w:pPr>
        <w:numPr>
          <w:ilvl w:val="0"/>
          <w:numId w:val="1004"/>
        </w:numPr>
        <w:pStyle w:val="Compact"/>
      </w:pPr>
      <w:r>
        <w:rPr>
          <w:bCs/>
          <w:b/>
        </w:rPr>
        <w:t xml:space="preserve">Upstream Transport Mode:</w:t>
      </w:r>
      <w:r>
        <w:t xml:space="preserve"> </w:t>
      </w:r>
      <w:r>
        <w:t xml:space="preserve">Select Mode (assumed: Road freight, HGV &gt;32 tonnes)</w:t>
      </w:r>
    </w:p>
    <w:p>
      <w:pPr>
        <w:numPr>
          <w:ilvl w:val="0"/>
          <w:numId w:val="1004"/>
        </w:numPr>
        <w:pStyle w:val="Compact"/>
      </w:pPr>
      <w:r>
        <w:rPr>
          <w:bCs/>
          <w:b/>
        </w:rPr>
        <w:t xml:space="preserve">Upstream Transport Distance:</w:t>
      </w:r>
      <w:r>
        <w:t xml:space="preserve"> </w:t>
      </w:r>
      <w:r>
        <w:t xml:space="preserve">pvyovxuhpx (assumed: 1,500 km for raw materials to factory)</w:t>
      </w:r>
    </w:p>
    <w:p>
      <w:pPr>
        <w:numPr>
          <w:ilvl w:val="0"/>
          <w:numId w:val="1004"/>
        </w:numPr>
        <w:pStyle w:val="Compact"/>
      </w:pPr>
      <w:r>
        <w:rPr>
          <w:bCs/>
          <w:b/>
        </w:rPr>
        <w:t xml:space="preserve">Last-Mile Delivery Channel:</w:t>
      </w:r>
      <w:r>
        <w:t xml:space="preserve"> </w:t>
      </w:r>
      <w:r>
        <w:t xml:space="preserve">Delivery Type (assumed: Parcel delivery service by van)</w:t>
      </w:r>
    </w:p>
    <w:p>
      <w:pPr>
        <w:numPr>
          <w:ilvl w:val="0"/>
          <w:numId w:val="1004"/>
        </w:numPr>
        <w:pStyle w:val="Compact"/>
      </w:pPr>
      <w:r>
        <w:rPr>
          <w:bCs/>
          <w:b/>
        </w:rPr>
        <w:t xml:space="preserve">Last-Mile Delivery Distance (assumed):</w:t>
      </w:r>
      <w:r>
        <w:t xml:space="preserve"> </w:t>
      </w:r>
      <w:r>
        <w:t xml:space="preserve">50 km</w:t>
      </w:r>
    </w:p>
    <w:bookmarkEnd w:id="32"/>
    <w:bookmarkStart w:id="33" w:name="product-use-phase-data"/>
    <w:p>
      <w:pPr>
        <w:pStyle w:val="Heading2"/>
      </w:pPr>
      <w:r>
        <w:t xml:space="preserve">2.4. Product Use Phase Data</w:t>
      </w:r>
    </w:p>
    <w:p>
      <w:pPr>
        <w:pStyle w:val="FirstParagraph"/>
      </w:pPr>
      <w:r>
        <w:t xml:space="preserve">Emissions during the use phase (Scope 3, Downstream) are calculated based on product usage over its lifespan.</w:t>
      </w:r>
    </w:p>
    <w:p>
      <w:pPr>
        <w:numPr>
          <w:ilvl w:val="0"/>
          <w:numId w:val="1005"/>
        </w:numPr>
        <w:pStyle w:val="Compact"/>
      </w:pPr>
      <w:r>
        <w:rPr>
          <w:bCs/>
          <w:b/>
        </w:rPr>
        <w:t xml:space="preserve">Product Lifespan:</w:t>
      </w:r>
      <w:r>
        <w:t xml:space="preserve"> </w:t>
      </w:r>
      <w:r>
        <w:t xml:space="preserve">mtiwhrnzvj (assumed: 3 years)</w:t>
      </w:r>
    </w:p>
    <w:p>
      <w:pPr>
        <w:numPr>
          <w:ilvl w:val="0"/>
          <w:numId w:val="1005"/>
        </w:numPr>
        <w:pStyle w:val="Compact"/>
      </w:pPr>
      <w:r>
        <w:rPr>
          <w:bCs/>
          <w:b/>
        </w:rPr>
        <w:t xml:space="preserve">Energy Consumption in Use:</w:t>
      </w:r>
      <w:r>
        <w:t xml:space="preserve"> </w:t>
      </w:r>
      <w:r>
        <w:t xml:space="preserve">qtylmredmh (assumed: 5 kWh/year)</w:t>
      </w:r>
    </w:p>
    <w:bookmarkEnd w:id="33"/>
    <w:bookmarkStart w:id="34" w:name="end-of-life-eol-scenarios"/>
    <w:p>
      <w:pPr>
        <w:pStyle w:val="Heading2"/>
      </w:pPr>
      <w:r>
        <w:t xml:space="preserve">2.5. End-of-Life (EoL) Scenarios</w:t>
      </w:r>
    </w:p>
    <w:p>
      <w:pPr>
        <w:pStyle w:val="FirstParagraph"/>
      </w:pPr>
      <w:r>
        <w:t xml:space="preserve">End-of-life treatment significantly impacts the overall PCF (Scope 3, Downstream), with circular economy initiatives providing benefits.</w:t>
      </w:r>
    </w:p>
    <w:p>
      <w:pPr>
        <w:numPr>
          <w:ilvl w:val="0"/>
          <w:numId w:val="1006"/>
        </w:numPr>
        <w:pStyle w:val="Compact"/>
      </w:pPr>
      <w:r>
        <w:rPr>
          <w:bCs/>
          <w:b/>
        </w:rPr>
        <w:t xml:space="preserve">Recyclability Percentage:</w:t>
      </w:r>
      <w:r>
        <w:t xml:space="preserve"> </w:t>
      </w:r>
      <w:r>
        <w:t xml:space="preserve">ntyjdpeqpe (assumed: 75%)</w:t>
      </w:r>
    </w:p>
    <w:p>
      <w:pPr>
        <w:numPr>
          <w:ilvl w:val="0"/>
          <w:numId w:val="1006"/>
        </w:numPr>
        <w:pStyle w:val="Compact"/>
      </w:pPr>
      <w:r>
        <w:rPr>
          <w:bCs/>
          <w:b/>
        </w:rPr>
        <w:t xml:space="preserve">Circular/Take-back Programs:</w:t>
      </w:r>
      <w:r>
        <w:t xml:space="preserve"> </w:t>
      </w:r>
      <w:r>
        <w:t xml:space="preserve">fwofuymmlp (assumed: Company-wide product take-back and refurbishment program)</w:t>
      </w:r>
    </w:p>
    <w:bookmarkEnd w:id="34"/>
    <w:bookmarkStart w:id="35" w:name="emission-factors-secondary-data"/>
    <w:p>
      <w:pPr>
        <w:pStyle w:val="Heading2"/>
      </w:pPr>
      <w:r>
        <w:t xml:space="preserve">2.6. Emission Factors (Secondary Data)</w:t>
      </w:r>
    </w:p>
    <w:p>
      <w:pPr>
        <w:pStyle w:val="FirstParagraph"/>
      </w:pPr>
      <w:r>
        <w:t xml:space="preserve">Where primary data is unavailable, industry-standard emission factors are applied. For this analysis, illustrative emission factors consistent with databases like Ecoinvent and DEFRA are used for electricity grids, transportation, and waste management. Ecoinvent and DEFRA databases are recognized sources providing comprehensive life cycle inventory data and emission factors across various sectors and geographies, crucial for robust GHG reporting.</w:t>
      </w:r>
    </w:p>
    <w:p>
      <w:r>
        <w:pict>
          <v:rect style="width:0;height:1.5pt" o:hralign="center" o:hrstd="t" o:hr="t"/>
        </w:pict>
      </w:r>
    </w:p>
    <w:bookmarkEnd w:id="35"/>
    <w:bookmarkEnd w:id="36"/>
    <w:bookmarkStart w:id="46" w:name="calculation-of-emissions-co2e"/>
    <w:p>
      <w:pPr>
        <w:pStyle w:val="Heading1"/>
      </w:pPr>
      <w:r>
        <w:t xml:space="preserve">3. Calculation of Emissions (CO2e)</w:t>
      </w:r>
    </w:p>
    <w:p>
      <w:pPr>
        <w:pStyle w:val="FirstParagraph"/>
      </w:pPr>
      <w:r>
        <w:t xml:space="preserve">Emissions are calculated using the formula: Activity Data × Emission Factor = CO2e. All results are presented in kilograms of carbon dioxide equivalent (kg CO2e).</w:t>
      </w:r>
    </w:p>
    <w:bookmarkStart w:id="37" w:name="scope-1-emissions-direct-emissions"/>
    <w:p>
      <w:pPr>
        <w:pStyle w:val="Heading2"/>
      </w:pPr>
      <w:r>
        <w:t xml:space="preserve">3.1. Scope 1 Emissions (Direct Emissions)</w:t>
      </w:r>
    </w:p>
    <w:p>
      <w:pPr>
        <w:pStyle w:val="FirstParagraph"/>
      </w:pPr>
      <w:r>
        <w:t xml:space="preserve">For a product PCF with a factory_gate boundary, direct Scope 1 emissions typically arise from fuel combustion in owned or controlled sources at the manufacturing facility. In this analysis, assuming the production process for ievzxxlqlq does not involve significant direct fuel combustion from vwtmqoiuhs-owned assets beyond what\'s covered by purchased energy for processes, direct Scope 1 emissions directly attributable to the product\'s manufacturing process are considered negligible or integrated into supplier data where relevant. If there were company-owned vehicle fleets for internal transport or direct combustion for heating at the factory, these would be included here.</w:t>
      </w:r>
    </w:p>
    <w:p>
      <w:pPr>
        <w:pStyle w:val="BodyText"/>
      </w:pPr>
      <w:r>
        <w:rPr>
          <w:bCs/>
          <w:b/>
        </w:rPr>
        <w:t xml:space="preserve">Total Scope 1 Emissions: 0.00 kg CO2e</w:t>
      </w:r>
      <w:r>
        <w:t xml:space="preserve"> </w:t>
      </w:r>
      <w:r>
        <w:t xml:space="preserve">(Assumed negligible for direct product manufacturing process)</w:t>
      </w:r>
    </w:p>
    <w:bookmarkEnd w:id="37"/>
    <w:bookmarkStart w:id="38" w:name="scope-2-emissions-purchased-energy"/>
    <w:p>
      <w:pPr>
        <w:pStyle w:val="Heading2"/>
      </w:pPr>
      <w:r>
        <w:t xml:space="preserve">3.2. Scope 2 Emissions (Purchased Energy)</w:t>
      </w:r>
    </w:p>
    <w:p>
      <w:pPr>
        <w:pStyle w:val="FirstParagraph"/>
      </w:pPr>
      <w:r>
        <w:t xml:space="preserve">Scope 2 emissions account for indirect emissions from the generation of purchased electricity, steam, heating, and cooling consumed during the product\'s manufacturing.</w:t>
      </w:r>
    </w:p>
    <w:p>
      <w:pPr>
        <w:numPr>
          <w:ilvl w:val="0"/>
          <w:numId w:val="1007"/>
        </w:numPr>
        <w:pStyle w:val="Compact"/>
      </w:pPr>
      <w:r>
        <w:t xml:space="preserve">Energy Intensity: 2.5 kWh/unit</w:t>
      </w:r>
    </w:p>
    <w:p>
      <w:pPr>
        <w:numPr>
          <w:ilvl w:val="0"/>
          <w:numId w:val="1007"/>
        </w:numPr>
        <w:pStyle w:val="Compact"/>
      </w:pPr>
      <w:r>
        <w:t xml:space="preserve">Renewable Energy Usage: 60%</w:t>
      </w:r>
    </w:p>
    <w:p>
      <w:pPr>
        <w:numPr>
          <w:ilvl w:val="0"/>
          <w:numId w:val="1007"/>
        </w:numPr>
        <w:pStyle w:val="Compact"/>
      </w:pPr>
      <w:r>
        <w:t xml:space="preserve">Non-renewable energy: 2.5 kWh/unit × (1 - 0.60) = 1.0 kWh/unit</w:t>
      </w:r>
    </w:p>
    <w:p>
      <w:pPr>
        <w:numPr>
          <w:ilvl w:val="0"/>
          <w:numId w:val="1007"/>
        </w:numPr>
        <w:pStyle w:val="Compact"/>
      </w:pPr>
      <w:r>
        <w:t xml:space="preserve">Assumed Electricity Grid Emission Factor (China, illustrative): 0.6 kg CO2e/kWh</w:t>
      </w:r>
    </w:p>
    <w:p>
      <w:pPr>
        <w:numPr>
          <w:ilvl w:val="0"/>
          <w:numId w:val="1007"/>
        </w:numPr>
        <w:pStyle w:val="Compact"/>
      </w:pPr>
      <w:r>
        <w:rPr>
          <w:bCs/>
          <w:b/>
        </w:rPr>
        <w:t xml:space="preserve">Calculation:</w:t>
      </w:r>
      <w:r>
        <w:t xml:space="preserve"> </w:t>
      </w:r>
      <w:r>
        <w:t xml:space="preserve">1.0 kWh/unit × 0.6 kg CO2e/kWh = 0.60 kg CO2e</w:t>
      </w:r>
    </w:p>
    <w:p>
      <w:pPr>
        <w:pStyle w:val="FirstParagraph"/>
      </w:pPr>
      <w:r>
        <w:rPr>
          <w:bCs/>
          <w:b/>
        </w:rPr>
        <w:t xml:space="preserve">Total Scope 2 Emissions: 0.60 kg CO2e</w:t>
      </w:r>
    </w:p>
    <w:bookmarkEnd w:id="38"/>
    <w:bookmarkStart w:id="44" w:name="scope-3-emissions-value-chain-emissions"/>
    <w:p>
      <w:pPr>
        <w:pStyle w:val="Heading2"/>
      </w:pPr>
      <w:r>
        <w:t xml:space="preserve">3.3. Scope 3 Emissions (Value Chain Emissions)</w:t>
      </w:r>
    </w:p>
    <w:p>
      <w:pPr>
        <w:pStyle w:val="FirstParagraph"/>
      </w:pPr>
      <w:r>
        <w:t xml:space="preserve">Scope 3 emissions cover all other indirect emissions in the value chain, both upstream and downstream. This analysis aims for at least 95% coverage for Scope 3 reporting, in line with 2026 requirements, by including comprehensive data points from materials, transport, use, and end-of-life phases.</w:t>
      </w:r>
    </w:p>
    <w:bookmarkStart w:id="39" w:name="Xb424e470c62ee0efee3ef3d4fab4c47bc91835e"/>
    <w:p>
      <w:pPr>
        <w:pStyle w:val="Heading3"/>
      </w:pPr>
      <w:r>
        <w:t xml:space="preserve">3.3.1. Upstream Emissions: Raw Material Acquisition and Pre-processing</w:t>
      </w:r>
    </w:p>
    <w:p>
      <w:pPr>
        <w:pStyle w:val="FirstParagraph"/>
      </w:pPr>
      <w:r>
        <w:t xml:space="preserve">Based on the illustrative Bill of Materials, the sum of "Total Carbon" for each component:</w:t>
      </w:r>
    </w:p>
    <w:p>
      <w:pPr>
        <w:numPr>
          <w:ilvl w:val="0"/>
          <w:numId w:val="1008"/>
        </w:numPr>
        <w:pStyle w:val="Compact"/>
      </w:pPr>
      <w:r>
        <w:t xml:space="preserve">Total Material Impact: 1.55 kg CO2e</w:t>
      </w:r>
    </w:p>
    <w:p>
      <w:pPr>
        <w:pStyle w:val="FirstParagraph"/>
      </w:pPr>
      <w:r>
        <w:rPr>
          <w:bCs/>
          <w:b/>
        </w:rPr>
        <w:t xml:space="preserve">Subtotal Upstream (Materials): 1.55 kg CO2e</w:t>
      </w:r>
    </w:p>
    <w:bookmarkEnd w:id="39"/>
    <w:bookmarkStart w:id="40" w:name="upstream-emissions-transport-to-factory"/>
    <w:p>
      <w:pPr>
        <w:pStyle w:val="Heading3"/>
      </w:pPr>
      <w:r>
        <w:t xml:space="preserve">3.3.2. Upstream Emissions: Transport to Factory</w:t>
      </w:r>
    </w:p>
    <w:p>
      <w:pPr>
        <w:pStyle w:val="FirstParagraph"/>
      </w:pPr>
      <w:r>
        <w:t xml:space="preserve">This includes transportation of raw materials and components from suppliers (Europe Focused) to the manufacturing facility in China.</w:t>
      </w:r>
    </w:p>
    <w:p>
      <w:pPr>
        <w:numPr>
          <w:ilvl w:val="0"/>
          <w:numId w:val="1009"/>
        </w:numPr>
        <w:pStyle w:val="Compact"/>
      </w:pPr>
      <w:r>
        <w:t xml:space="preserve">Assumed total product + packaging weight for transport: 0.5 kg</w:t>
      </w:r>
    </w:p>
    <w:p>
      <w:pPr>
        <w:numPr>
          <w:ilvl w:val="0"/>
          <w:numId w:val="1009"/>
        </w:numPr>
        <w:pStyle w:val="Compact"/>
      </w:pPr>
      <w:r>
        <w:t xml:space="preserve">Transport Distance: 1,500 km</w:t>
      </w:r>
    </w:p>
    <w:p>
      <w:pPr>
        <w:numPr>
          <w:ilvl w:val="0"/>
          <w:numId w:val="1009"/>
        </w:numPr>
        <w:pStyle w:val="Compact"/>
      </w:pPr>
      <w:r>
        <w:t xml:space="preserve">Transport Mode: Road freight (HGV &gt;32 tonnes)</w:t>
      </w:r>
    </w:p>
    <w:p>
      <w:pPr>
        <w:numPr>
          <w:ilvl w:val="0"/>
          <w:numId w:val="1009"/>
        </w:numPr>
        <w:pStyle w:val="Compact"/>
      </w:pPr>
      <w:r>
        <w:t xml:space="preserve">Assumed Emission Factor (HGV &gt;32t, illustrative): 0.02 kg CO2e/tonne-km</w:t>
      </w:r>
    </w:p>
    <w:p>
      <w:pPr>
        <w:numPr>
          <w:ilvl w:val="0"/>
          <w:numId w:val="1009"/>
        </w:numPr>
        <w:pStyle w:val="Compact"/>
      </w:pPr>
      <w:r>
        <w:rPr>
          <w:bCs/>
          <w:b/>
        </w:rPr>
        <w:t xml:space="preserve">Calculation:</w:t>
      </w:r>
      <w:r>
        <w:t xml:space="preserve"> </w:t>
      </w:r>
      <w:r>
        <w:t xml:space="preserve">(0.5 kg / 1000 kg/tonne) × 1,500 km × 0.02 kg CO2e/tonne-km = 0.0005 t × 1,500 km × 0.02 kg CO2e/tkm = 0.015 kg CO2e</w:t>
      </w:r>
    </w:p>
    <w:p>
      <w:pPr>
        <w:pStyle w:val="FirstParagraph"/>
      </w:pPr>
      <w:r>
        <w:rPr>
          <w:bCs/>
          <w:b/>
        </w:rPr>
        <w:t xml:space="preserve">Subtotal Upstream (Transport): 0.015 kg CO2e</w:t>
      </w:r>
    </w:p>
    <w:bookmarkEnd w:id="40"/>
    <w:bookmarkStart w:id="41" w:name="X3219435645d11a7788fe24b2e78910bf1464ceb"/>
    <w:p>
      <w:pPr>
        <w:pStyle w:val="Heading3"/>
      </w:pPr>
      <w:r>
        <w:t xml:space="preserve">3.3.3. Downstream Emissions: Distribution and Last-Mile Delivery</w:t>
      </w:r>
    </w:p>
    <w:p>
      <w:pPr>
        <w:pStyle w:val="FirstParagraph"/>
      </w:pPr>
      <w:r>
        <w:t xml:space="preserve">This covers the transport of the finished product to the end-user, specifically focusing on the last-mile delivery channel.</w:t>
      </w:r>
    </w:p>
    <w:p>
      <w:pPr>
        <w:numPr>
          <w:ilvl w:val="0"/>
          <w:numId w:val="1010"/>
        </w:numPr>
        <w:pStyle w:val="Compact"/>
      </w:pPr>
      <w:r>
        <w:t xml:space="preserve">Last-Mile Delivery Channel: Parcel delivery service (van)</w:t>
      </w:r>
    </w:p>
    <w:p>
      <w:pPr>
        <w:numPr>
          <w:ilvl w:val="0"/>
          <w:numId w:val="1010"/>
        </w:numPr>
        <w:pStyle w:val="Compact"/>
      </w:pPr>
      <w:r>
        <w:t xml:space="preserve">Assumed Last-Mile Distance: 50 km</w:t>
      </w:r>
    </w:p>
    <w:p>
      <w:pPr>
        <w:numPr>
          <w:ilvl w:val="0"/>
          <w:numId w:val="1010"/>
        </w:numPr>
        <w:pStyle w:val="Compact"/>
      </w:pPr>
      <w:r>
        <w:t xml:space="preserve">Assumed Emission Factor (Parcel van, illustrative): 0.08 kg CO2e/package/km</w:t>
      </w:r>
    </w:p>
    <w:p>
      <w:pPr>
        <w:numPr>
          <w:ilvl w:val="0"/>
          <w:numId w:val="1010"/>
        </w:numPr>
        <w:pStyle w:val="Compact"/>
      </w:pPr>
      <w:r>
        <w:rPr>
          <w:bCs/>
          <w:b/>
        </w:rPr>
        <w:t xml:space="preserve">Calculation:</w:t>
      </w:r>
      <w:r>
        <w:t xml:space="preserve"> </w:t>
      </w:r>
      <w:r>
        <w:t xml:space="preserve">50 km × 0.08 kg CO2e/package/km = 4.00 kg CO2e</w:t>
      </w:r>
    </w:p>
    <w:p>
      <w:pPr>
        <w:pStyle w:val="FirstParagraph"/>
      </w:pPr>
      <w:r>
        <w:rPr>
          <w:bCs/>
          <w:b/>
        </w:rPr>
        <w:t xml:space="preserve">Subtotal Downstream (Last-Mile Delivery): 4.00 kg CO2e</w:t>
      </w:r>
    </w:p>
    <w:bookmarkEnd w:id="41"/>
    <w:bookmarkStart w:id="42" w:name="downstream-emissions-use-phase"/>
    <w:p>
      <w:pPr>
        <w:pStyle w:val="Heading3"/>
      </w:pPr>
      <w:r>
        <w:t xml:space="preserve">3.3.4. Downstream Emissions: Use Phase</w:t>
      </w:r>
    </w:p>
    <w:p>
      <w:pPr>
        <w:pStyle w:val="FirstParagraph"/>
      </w:pPr>
      <w:r>
        <w:t xml:space="preserve">Emissions from energy consumed during the product\'s operational life.</w:t>
      </w:r>
    </w:p>
    <w:p>
      <w:pPr>
        <w:numPr>
          <w:ilvl w:val="0"/>
          <w:numId w:val="1011"/>
        </w:numPr>
        <w:pStyle w:val="Compact"/>
      </w:pPr>
      <w:r>
        <w:t xml:space="preserve">Product Lifespan: 3 years</w:t>
      </w:r>
    </w:p>
    <w:p>
      <w:pPr>
        <w:numPr>
          <w:ilvl w:val="0"/>
          <w:numId w:val="1011"/>
        </w:numPr>
        <w:pStyle w:val="Compact"/>
      </w:pPr>
      <w:r>
        <w:t xml:space="preserve">Energy Consumption in Use: 5 kWh/year</w:t>
      </w:r>
    </w:p>
    <w:p>
      <w:pPr>
        <w:numPr>
          <w:ilvl w:val="0"/>
          <w:numId w:val="1011"/>
        </w:numPr>
        <w:pStyle w:val="Compact"/>
      </w:pPr>
      <w:r>
        <w:t xml:space="preserve">Total Energy Consumption over Lifespan: 5 kWh/year × 3 years = 15 kWh</w:t>
      </w:r>
    </w:p>
    <w:p>
      <w:pPr>
        <w:numPr>
          <w:ilvl w:val="0"/>
          <w:numId w:val="1011"/>
        </w:numPr>
        <w:pStyle w:val="Compact"/>
      </w:pPr>
      <w:r>
        <w:t xml:space="preserve">Assumed Average User Electricity Grid Emission Factor (illustrative): 0.4 kg CO2e/kWh</w:t>
      </w:r>
    </w:p>
    <w:p>
      <w:pPr>
        <w:numPr>
          <w:ilvl w:val="0"/>
          <w:numId w:val="1011"/>
        </w:numPr>
        <w:pStyle w:val="Compact"/>
      </w:pPr>
      <w:r>
        <w:rPr>
          <w:bCs/>
          <w:b/>
        </w:rPr>
        <w:t xml:space="preserve">Calculation:</w:t>
      </w:r>
      <w:r>
        <w:t xml:space="preserve"> </w:t>
      </w:r>
      <w:r>
        <w:t xml:space="preserve">15 kWh × 0.4 kg CO2e/kWh = 6.00 kg CO2e</w:t>
      </w:r>
    </w:p>
    <w:p>
      <w:pPr>
        <w:pStyle w:val="FirstParagraph"/>
      </w:pPr>
      <w:r>
        <w:rPr>
          <w:bCs/>
          <w:b/>
        </w:rPr>
        <w:t xml:space="preserve">Subtotal Downstream (Use Phase): 6.00 kg CO2e</w:t>
      </w:r>
    </w:p>
    <w:bookmarkEnd w:id="42"/>
    <w:bookmarkStart w:id="43" w:name="downstream-emissions-end-of-life-eol"/>
    <w:p>
      <w:pPr>
        <w:pStyle w:val="Heading3"/>
      </w:pPr>
      <w:r>
        <w:t xml:space="preserve">3.3.5. Downstream Emissions: End-of-Life (EoL)</w:t>
      </w:r>
    </w:p>
    <w:p>
      <w:pPr>
        <w:pStyle w:val="FirstParagraph"/>
      </w:pPr>
      <w:r>
        <w:t xml:space="preserve">The EoL phase accounts for the environmental impact of product disposal and the benefits from recycling or circularity. The 2026 LSR Standard encourages accounting for removals and land-use impacts where applicable, though for a manufactured product, direct land-use change is less relevant than proper waste management.</w:t>
      </w:r>
    </w:p>
    <w:p>
      <w:pPr>
        <w:numPr>
          <w:ilvl w:val="0"/>
          <w:numId w:val="1012"/>
        </w:numPr>
        <w:pStyle w:val="Compact"/>
      </w:pPr>
      <w:r>
        <w:t xml:space="preserve">Total product material weight (from illustrative BOM): 0.18 kg</w:t>
      </w:r>
    </w:p>
    <w:p>
      <w:pPr>
        <w:numPr>
          <w:ilvl w:val="0"/>
          <w:numId w:val="1012"/>
        </w:numPr>
        <w:pStyle w:val="Compact"/>
      </w:pPr>
      <w:r>
        <w:t xml:space="preserve">Recyclability Percentage: 75%</w:t>
      </w:r>
    </w:p>
    <w:p>
      <w:pPr>
        <w:numPr>
          <w:ilvl w:val="0"/>
          <w:numId w:val="1012"/>
        </w:numPr>
        <w:pStyle w:val="Compact"/>
      </w:pPr>
      <w:r>
        <w:t xml:space="preserve">Non-recycled portion: 0.18 kg × (1 - 0.75) = 0.045 kg</w:t>
      </w:r>
    </w:p>
    <w:p>
      <w:pPr>
        <w:numPr>
          <w:ilvl w:val="0"/>
          <w:numId w:val="1012"/>
        </w:numPr>
        <w:pStyle w:val="Compact"/>
      </w:pPr>
      <w:r>
        <w:t xml:space="preserve">Assumed Disposal Emission Factor (for non-recycled electronic waste, illustrative): 1.0 kg CO2e/kg (e.g., landfill/incineration of complex materials)</w:t>
      </w:r>
    </w:p>
    <w:p>
      <w:pPr>
        <w:numPr>
          <w:ilvl w:val="0"/>
          <w:numId w:val="1012"/>
        </w:numPr>
        <w:pStyle w:val="Compact"/>
      </w:pPr>
      <w:r>
        <w:t xml:space="preserve">Circular/Take-back Programs: Company-wide product take-back and refurbishment program (fwofuymmlp). This program is assumed to reduce the effective disposal burden by 50% through reuse and higher-value recovery.</w:t>
      </w:r>
    </w:p>
    <w:p>
      <w:pPr>
        <w:numPr>
          <w:ilvl w:val="0"/>
          <w:numId w:val="1012"/>
        </w:numPr>
        <w:pStyle w:val="Compact"/>
      </w:pPr>
      <w:r>
        <w:rPr>
          <w:bCs/>
          <w:b/>
        </w:rPr>
        <w:t xml:space="preserve">Calculation:</w:t>
      </w:r>
      <w:r>
        <w:t xml:space="preserve"> </w:t>
      </w:r>
      <w:r>
        <w:t xml:space="preserve">(0.045 kg × 1.0 kg CO2e/kg) × 0.5 (due to circular programs) = 0.0225 kg CO2e</w:t>
      </w:r>
    </w:p>
    <w:p>
      <w:pPr>
        <w:pStyle w:val="FirstParagraph"/>
      </w:pPr>
      <w:r>
        <w:rPr>
          <w:bCs/>
          <w:b/>
        </w:rPr>
        <w:t xml:space="preserve">Subtotal Downstream (End-of-Life): 0.0225 kg CO2e</w:t>
      </w:r>
    </w:p>
    <w:bookmarkEnd w:id="43"/>
    <w:bookmarkEnd w:id="44"/>
    <w:bookmarkStart w:id="45" w:name="total-product-carbon-footprint"/>
    <w:p>
      <w:pPr>
        <w:pStyle w:val="Heading2"/>
      </w:pPr>
      <w:r>
        <w:t xml:space="preserve">3.4. Total Product Carbon Footprint</w:t>
      </w:r>
    </w:p>
    <w:p>
      <w:pPr>
        <w:pStyle w:val="FirstParagraph"/>
      </w:pPr>
      <w:r>
        <w:t xml:space="preserve">Summation of emissions across all relevant scopes and life 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1.55</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0.60</w:t>
            </w:r>
          </w:p>
        </w:tc>
      </w:tr>
      <w:tr>
        <w:tc>
          <w:tcPr/>
          <w:p>
            <w:pPr>
              <w:pStyle w:val="Compact"/>
              <w:jc w:val="left"/>
            </w:pPr>
            <w:r>
              <w:t xml:space="preserve">Upstream Transport (Materials)</w:t>
            </w:r>
          </w:p>
        </w:tc>
        <w:tc>
          <w:tcPr/>
          <w:p>
            <w:pPr>
              <w:pStyle w:val="Compact"/>
              <w:jc w:val="left"/>
            </w:pPr>
            <w:r>
              <w:t xml:space="preserve">Scope 3 (Upstream)</w:t>
            </w:r>
          </w:p>
        </w:tc>
        <w:tc>
          <w:tcPr/>
          <w:p>
            <w:pPr>
              <w:pStyle w:val="Compact"/>
              <w:jc w:val="left"/>
            </w:pPr>
            <w:r>
              <w:t xml:space="preserve">0.015</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4.00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0.0225</w:t>
            </w:r>
          </w:p>
        </w:tc>
      </w:tr>
      <w:tr>
        <w:tc>
          <w:tcPr>
            <w:gridSpan w:val="2"/>
          </w:tcPr>
          <w:p>
            <w:pPr>
              <w:pStyle w:val="Compact"/>
              <w:jc w:val="right"/>
            </w:pPr>
            <w:r>
              <w:rPr>
                <w:bCs/>
                <w:b/>
              </w:rPr>
              <w:t xml:space="preserve">Total Product Carbon Footprint for 1.0 unit of ievzxxlqlq:</w:t>
            </w:r>
          </w:p>
        </w:tc>
        <w:tc>
          <w:tcPr/>
          <w:p>
            <w:pPr>
              <w:pStyle w:val="Compact"/>
              <w:jc w:val="left"/>
            </w:pPr>
            <w:r>
              <w:rPr>
                <w:bCs/>
                <w:b/>
              </w:rPr>
              <w:t xml:space="preserve">12.1875 ≈ 12.19 kg CO2e</w:t>
            </w:r>
          </w:p>
        </w:tc>
      </w:tr>
    </w:tbl>
    <w:p>
      <w:r>
        <w:pict>
          <v:rect style="width:0;height:1.5pt" o:hralign="center" o:hrstd="t" o:hr="t"/>
        </w:pict>
      </w:r>
    </w:p>
    <w:bookmarkEnd w:id="45"/>
    <w:bookmarkEnd w:id="46"/>
    <w:bookmarkStart w:id="49" w:name="review-report"/>
    <w:p>
      <w:pPr>
        <w:pStyle w:val="Heading1"/>
      </w:pPr>
      <w:r>
        <w:t xml:space="preserve">4. Review &amp; Report</w:t>
      </w:r>
    </w:p>
    <w:bookmarkStart w:id="47" w:name="hotspot-analysis"/>
    <w:p>
      <w:pPr>
        <w:pStyle w:val="Heading2"/>
      </w:pPr>
      <w:r>
        <w:t xml:space="preserve">4.1. Hotspot Analysis</w:t>
      </w:r>
    </w:p>
    <w:p>
      <w:pPr>
        <w:pStyle w:val="FirstParagraph"/>
      </w:pPr>
      <w:r>
        <w:t xml:space="preserve">The analysis reveals the following major hotspots in the lifecycle of ievzxxlqlq:</w:t>
      </w:r>
    </w:p>
    <w:p>
      <w:pPr>
        <w:numPr>
          <w:ilvl w:val="0"/>
          <w:numId w:val="1013"/>
        </w:numPr>
        <w:pStyle w:val="Compact"/>
      </w:pPr>
      <w:r>
        <w:rPr>
          <w:bCs/>
          <w:b/>
        </w:rPr>
        <w:t xml:space="preserve">Use Phase (approx. 49.2%):</w:t>
      </w:r>
      <w:r>
        <w:t xml:space="preserve"> </w:t>
      </w:r>
      <w:r>
        <w:t xml:space="preserve">This is the most significant contributor due to the energy consumption of the product over its assumed 3-year lifespan.</w:t>
      </w:r>
    </w:p>
    <w:p>
      <w:pPr>
        <w:numPr>
          <w:ilvl w:val="0"/>
          <w:numId w:val="1013"/>
        </w:numPr>
        <w:pStyle w:val="Compact"/>
      </w:pPr>
      <w:r>
        <w:rPr>
          <w:bCs/>
          <w:b/>
        </w:rPr>
        <w:t xml:space="preserve">Last-Mile Delivery (approx. 32.8%):</w:t>
      </w:r>
      <w:r>
        <w:t xml:space="preserve"> </w:t>
      </w:r>
      <w:r>
        <w:t xml:space="preserve">The high impact of delivering individual packages via parcel service is evident.</w:t>
      </w:r>
    </w:p>
    <w:p>
      <w:pPr>
        <w:numPr>
          <w:ilvl w:val="0"/>
          <w:numId w:val="1013"/>
        </w:numPr>
        <w:pStyle w:val="Compact"/>
      </w:pPr>
      <w:r>
        <w:rPr>
          <w:bCs/>
          <w:b/>
        </w:rPr>
        <w:t xml:space="preserve">Raw Material Acquisition (approx. 12.7%):</w:t>
      </w:r>
      <w:r>
        <w:t xml:space="preserve"> </w:t>
      </w:r>
      <w:r>
        <w:t xml:space="preserve">The embodied emissions in the components, particularly electronics and specialized materials, contribute substantially.</w:t>
      </w:r>
    </w:p>
    <w:p>
      <w:pPr>
        <w:numPr>
          <w:ilvl w:val="0"/>
          <w:numId w:val="1013"/>
        </w:numPr>
        <w:pStyle w:val="Compact"/>
      </w:pPr>
      <w:r>
        <w:rPr>
          <w:bCs/>
          <w:b/>
        </w:rPr>
        <w:t xml:space="preserve">Manufacturing (Scope 2, approx. 4.9%):</w:t>
      </w:r>
      <w:r>
        <w:t xml:space="preserve"> </w:t>
      </w:r>
      <w:r>
        <w:t xml:space="preserve">While renewable energy usage helps mitigate this, the remaining non-renewable energy consumption is still a notable factor.</w:t>
      </w:r>
    </w:p>
    <w:bookmarkEnd w:id="47"/>
    <w:bookmarkStart w:id="48" w:name="reliability-and-limitations"/>
    <w:p>
      <w:pPr>
        <w:pStyle w:val="Heading2"/>
      </w:pPr>
      <w:r>
        <w:t xml:space="preserve">4.2. Reliability and Limitations</w:t>
      </w:r>
    </w:p>
    <w:p>
      <w:pPr>
        <w:pStyle w:val="FirstParagraph"/>
      </w:pPr>
      <w:r>
        <w:t xml:space="preserve">The reliability of this PCF is high for the specified parameters. However, the accuracy is directly dependent on the quality and specificity of the input data.</w:t>
      </w:r>
    </w:p>
    <w:p>
      <w:pPr>
        <w:numPr>
          <w:ilvl w:val="0"/>
          <w:numId w:val="1014"/>
        </w:numPr>
        <w:pStyle w:val="Compact"/>
      </w:pPr>
      <w:r>
        <w:rPr>
          <w:bCs/>
          <w:b/>
        </w:rPr>
        <w:t xml:space="preserve">Placeholder Data:</w:t>
      </w:r>
      <w:r>
        <w:t xml:space="preserve"> </w:t>
      </w:r>
      <w:r>
        <w:t xml:space="preserve">Due to the placeholder nature of several input parameters (e.g., "rnhgerlk" for BOM, "Select Mode" for transport), illustrative values and industry average emission factors have been used. Actual primary data for each specific material, process, and logistics route would yield a more precise footprint.</w:t>
      </w:r>
    </w:p>
    <w:p>
      <w:pPr>
        <w:numPr>
          <w:ilvl w:val="0"/>
          <w:numId w:val="1014"/>
        </w:numPr>
        <w:pStyle w:val="Compact"/>
      </w:pPr>
      <w:r>
        <w:rPr>
          <w:bCs/>
          <w:b/>
        </w:rPr>
        <w:t xml:space="preserve">Geographic Specificity:</w:t>
      </w:r>
      <w:r>
        <w:t xml:space="preserve"> </w:t>
      </w:r>
      <w:r>
        <w:t xml:space="preserve">While the final production is in China and supply chain Europe-focused, specific regional grid mixes and transport emission factors are assumed based on general availability, rather than highly localized, real-time data.</w:t>
      </w:r>
    </w:p>
    <w:p>
      <w:pPr>
        <w:numPr>
          <w:ilvl w:val="0"/>
          <w:numId w:val="1014"/>
        </w:numPr>
        <w:pStyle w:val="Compact"/>
      </w:pPr>
      <w:r>
        <w:rPr>
          <w:bCs/>
          <w:b/>
        </w:rPr>
        <w:t xml:space="preserve">LSR Standard Application:</w:t>
      </w:r>
      <w:r>
        <w:t xml:space="preserve"> </w:t>
      </w:r>
      <w:r>
        <w:t xml:space="preserve">The 2026 LSR Standard is acknowledged, but given the product\'s nature and the factory_gate boundary for direct operations, specific land-use change emissions directly attributable to ievzxxlqlq\'s manufacturing are not a primary factor. Its principles are conceptually incorporated for value chain considerations.</w:t>
      </w:r>
    </w:p>
    <w:p>
      <w:pPr>
        <w:numPr>
          <w:ilvl w:val="0"/>
          <w:numId w:val="1014"/>
        </w:numPr>
        <w:pStyle w:val="Compact"/>
      </w:pPr>
      <w:r>
        <w:rPr>
          <w:bCs/>
          <w:b/>
        </w:rPr>
        <w:t xml:space="preserve">Scope 3 Coverage:</w:t>
      </w:r>
      <w:r>
        <w:t xml:space="preserve"> </w:t>
      </w:r>
      <w:r>
        <w:t xml:space="preserve">The report aims for over 95% Scope 3 coverage by integrating key upstream and downstream elements, enhancing its comprehensiveness as per 2026 GHG Protocol requirements.</w:t>
      </w:r>
    </w:p>
    <w:p>
      <w:r>
        <w:pict>
          <v:rect style="width:0;height:1.5pt" o:hralign="center" o:hrstd="t" o:hr="t"/>
        </w:pict>
      </w:r>
    </w:p>
    <w:bookmarkEnd w:id="48"/>
    <w:bookmarkEnd w:id="49"/>
    <w:bookmarkStart w:id="50" w:name="recommendations-for-emission-reduction"/>
    <w:p>
      <w:pPr>
        <w:pStyle w:val="Heading1"/>
      </w:pPr>
      <w:r>
        <w:t xml:space="preserve">5. Recommendations for Emission Reduction</w:t>
      </w:r>
    </w:p>
    <w:p>
      <w:pPr>
        <w:pStyle w:val="FirstParagraph"/>
      </w:pPr>
      <w:r>
        <w:t xml:space="preserve">Based on the hotspot analysis, vwtmqoiuhs can focus on the following strategies to reduce the carbon footprint of ievzxxlqlq:</w:t>
      </w:r>
    </w:p>
    <w:p>
      <w:pPr>
        <w:numPr>
          <w:ilvl w:val="0"/>
          <w:numId w:val="1015"/>
        </w:numPr>
        <w:pStyle w:val="Compact"/>
      </w:pPr>
      <w:r>
        <w:rPr>
          <w:bCs/>
          <w:b/>
        </w:rPr>
        <w:t xml:space="preserve">Optimize Use Phase Efficiency:</w:t>
      </w:r>
      <w:r>
        <w:t xml:space="preserve"> </w:t>
      </w:r>
      <w:r>
        <w:t xml:space="preserve">Invest in R&amp;D to develop more energy-efficient versions of ievzxxlqlq, reducing its energy consumption during the product lifespan. Educate consumers on efficient usage.</w:t>
      </w:r>
    </w:p>
    <w:p>
      <w:pPr>
        <w:numPr>
          <w:ilvl w:val="0"/>
          <w:numId w:val="1015"/>
        </w:numPr>
        <w:pStyle w:val="Compact"/>
      </w:pPr>
      <w:r>
        <w:rPr>
          <w:bCs/>
          <w:b/>
        </w:rPr>
        <w:t xml:space="preserve">Enhance Last-Mile Logistics:</w:t>
      </w:r>
      <w:r>
        <w:t xml:space="preserve"> </w:t>
      </w:r>
      <w:r>
        <w:t xml:space="preserve">Explore and implement greener last-mile delivery solutions, such as electric delivery vehicles, optimized routing, or local collection points to reduce emissions from distribution.</w:t>
      </w:r>
    </w:p>
    <w:p>
      <w:pPr>
        <w:numPr>
          <w:ilvl w:val="0"/>
          <w:numId w:val="1015"/>
        </w:numPr>
        <w:pStyle w:val="Compact"/>
      </w:pPr>
      <w:r>
        <w:rPr>
          <w:bCs/>
          <w:b/>
        </w:rPr>
        <w:t xml:space="preserve">Sustainable Sourcing:</w:t>
      </w:r>
      <w:r>
        <w:t xml:space="preserve"> </w:t>
      </w:r>
      <w:r>
        <w:t xml:space="preserve">Collaborate with suppliers to source lower-carbon materials and components, or choose suppliers with higher renewable energy integration and efficient manufacturing processes.</w:t>
      </w:r>
    </w:p>
    <w:p>
      <w:pPr>
        <w:numPr>
          <w:ilvl w:val="0"/>
          <w:numId w:val="1015"/>
        </w:numPr>
        <w:pStyle w:val="Compact"/>
      </w:pPr>
      <w:r>
        <w:rPr>
          <w:bCs/>
          <w:b/>
        </w:rPr>
        <w:t xml:space="preserve">Expand Circular Economy Initiatives:</w:t>
      </w:r>
      <w:r>
        <w:t xml:space="preserve"> </w:t>
      </w:r>
      <w:r>
        <w:t xml:space="preserve">Strengthen the existing take-back program (fwofuymmlp) to maximize refurbishment, reuse, and high-quality recycling rates, further reducing the reliance on virgin materials and minimizing disposal impacts.</w:t>
      </w:r>
    </w:p>
    <w:p>
      <w:pPr>
        <w:numPr>
          <w:ilvl w:val="0"/>
          <w:numId w:val="1015"/>
        </w:numPr>
        <w:pStyle w:val="Compact"/>
      </w:pPr>
      <w:r>
        <w:rPr>
          <w:bCs/>
          <w:b/>
        </w:rPr>
        <w:t xml:space="preserve">Increase Renewable Energy in Production:</w:t>
      </w:r>
      <w:r>
        <w:t xml:space="preserve"> </w:t>
      </w:r>
      <w:r>
        <w:t xml:space="preserve">While 60% renewable energy usage (ekmusejjyf) is good, aiming for 100% renewable energy at the manufacturing facility would eliminate Scope 2 emissions.</w:t>
      </w:r>
    </w:p>
    <w:p>
      <w:pPr>
        <w:pStyle w:val="FirstParagraph"/>
      </w:pPr>
      <w:r>
        <w:t xml:space="preserve">Confidential - Internal Use Only | Page</w:t>
      </w:r>
      <w:r>
        <w:t xml:space="preserve"> </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ievzxxlqlq</dc:title>
  <dc:creator/>
  <dc:description>High-detail Product Carbon Footprint (PCF) analysis for product ievzxxlqlq by vwtmqoiuhs, following GHG Protocol standards and incorporating 2026 LSR updates.</dc:description>
  <dc:language>en</dc:language>
  <cp:keywords/>
  <dcterms:created xsi:type="dcterms:W3CDTF">2026-07-15T03:41:53Z</dcterms:created>
  <dcterms:modified xsi:type="dcterms:W3CDTF">2026-07-15T03:41:53Z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