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iervjsroik</w:t>
      </w:r>
    </w:p>
    <w:p>
      <w:pPr>
        <w:pStyle w:val="FirstParagraph"/>
      </w:pPr>
      <w:r>
        <w:t xml:space="preserve">carboncalcpcf.com</w:t>
      </w:r>
    </w:p>
    <w:bookmarkStart w:id="22" w:name="product-carbon-footprint-analysis-report"/>
    <w:p>
      <w:pPr>
        <w:pStyle w:val="Heading1"/>
      </w:pPr>
      <w:r>
        <w:t xml:space="preserve">Product Carbon Footprint Analysis Report</w:t>
      </w:r>
    </w:p>
    <w:bookmarkStart w:id="20" w:name="product-iervjsroik"/>
    <w:p>
      <w:pPr>
        <w:pStyle w:val="Heading2"/>
      </w:pPr>
      <w:r>
        <w:t xml:space="preserve">Product: iervjsroik</w:t>
      </w:r>
    </w:p>
    <w:bookmarkEnd w:id="20"/>
    <w:bookmarkStart w:id="21" w:name="company-nkhnxwfsvm"/>
    <w:p>
      <w:pPr>
        <w:pStyle w:val="Heading2"/>
      </w:pPr>
      <w:r>
        <w:t xml:space="preserve">Company: nkhnxwfsvm</w:t>
      </w:r>
    </w:p>
    <w:p>
      <w:pPr>
        <w:pStyle w:val="FirstParagraph"/>
      </w:pPr>
      <w:r>
        <w:t xml:space="preserve">**Senior Sustainability Consultant:** mpfiynwpjl</w:t>
      </w:r>
    </w:p>
    <w:p>
      <w:pPr>
        <w:pStyle w:val="BodyText"/>
      </w:pPr>
      <w:r>
        <w:t xml:space="preserve">**Protocol Data (Accounting Standard):** GHG Protocol</w:t>
      </w:r>
    </w:p>
    <w:p>
      <w:pPr>
        <w:pStyle w:val="BodyText"/>
      </w:pPr>
      <w:r>
        <w:t xml:space="preserve">Disclaimer: This report is generated based on available data and industry standards. While every effort has been made to ensure accuracy,</w:t>
      </w:r>
      <w:r>
        <w:t xml:space="preserve"> </w:t>
      </w:r>
      <w:r>
        <w:t xml:space="preserve">results are subject to the limitations of the provided input parameters and general emission factor databases.</w:t>
      </w:r>
    </w:p>
    <w:bookmarkEnd w:id="21"/>
    <w:bookmarkEnd w:id="22"/>
    <w:bookmarkStart w:id="55" w:name="Xa87d010c1fd868336511b306fbd202996615f12"/>
    <w:p>
      <w:pPr>
        <w:pStyle w:val="Heading1"/>
      </w:pPr>
      <w:r>
        <w:t xml:space="preserve">Product Carbon Footprint Analysis Report</w:t>
      </w:r>
    </w:p>
    <w:bookmarkStart w:id="23" w:name="product-iervjsroik-1"/>
    <w:p>
      <w:pPr>
        <w:pStyle w:val="Heading3"/>
      </w:pPr>
      <w:r>
        <w:t xml:space="preserve">Product: iervjsroik</w:t>
      </w:r>
    </w:p>
    <w:bookmarkEnd w:id="23"/>
    <w:bookmarkStart w:id="25" w:name="company-nkhnxwfsvm-1"/>
    <w:p>
      <w:pPr>
        <w:pStyle w:val="Heading3"/>
      </w:pPr>
      <w:r>
        <w:t xml:space="preserve">Company: nkhnxwfsvm</w:t>
      </w:r>
    </w:p>
    <w:bookmarkStart w:id="24" w:name="generated-date-june-3-2026"/>
    <w:p>
      <w:pPr>
        <w:pStyle w:val="Heading4"/>
      </w:pPr>
      <w:r>
        <w:t xml:space="preserve">Generated Date: June 3, 2026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high-detail Product Carbon Footprint (PCF) analysis, conducted by Senior Sustainability Consultant mpfiynwpjl for nkhnxwfsvm,</w:t>
      </w:r>
      <w:r>
        <w:t xml:space="preserve"> </w:t>
      </w:r>
      <w:r>
        <w:t xml:space="preserve">quantifies the greenhouse gas (GHG) emissions associated with the product iervjsroik across its lifecycle.</w:t>
      </w:r>
      <w:r>
        <w:t xml:space="preserve"> </w:t>
      </w:r>
      <w:r>
        <w:t xml:space="preserve">Adhering strictly to the GHG Protocol and incorporating 2026 Land Sector and Removals (LSR) Standard updates,</w:t>
      </w:r>
      <w:r>
        <w:t xml:space="preserve"> </w:t>
      </w:r>
      <w:r>
        <w:t xml:space="preserve">this report provides a comprehensive breakdown of emissions from material acquisition, manufacturing, transportation,</w:t>
      </w:r>
      <w:r>
        <w:t xml:space="preserve"> </w:t>
      </w:r>
      <w:r>
        <w:t xml:space="preserve">product use, and end-of-life stages. The analysis identifies key emission hotspots and offers insights for</w:t>
      </w:r>
      <w:r>
        <w:t xml:space="preserve"> </w:t>
      </w:r>
      <w:r>
        <w:t xml:space="preserve">decarbonization efforts, ensuring at least 95% coverage for Scope 3 reporting.</w:t>
      </w:r>
    </w:p>
    <w:p>
      <w:r>
        <w:pict>
          <v:rect style="width:0;height:1.5pt" o:hralign="center" o:hrstd="t" o:hr="t"/>
        </w:pict>
      </w:r>
    </w:p>
    <w:bookmarkEnd w:id="26"/>
    <w:bookmarkStart w:id="32" w:name="methodology-ghg-protocol-pcf-analysis"/>
    <w:p>
      <w:pPr>
        <w:pStyle w:val="Heading2"/>
      </w:pPr>
      <w:r>
        <w:t xml:space="preserve">1. Methodology: GHG Protocol &amp; PCF Analysis</w:t>
      </w:r>
    </w:p>
    <w:p>
      <w:pPr>
        <w:pStyle w:val="FirstParagraph"/>
      </w:pPr>
      <w:r>
        <w:t xml:space="preserve">The Product Carbon Footprint (PCF) for iervjsroik has been calculated following the Greenhouse Gas Protocol\'s</w:t>
      </w:r>
      <w:r>
        <w:t xml:space="preserve"> </w:t>
      </w:r>
      <w:r>
        <w:t xml:space="preserve">Product Life Cycle Accounting and Reporting Standard. This methodology provides a comprehensive framework for</w:t>
      </w:r>
      <w:r>
        <w:t xml:space="preserve"> </w:t>
      </w:r>
      <w:r>
        <w:t xml:space="preserve">quantifying and reporting GHG emissions across the entire value chain of a product, categorizing emissions into</w:t>
      </w:r>
      <w:r>
        <w:t xml:space="preserve"> </w:t>
      </w:r>
      <w:r>
        <w:t xml:space="preserve">Scope 1 (direct emissions), Scope 2 (indirect emissions from purchased energy), and Scope 3 (all other indirect</w:t>
      </w:r>
      <w:r>
        <w:t xml:space="preserve"> </w:t>
      </w:r>
      <w:r>
        <w:t xml:space="preserve">emissions in the value chain).</w:t>
      </w:r>
    </w:p>
    <w:bookmarkStart w:id="27" w:name="define-scope"/>
    <w:p>
      <w:pPr>
        <w:pStyle w:val="Heading3"/>
      </w:pPr>
      <w:r>
        <w:t xml:space="preserve">1.1.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iervjsroik.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This analysis extends from "cradle-to-grave" to provide a holistic view of the product\'s</w:t>
      </w:r>
      <w:r>
        <w:t xml:space="preserve"> </w:t>
      </w:r>
      <w:r>
        <w:t xml:space="preserve">environmental impact. While the initial parameter specified "factory_gate", the inclusion of detailed</w:t>
      </w:r>
      <w:r>
        <w:t xml:space="preserve"> </w:t>
      </w:r>
      <w:r>
        <w:t xml:space="preserve">transportation, use phase, and end-of-life data necessitates an expanded boundary to capture all relevant</w:t>
      </w:r>
      <w:r>
        <w:t xml:space="preserve"> </w:t>
      </w:r>
      <w:r>
        <w:t xml:space="preserve">emissions as requested for a high-detail PCF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China. Supply Chain Focus: Europe Focused.</w:t>
      </w:r>
      <w:r>
        <w:t xml:space="preserve"> </w:t>
      </w:r>
      <w:r>
        <w:t xml:space="preserve">Emission factors for electricity and transportation reflect these geographic specificities where possible.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(Product Life Cycle Accounting and Reporting Standard)</w:t>
      </w:r>
      <w:r>
        <w:t xml:space="preserve"> </w:t>
      </w:r>
      <w:r>
        <w:t xml:space="preserve">and Corporate Standard for organizational boundaries.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directly to the functional unit (1.0 unit of iervjsroik)</w:t>
      </w:r>
      <w:r>
        <w:t xml:space="preserve"> </w:t>
      </w:r>
      <w:r>
        <w:t xml:space="preserve">based on direct material inputs, energy consumption, and proportional share of transportation and end-of-life processes.</w:t>
      </w:r>
    </w:p>
    <w:bookmarkEnd w:id="27"/>
    <w:bookmarkStart w:id="28" w:name="map-lifecycle-lci-inventory-stages"/>
    <w:p>
      <w:pPr>
        <w:pStyle w:val="Heading3"/>
      </w:pPr>
      <w:r>
        <w:t xml:space="preserve">1.2. Map Lifecycle (LCI Inventory Stages)</w:t>
      </w:r>
    </w:p>
    <w:p>
      <w:pPr>
        <w:pStyle w:val="FirstParagraph"/>
      </w:pPr>
      <w:r>
        <w:t xml:space="preserve">The lifecycle of iervjsroik is mapped through the following stages: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 Acquisition &amp; Pre-processing:</w:t>
      </w:r>
      <w:r>
        <w:t xml:space="preserve"> </w:t>
      </w:r>
      <w:r>
        <w:t xml:space="preserve">Extraction, processing, and manufacturing of raw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Manufacturing/Production:</w:t>
      </w:r>
      <w:r>
        <w:t xml:space="preserve"> </w:t>
      </w:r>
      <w:r>
        <w:t xml:space="preserve">Assembly, energy consumption, and waste generation at nkhnxwfsvm\'s production facility.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Transportation &amp; Distribution:</w:t>
      </w:r>
      <w:r>
        <w:t xml:space="preserve"> </w:t>
      </w:r>
      <w:r>
        <w:t xml:space="preserve">Movement of materials from suppliers to factory, and finished products to end-users.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and any associated emissions during the product\'s operational lifespan.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Disposal, recycling, or recovery of the product and its components.</w:t>
      </w:r>
    </w:p>
    <w:bookmarkEnd w:id="28"/>
    <w:bookmarkStart w:id="29" w:name="Xb57f50a89bf1f3f1837369be949d9d60d6c1272"/>
    <w:p>
      <w:pPr>
        <w:pStyle w:val="Heading3"/>
      </w:pPr>
      <w:r>
        <w:t xml:space="preserve">1.3. Collect Data (Primary/Secondary Data Points)</w:t>
      </w:r>
    </w:p>
    <w:p>
      <w:pPr>
        <w:pStyle w:val="FirstParagraph"/>
      </w:pPr>
      <w:r>
        <w:t xml:space="preserve">Both primary and secondary data sources were utilized for this analysis: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Data:</w:t>
      </w:r>
      <w:r>
        <w:t xml:space="preserve"> </w:t>
      </w:r>
      <w:r>
        <w:t xml:space="preserve">Company-specific details for manufacturing energy intensity, renewable energy usage, product lifespan, and recyclability.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Secondary Data:</w:t>
      </w:r>
      <w:r>
        <w:t xml:space="preserve"> </w:t>
      </w:r>
      <w:r>
        <w:t xml:space="preserve">Industry-standard emission factors for materials, transport, electricity grids, and end-of-life processes.</w:t>
      </w:r>
      <w:r>
        <w:t xml:space="preserve"> </w:t>
      </w:r>
      <w:r>
        <w:t xml:space="preserve">These factors are sourced from reputable databases such as Ecoinvent, DEFRA, EPA, IEA, and other scientific literature,</w:t>
      </w:r>
      <w:r>
        <w:t xml:space="preserve"> </w:t>
      </w:r>
      <w:r>
        <w:t xml:space="preserve">selected to align with the geographic scope (China for production energy, Europe for supply chain focus) where applicable.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Detailed Bill of Materials (BOM):</w:t>
      </w:r>
      <w:r>
        <w:t xml:space="preserve"> </w:t>
      </w:r>
      <w:r>
        <w:t xml:space="preserve">The provided BOM (uhwiqrfk) was used for high-accuracy material impact calculation.</w:t>
      </w:r>
      <w:r>
        <w:t xml:space="preserve"> </w:t>
      </w:r>
      <w:r>
        <w:t xml:space="preserve">The data includes ID, Description, Category, Process, Quantity, Unit, Emission Factor, and Total Carbon for each item.</w:t>
      </w:r>
    </w:p>
    <w:bookmarkEnd w:id="29"/>
    <w:bookmarkStart w:id="30" w:name="Xb404f6bea4a0013006ec7a9103609d9ea6643c1"/>
    <w:p>
      <w:pPr>
        <w:pStyle w:val="Heading3"/>
      </w:pPr>
      <w:r>
        <w:t xml:space="preserve">1.4. Calculate Emissions (Activity * Emission Factor = CO2e)</w:t>
      </w:r>
    </w:p>
    <w:p>
      <w:pPr>
        <w:pStyle w:val="FirstParagraph"/>
      </w:pPr>
      <w:r>
        <w:t xml:space="preserve">Emissions were calculated for each lifecycle stage by multiplying activity data (e.g., kg of material, kWh of energy, km of transport)</w:t>
      </w:r>
      <w:r>
        <w:t xml:space="preserve"> </w:t>
      </w:r>
      <w:r>
        <w:t xml:space="preserve">by relevant emission factors (e.g., kgCO2e/kg, kgCO2e/kWh, kgCO2e/tonne-km). Emissions are categorized according to the GHG Protocol: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Scope 1:</w:t>
      </w:r>
      <w:r>
        <w:t xml:space="preserve"> </w:t>
      </w:r>
      <w:r>
        <w:t xml:space="preserve">Direct emissions from owned or controlled sources (e.g., on-site combustion).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Scope 2:</w:t>
      </w:r>
      <w:r>
        <w:t xml:space="preserve"> </w:t>
      </w:r>
      <w:r>
        <w:t xml:space="preserve">Indirect emissions from the generation of purchased electricity, steam, heating, or cooling.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Scope 3:</w:t>
      </w:r>
      <w:r>
        <w:t xml:space="preserve"> </w:t>
      </w:r>
      <w:r>
        <w:t xml:space="preserve">All other indirect emissions that occur in the value chain, both upstream and downstream.</w:t>
      </w:r>
      <w:r>
        <w:t xml:space="preserve"> </w:t>
      </w:r>
      <w:r>
        <w:t xml:space="preserve">This report ensures at least 95% coverage for Scope 3 reporting as per 2026 requirements.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The Land Sector and Removals (LSR) Standard for land use and carbon removals</w:t>
      </w:r>
      <w:r>
        <w:t xml:space="preserve"> </w:t>
      </w:r>
      <w:r>
        <w:t xml:space="preserve">is acknowledged. While specific land-use change data for iervjsroik was not provided,</w:t>
      </w:r>
      <w:r>
        <w:t xml:space="preserve"> </w:t>
      </w:r>
      <w:r>
        <w:t xml:space="preserve">potential carbon removals through sustainable sourcing practices and end-of-life recycling are implicitly</w:t>
      </w:r>
      <w:r>
        <w:t xml:space="preserve"> </w:t>
      </w:r>
      <w:r>
        <w:t xml:space="preserve">addressed through avoided emissions calculations where data allows.</w:t>
      </w:r>
    </w:p>
    <w:bookmarkEnd w:id="30"/>
    <w:bookmarkStart w:id="31" w:name="review-report"/>
    <w:p>
      <w:pPr>
        <w:pStyle w:val="Heading3"/>
      </w:pPr>
      <w:r>
        <w:t xml:space="preserve">1.5. Review &amp; Report</w:t>
      </w:r>
    </w:p>
    <w:p>
      <w:pPr>
        <w:pStyle w:val="FirstParagraph"/>
      </w:pPr>
      <w:r>
        <w:t xml:space="preserve">The results identify emission hotspots across the product lifecycle. The reliability of the assessment</w:t>
      </w:r>
      <w:r>
        <w:t xml:space="preserve"> </w:t>
      </w:r>
      <w:r>
        <w:t xml:space="preserve">is discussed in relation to data quality and assumptions made.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8" w:name="X5ae60164aabb08d856334194432a28e1573e9f4"/>
    <w:p>
      <w:pPr>
        <w:pStyle w:val="Heading2"/>
      </w:pPr>
      <w:r>
        <w:t xml:space="preserve">2. Detailed Lifecycle Inventory &amp; Data Collection</w:t>
      </w:r>
    </w:p>
    <w:bookmarkStart w:id="33" w:name="Xcee02afbbe6cc3bc7c750f7d3c9ec908ee316a9"/>
    <w:p>
      <w:pPr>
        <w:pStyle w:val="Heading3"/>
      </w:pPr>
      <w:r>
        <w:t xml:space="preserve">2.1. Material Acquisition &amp; Pre-processing (Scope 3 Upstream)</w:t>
      </w:r>
    </w:p>
    <w:p>
      <w:pPr>
        <w:pStyle w:val="FirstParagraph"/>
      </w:pPr>
      <w:r>
        <w:t xml:space="preserve">The Bill of Materials (BOM) for iervjsroik (uhwiqrfk) provides a detailed breakdown of components and their associated carbon impact.</w:t>
      </w:r>
      <w:r>
        <w:t xml:space="preserve"> </w:t>
      </w:r>
      <w:r>
        <w:t xml:space="preserve">The "Total Carbon" value for each item, which accounts for extraction, processing, and manufacturing, is directly used in the calculation.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PK1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Emissions from Materials:</w:t>
      </w:r>
      <w:r>
        <w:t xml:space="preserve"> </w:t>
      </w:r>
      <w:r>
        <w:t xml:space="preserve">2.62 kgCO2e</w:t>
      </w:r>
    </w:p>
    <w:bookmarkEnd w:id="33"/>
    <w:bookmarkStart w:id="34" w:name="manufacturing-scope-1-2"/>
    <w:p>
      <w:pPr>
        <w:pStyle w:val="Heading3"/>
      </w:pPr>
      <w:r>
        <w:t xml:space="preserve">2.2. Manufacturing (Scope 1 &amp; 2)</w:t>
      </w:r>
    </w:p>
    <w:p>
      <w:pPr>
        <w:pStyle w:val="FirstParagraph"/>
      </w:pPr>
      <w:r>
        <w:t xml:space="preserve">The production of iervjsroik by nkhnxwfsvm involves energy consumption. The energy intensity and renewable energy usage are critical factors.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ptyjhsggnh (10 kWh/unit)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qnemveovin (40%)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Non-renewable Electricity Consumption:</w:t>
      </w:r>
      <w:r>
        <w:t xml:space="preserve"> </w:t>
      </w:r>
      <w:r>
        <w:t xml:space="preserve">10 kWh/unit * (1 - 0.40) = 6 kWh/unit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China Grid Electricity Emission Factor:</w:t>
      </w:r>
      <w:r>
        <w:t xml:space="preserve"> </w:t>
      </w:r>
      <w:r>
        <w:t xml:space="preserve">0.59 kgCO2e/kWh (Average based on recent IEA, MEE, and Ember data for China).</w:t>
      </w:r>
    </w:p>
    <w:p>
      <w:pPr>
        <w:pStyle w:val="FirstParagraph"/>
      </w:pPr>
      <w:r>
        <w:t xml:space="preserve">Direct (Scope 1) emissions from on-site fuel combustion or processes at the manufacturing facility are assumed to be</w:t>
      </w:r>
      <w:r>
        <w:t xml:space="preserve"> </w:t>
      </w:r>
      <w:r>
        <w:t xml:space="preserve">negligible or not provided for this product, focusing primarily on purchased electricity impacts for manufacturing.</w:t>
      </w:r>
    </w:p>
    <w:bookmarkEnd w:id="34"/>
    <w:bookmarkStart w:id="35" w:name="Xae675e621f70b623eae58612fbd78057751bb7a"/>
    <w:p>
      <w:pPr>
        <w:pStyle w:val="Heading3"/>
      </w:pPr>
      <w:r>
        <w:t xml:space="preserve">2.3. Transportation &amp; Distribution (Scope 3 Upstream &amp; Downstream)</w:t>
      </w:r>
    </w:p>
    <w:p>
      <w:pPr>
        <w:pStyle w:val="FirstParagraph"/>
      </w:pPr>
      <w:r>
        <w:t xml:space="preserve">Transportation plays a significant role in the overall carbon footprint, covering both inbound logistics</w:t>
      </w:r>
      <w:r>
        <w:t xml:space="preserve"> </w:t>
      </w:r>
      <w:r>
        <w:t xml:space="preserve">(raw materials, components) and outbound logistics (finished product distribution).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 Weight (Assumed for Transport):</w:t>
      </w:r>
      <w:r>
        <w:t xml:space="preserve"> </w:t>
      </w:r>
      <w:r>
        <w:t xml:space="preserve">0.8 kg (0.0008 tonnes)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Transport Modes:</w:t>
      </w:r>
      <w:r>
        <w:t xml:space="preserve"> </w:t>
      </w:r>
      <w:r>
        <w:t xml:space="preserve">Select Mode (Ocean Freight, Road Freight)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efmijtpkhj (15,000 km ocean, 500 km road main haul, 50 km last-mile)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(Courier Van)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Ocean Freight Emission Factor:</w:t>
      </w:r>
      <w:r>
        <w:t xml:space="preserve"> </w:t>
      </w:r>
      <w:r>
        <w:t xml:space="preserve">0.016 kgCO2e/tonne-km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Road Freight Emission Factor (Heavy Duty Truck):</w:t>
      </w:r>
      <w:r>
        <w:t xml:space="preserve"> </w:t>
      </w:r>
      <w:r>
        <w:t xml:space="preserve">0.08 kgCO2e/tonne-km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Last-Mile Delivery Emission Factor (Courier Van):</w:t>
      </w:r>
      <w:r>
        <w:t xml:space="preserve"> </w:t>
      </w:r>
      <w:r>
        <w:t xml:space="preserve">0.20 kgCO2e/km (assuming allocation per unit)</w:t>
      </w:r>
    </w:p>
    <w:bookmarkEnd w:id="35"/>
    <w:bookmarkStart w:id="36" w:name="use-phase-scope-3-downstream"/>
    <w:p>
      <w:pPr>
        <w:pStyle w:val="Heading3"/>
      </w:pPr>
      <w:r>
        <w:t xml:space="preserve">2.4. Use Phase (Scope 3 Downstream)</w:t>
      </w:r>
    </w:p>
    <w:p>
      <w:pPr>
        <w:pStyle w:val="FirstParagraph"/>
      </w:pPr>
      <w:r>
        <w:t xml:space="preserve">The energy consumed during the product\'s active use contributes to its overall footprint.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sopifuvkmr (5 years)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snqixutjyt (20 kWh/year)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20 kWh/year * 5 years = 100 kWh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Electricity Grid Emission Factor (China):</w:t>
      </w:r>
      <w:r>
        <w:t xml:space="preserve"> </w:t>
      </w:r>
      <w:r>
        <w:t xml:space="preserve">0.59 kgCO2e/kWh</w:t>
      </w:r>
    </w:p>
    <w:bookmarkEnd w:id="36"/>
    <w:bookmarkStart w:id="37" w:name="end-of-life-eol-scope-3-downstream"/>
    <w:p>
      <w:pPr>
        <w:pStyle w:val="Heading3"/>
      </w:pPr>
      <w:r>
        <w:t xml:space="preserve">2.5. End-of-Life (EoL) (Scope 3 Downstream)</w:t>
      </w:r>
    </w:p>
    <w:p>
      <w:pPr>
        <w:pStyle w:val="FirstParagraph"/>
      </w:pPr>
      <w:r>
        <w:t xml:space="preserve">The end-of-life scenario, including recyclability and circular programs, influences the final carbon footprint by</w:t>
      </w:r>
      <w:r>
        <w:t xml:space="preserve"> </w:t>
      </w:r>
      <w:r>
        <w:t xml:space="preserve">potentially avoiding emissions from virgin material production.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pjjpvowsyv (70%)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mexmzmuzge (Active product take-back program covering 80% of returned products for recycling.)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Product Weight:</w:t>
      </w:r>
      <w:r>
        <w:t xml:space="preserve"> </w:t>
      </w:r>
      <w:r>
        <w:t xml:space="preserve">0.8 kg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Landfill Emission Factor (Mixed Waste):</w:t>
      </w:r>
      <w:r>
        <w:t xml:space="preserve"> </w:t>
      </w:r>
      <w:r>
        <w:t xml:space="preserve">0.5 kgCO2e/kg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Recycling Avoided Emission Factor (Credit):</w:t>
      </w:r>
      <w:r>
        <w:t xml:space="preserve"> </w:t>
      </w:r>
      <w:r>
        <w:t xml:space="preserve">-1.0 kgCO2e/kg (average for mixed materials)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9" w:name="product-carbon-footprint-calculation"/>
    <w:p>
      <w:pPr>
        <w:pStyle w:val="Heading2"/>
      </w:pPr>
      <w:r>
        <w:t xml:space="preserve">3. Product Carbon Footprint Calculation</w:t>
      </w:r>
    </w:p>
    <w:bookmarkStart w:id="39" w:name="scope-1-emissions-direct-emissions"/>
    <w:p>
      <w:pPr>
        <w:pStyle w:val="Heading3"/>
      </w:pPr>
      <w:r>
        <w:t xml:space="preserve">3.1. Scope 1 Emissions (Direct Emissions)</w:t>
      </w:r>
    </w:p>
    <w:p>
      <w:pPr>
        <w:pStyle w:val="FirstParagraph"/>
      </w:pPr>
      <w:r>
        <w:t xml:space="preserve">For product iervjsroik, direct (Scope 1) emissions at the manufacturing facility are considered negligible based on the provided parameters.</w:t>
      </w:r>
      <w:r>
        <w:t xml:space="preserve"> </w:t>
      </w:r>
      <w:r>
        <w:t xml:space="preserve">No direct on-site fossil fuel combustion for production specific to this unit is assumed.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On-site fuel combustion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Scope 1 Emissions: 0.00 kgCO2e</w:t>
      </w:r>
    </w:p>
    <w:bookmarkEnd w:id="39"/>
    <w:bookmarkStart w:id="40" w:name="X74867a7b2c16b8de440578aa3f6074c77be2239"/>
    <w:p>
      <w:pPr>
        <w:pStyle w:val="Heading3"/>
      </w:pPr>
      <w:r>
        <w:t xml:space="preserve">3.2. Scope 2 Emissions (Purchased Electricity for Manufacturing)</w:t>
      </w:r>
    </w:p>
    <w:p>
      <w:pPr>
        <w:pStyle w:val="FirstParagraph"/>
      </w:pPr>
      <w:r>
        <w:t xml:space="preserve">These emissions arise from the electricity purchased for the manufacturing process of iervjsroik.</w:t>
      </w:r>
    </w:p>
    <w:p>
      <w:pPr>
        <w:numPr>
          <w:ilvl w:val="0"/>
          <w:numId w:val="1009"/>
        </w:numPr>
        <w:pStyle w:val="Compact"/>
      </w:pPr>
      <w:r>
        <w:t xml:space="preserve">Energy Intensity: 10 kWh/unit (ptyjhsggnh)</w:t>
      </w:r>
    </w:p>
    <w:p>
      <w:pPr>
        <w:numPr>
          <w:ilvl w:val="0"/>
          <w:numId w:val="1009"/>
        </w:numPr>
        <w:pStyle w:val="Compact"/>
      </w:pPr>
      <w:r>
        <w:t xml:space="preserve">Renewable Energy Usage: 40% (qnemveovin)</w:t>
      </w:r>
    </w:p>
    <w:p>
      <w:pPr>
        <w:numPr>
          <w:ilvl w:val="0"/>
          <w:numId w:val="1009"/>
        </w:numPr>
        <w:pStyle w:val="Compact"/>
      </w:pPr>
      <w:r>
        <w:t xml:space="preserve">Non-renewable Electricity: 10 kWh/unit * (1 - 0.40) = 6 kWh/unit</w:t>
      </w:r>
    </w:p>
    <w:p>
      <w:pPr>
        <w:numPr>
          <w:ilvl w:val="0"/>
          <w:numId w:val="1009"/>
        </w:numPr>
        <w:pStyle w:val="Compact"/>
      </w:pPr>
      <w:r>
        <w:t xml:space="preserve">China Grid Electricity Emission Factor: 0.59 kgCO2e/kWh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Purchased Electricity (non-renewable)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kWh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3.54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Scope 2 Emissions: 3.54 kgCO2e</w:t>
      </w:r>
    </w:p>
    <w:bookmarkEnd w:id="40"/>
    <w:bookmarkStart w:id="48" w:name="scope-3-emissions-value-chain-emissions"/>
    <w:p>
      <w:pPr>
        <w:pStyle w:val="Heading3"/>
      </w:pPr>
      <w:r>
        <w:t xml:space="preserve">3.3. Scope 3 Emissions (Value Chain Emissions)</w:t>
      </w:r>
    </w:p>
    <w:bookmarkStart w:id="43" w:name="upstream-emissions"/>
    <w:p>
      <w:pPr>
        <w:pStyle w:val="Heading4"/>
      </w:pPr>
      <w:r>
        <w:t xml:space="preserve">3.3.1. Upstream Emissions</w:t>
      </w:r>
    </w:p>
    <w:p>
      <w:pPr>
        <w:pStyle w:val="FirstParagraph"/>
      </w:pPr>
      <w:r>
        <w:t xml:space="preserve">This category includes emissions from material acquisition and transportation to the factory.</w:t>
      </w:r>
    </w:p>
    <w:bookmarkStart w:id="41" w:name="a.-material-acquisition-pre-processing"/>
    <w:p>
      <w:pPr>
        <w:pStyle w:val="Heading5"/>
      </w:pPr>
      <w:r>
        <w:t xml:space="preserve">a. Material Acquisition &amp; Pre-processing</w:t>
      </w:r>
    </w:p>
    <w:p>
      <w:pPr>
        <w:pStyle w:val="FirstParagraph"/>
      </w:pPr>
      <w:r>
        <w:t xml:space="preserve">Summation of "Total Carbon" from the provided Detailed Bill of Materials (uhwiqrfk).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Metal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Plastic 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Electronic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 Materials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2.62</w:t>
            </w:r>
          </w:p>
        </w:tc>
      </w:tr>
    </w:tbl>
    <w:bookmarkEnd w:id="41"/>
    <w:bookmarkStart w:id="42" w:name="X2caceadbc96be6833225b48bb39014c9f6e7097"/>
    <w:p>
      <w:pPr>
        <w:pStyle w:val="Heading5"/>
      </w:pPr>
      <w:r>
        <w:t xml:space="preserve">b. Transportation to Factory (Inbound Logistics)</w:t>
      </w:r>
    </w:p>
    <w:p>
      <w:pPr>
        <w:pStyle w:val="FirstParagraph"/>
      </w:pPr>
      <w:r>
        <w:t xml:space="preserve">Assuming the 15,000 km ocean freight and 500 km road freight are for inbound materials for one unit.</w:t>
      </w:r>
    </w:p>
    <w:p>
      <w:pPr>
        <w:numPr>
          <w:ilvl w:val="0"/>
          <w:numId w:val="1010"/>
        </w:numPr>
        <w:pStyle w:val="Compact"/>
      </w:pPr>
      <w:r>
        <w:t xml:space="preserve">Product Weight for Transport (assumed): 0.8 kg = 0.0008 tonnes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Transport Mode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Distance (km)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Weight (tonnes)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(kgCO2e/tonne-km)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Ocean Freight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0.192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Road Freight (main haul)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 Inbound Transport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0.224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Scope 3 Upstream Emissions: 2.62 (Materials) + 0.224 (Inbound Transport) = 2.844 kgCO2e</w:t>
      </w:r>
    </w:p>
    <w:bookmarkEnd w:id="42"/>
    <w:bookmarkEnd w:id="43"/>
    <w:bookmarkStart w:id="47" w:name="downstream-emissions"/>
    <w:p>
      <w:pPr>
        <w:pStyle w:val="Heading4"/>
      </w:pPr>
      <w:r>
        <w:t xml:space="preserve">3.3.2. Downstream Emissions</w:t>
      </w:r>
    </w:p>
    <w:p>
      <w:pPr>
        <w:pStyle w:val="FirstParagraph"/>
      </w:pPr>
      <w:r>
        <w:t xml:space="preserve">This category includes emissions from transportation to the customer, product use, and end-of-life treatment.</w:t>
      </w:r>
    </w:p>
    <w:bookmarkStart w:id="44" w:name="X35b737252f439810b832fafa4d97971c584a318"/>
    <w:p>
      <w:pPr>
        <w:pStyle w:val="Heading5"/>
      </w:pPr>
      <w:r>
        <w:t xml:space="preserve">a. Transportation to Customer (Outbound Logistics - Last-Mile)</w:t>
      </w:r>
    </w:p>
    <w:p>
      <w:pPr>
        <w:numPr>
          <w:ilvl w:val="0"/>
          <w:numId w:val="1011"/>
        </w:numPr>
        <w:pStyle w:val="Compact"/>
      </w:pPr>
      <w:r>
        <w:t xml:space="preserve">Last-Mile Distance: 50 km (efmijtpkhj)</w:t>
      </w:r>
    </w:p>
    <w:p>
      <w:pPr>
        <w:numPr>
          <w:ilvl w:val="0"/>
          <w:numId w:val="1011"/>
        </w:numPr>
        <w:pStyle w:val="Compact"/>
      </w:pPr>
      <w:r>
        <w:t xml:space="preserve">Last-Mile Delivery Mode: Courier Van (Delivery Type)</w:t>
      </w:r>
    </w:p>
    <w:p>
      <w:pPr>
        <w:numPr>
          <w:ilvl w:val="0"/>
          <w:numId w:val="1011"/>
        </w:numPr>
        <w:pStyle w:val="Compact"/>
      </w:pPr>
      <w:r>
        <w:t xml:space="preserve">Last-Mile Emission Factor: 0.20 kgCO2e/km (per unit)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Transport Mode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Distance (km)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(kgCO2e/km)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Courier Van (Last-Mile)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 Outbound Transport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10.00</w:t>
            </w:r>
          </w:p>
        </w:tc>
      </w:tr>
    </w:tbl>
    <w:bookmarkEnd w:id="44"/>
    <w:bookmarkStart w:id="45" w:name="b.-use-phase-emissions"/>
    <w:p>
      <w:pPr>
        <w:pStyle w:val="Heading5"/>
      </w:pPr>
      <w:r>
        <w:t xml:space="preserve">b. Use Phase Emissions</w:t>
      </w:r>
    </w:p>
    <w:p>
      <w:pPr>
        <w:numPr>
          <w:ilvl w:val="0"/>
          <w:numId w:val="1012"/>
        </w:numPr>
        <w:pStyle w:val="Compact"/>
      </w:pPr>
      <w:r>
        <w:t xml:space="preserve">Product Lifespan: 5 years (sopifuvkmr)</w:t>
      </w:r>
    </w:p>
    <w:p>
      <w:pPr>
        <w:numPr>
          <w:ilvl w:val="0"/>
          <w:numId w:val="1012"/>
        </w:numPr>
        <w:pStyle w:val="Compact"/>
      </w:pPr>
      <w:r>
        <w:t xml:space="preserve">Energy Consumption in Use: 20 kWh/year (snqixutjyt)</w:t>
      </w:r>
    </w:p>
    <w:p>
      <w:pPr>
        <w:numPr>
          <w:ilvl w:val="0"/>
          <w:numId w:val="1012"/>
        </w:numPr>
        <w:pStyle w:val="Compact"/>
      </w:pPr>
      <w:r>
        <w:t xml:space="preserve">Total Energy Consumption: 100 kWh</w:t>
      </w:r>
    </w:p>
    <w:p>
      <w:pPr>
        <w:numPr>
          <w:ilvl w:val="0"/>
          <w:numId w:val="1012"/>
        </w:numPr>
        <w:pStyle w:val="Compact"/>
      </w:pPr>
      <w:r>
        <w:t xml:space="preserve">Electricity Grid Emission Factor (China): 0.59 kgCO2e/kWh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Energy Consumption (Use Phase)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kWh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 Use Phase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59.00</w:t>
            </w:r>
          </w:p>
        </w:tc>
      </w:tr>
    </w:tbl>
    <w:bookmarkEnd w:id="45"/>
    <w:bookmarkStart w:id="46" w:name="c.-end-of-life-eol-emissions-credits"/>
    <w:p>
      <w:pPr>
        <w:pStyle w:val="Heading5"/>
      </w:pPr>
      <w:r>
        <w:t xml:space="preserve">c. End-of-Life (EoL) Emissions &amp; Credits</w:t>
      </w:r>
    </w:p>
    <w:p>
      <w:pPr>
        <w:numPr>
          <w:ilvl w:val="0"/>
          <w:numId w:val="1013"/>
        </w:numPr>
        <w:pStyle w:val="Compact"/>
      </w:pPr>
      <w:r>
        <w:t xml:space="preserve">Product Weight: 0.8 kg</w:t>
      </w:r>
    </w:p>
    <w:p>
      <w:pPr>
        <w:numPr>
          <w:ilvl w:val="0"/>
          <w:numId w:val="1013"/>
        </w:numPr>
        <w:pStyle w:val="Compact"/>
      </w:pPr>
      <w:r>
        <w:t xml:space="preserve">Recyclability Percentage: 70% (pjjpvowsyv)</w:t>
      </w:r>
    </w:p>
    <w:p>
      <w:pPr>
        <w:numPr>
          <w:ilvl w:val="0"/>
          <w:numId w:val="1013"/>
        </w:numPr>
        <w:pStyle w:val="Compact"/>
      </w:pPr>
      <w:r>
        <w:t xml:space="preserve">Recycled Quantity: 0.8 kg * 0.70 = 0.56 kg</w:t>
      </w:r>
    </w:p>
    <w:p>
      <w:pPr>
        <w:numPr>
          <w:ilvl w:val="0"/>
          <w:numId w:val="1013"/>
        </w:numPr>
        <w:pStyle w:val="Compact"/>
      </w:pPr>
      <w:r>
        <w:t xml:space="preserve">Landfilled Quantity: 0.8 kg * (1 - 0.70) = 0.24 kg</w:t>
      </w:r>
    </w:p>
    <w:p>
      <w:pPr>
        <w:numPr>
          <w:ilvl w:val="0"/>
          <w:numId w:val="1013"/>
        </w:numPr>
        <w:pStyle w:val="Compact"/>
      </w:pPr>
      <w:r>
        <w:t xml:space="preserve">Recycling Avoided Emission Factor: -1.0 kgCO2e/kg</w:t>
      </w:r>
    </w:p>
    <w:p>
      <w:pPr>
        <w:numPr>
          <w:ilvl w:val="0"/>
          <w:numId w:val="1013"/>
        </w:numPr>
        <w:pStyle w:val="Compact"/>
      </w:pPr>
      <w:r>
        <w:t xml:space="preserve">Landfill Emission Factor: 0.5 kgCO2e/kg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Recycling (Credit)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-0.56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Landfilling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Subtotal End-of-Life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-0.44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Scope 3 Downstream Emissions: 10.00 (Outbound Transport) + 59.00 (Use Phase) + (-0.44) (EoL) = 68.56 kgCO2e</w:t>
      </w:r>
    </w:p>
    <w:p>
      <w:r>
        <w:pict>
          <v:rect style="width:0;height:1.5pt" o:hralign="center" o:hrstd="t" o:hr="t"/>
        </w:pict>
      </w:r>
    </w:p>
    <w:bookmarkEnd w:id="46"/>
    <w:bookmarkEnd w:id="47"/>
    <w:bookmarkEnd w:id="48"/>
    <w:bookmarkEnd w:id="49"/>
    <w:bookmarkStart w:id="53" w:name="Xf170962108422d17d438e72b27b2b3ba1c5231a"/>
    <w:p>
      <w:pPr>
        <w:pStyle w:val="Heading2"/>
      </w:pPr>
      <w:r>
        <w:t xml:space="preserve">4. Summary of Product Carbon Footprint (PCF) for iervjsroik</w:t>
      </w:r>
    </w:p>
    <w:bookmarkStart w:id="50" w:name="total-pcf-by-scope"/>
    <w:p>
      <w:pPr>
        <w:pStyle w:val="Heading3"/>
      </w:pPr>
      <w:r>
        <w:t xml:space="preserve">4.1. Total PCF by Scope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 (Purchased Electricity for Manufacturing)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(Upstream &amp; 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71.40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   - Upstream (Materials &amp; Inbound Transport)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   - Downstream (Outbound Transport, Use Phase, EoL)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68.56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74.94</w:t>
            </w:r>
          </w:p>
        </w:tc>
      </w:tr>
    </w:tbl>
    <w:p>
      <w:pPr>
        <w:pStyle w:val="BodyText"/>
      </w:pPr>
      <w:r>
        <w:t xml:space="preserve">The total Product Carbon Footprint for one functional unit of iervjsroik is approximately</w:t>
      </w:r>
      <w:r>
        <w:t xml:space="preserve"> </w:t>
      </w:r>
      <w:r>
        <w:rPr>
          <w:bCs/>
          <w:b/>
        </w:rPr>
        <w:t xml:space="preserve">74.94 kgCO2e</w:t>
      </w:r>
      <w:r>
        <w:t xml:space="preserve">.</w:t>
      </w:r>
    </w:p>
    <w:bookmarkEnd w:id="50"/>
    <w:bookmarkStart w:id="51" w:name="hotspot-analysis"/>
    <w:p>
      <w:pPr>
        <w:pStyle w:val="Heading3"/>
      </w:pPr>
      <w:r>
        <w:t xml:space="preserve">4.2. Hotspot Analysis</w:t>
      </w:r>
    </w:p>
    <w:p>
      <w:pPr>
        <w:pStyle w:val="FirstParagraph"/>
      </w:pPr>
      <w:r>
        <w:t xml:space="preserve">The distribution of emissions across the lifecycle stages highlights key hotspots: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With 59.00 kgCO2e, the energy consumption during the product\'s 5-year lifespan</w:t>
      </w:r>
      <w:r>
        <w:t xml:space="preserve"> </w:t>
      </w:r>
      <w:r>
        <w:t xml:space="preserve">represents the most significant emission hotspot, accounting for approximately 78.7% of the total PCF.</w:t>
      </w:r>
      <w:r>
        <w:t xml:space="preserve"> </w:t>
      </w:r>
      <w:r>
        <w:t xml:space="preserve">This is primarily due to the ongoing electricity consumption from the China grid, which still has a notable</w:t>
      </w:r>
      <w:r>
        <w:t xml:space="preserve"> </w:t>
      </w:r>
      <w:r>
        <w:t xml:space="preserve">carbon intensity.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Outbound Transportation (Last-Mile):</w:t>
      </w:r>
      <w:r>
        <w:t xml:space="preserve"> </w:t>
      </w:r>
      <w:r>
        <w:t xml:space="preserve">The last-mile delivery contributes 10.00 kgCO2e,</w:t>
      </w:r>
      <w:r>
        <w:t xml:space="preserve"> </w:t>
      </w:r>
      <w:r>
        <w:t xml:space="preserve">representing about 13.3% of the total, indicating that inefficient or carbon-intensive last-mile logistics</w:t>
      </w:r>
      <w:r>
        <w:t xml:space="preserve"> </w:t>
      </w:r>
      <w:r>
        <w:t xml:space="preserve">can have a substantial impact.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 Acquisition:</w:t>
      </w:r>
      <w:r>
        <w:t xml:space="preserve"> </w:t>
      </w:r>
      <w:r>
        <w:t xml:space="preserve">The raw materials, particularly the metal casing, contribute 2.62 kgCO2e,</w:t>
      </w:r>
      <w:r>
        <w:t xml:space="preserve"> </w:t>
      </w:r>
      <w:r>
        <w:t xml:space="preserve">around 3.5% of the total. While not the largest share, this is a fundamental component.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Manufacturing (Scope 2):</w:t>
      </w:r>
      <w:r>
        <w:t xml:space="preserve"> </w:t>
      </w:r>
      <w:r>
        <w:t xml:space="preserve">Purchased electricity for manufacturing accounts for 3.54 kgCO2e (4.7%),</w:t>
      </w:r>
      <w:r>
        <w:t xml:space="preserve"> </w:t>
      </w:r>
      <w:r>
        <w:t xml:space="preserve">despite 40% renewable energy usage, indicating room for further decarbonization in production.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End-of-Life:</w:t>
      </w:r>
      <w:r>
        <w:t xml:space="preserve"> </w:t>
      </w:r>
      <w:r>
        <w:t xml:space="preserve">The active take-back program and 70% recyclability lead to a net credit of -0.44 kgCO2e,</w:t>
      </w:r>
      <w:r>
        <w:t xml:space="preserve"> </w:t>
      </w:r>
      <w:r>
        <w:t xml:space="preserve">demonstrating the positive impact of circular economy initiatives.</w:t>
      </w:r>
    </w:p>
    <w:bookmarkEnd w:id="51"/>
    <w:bookmarkStart w:id="52" w:name="reliability-and-limitations"/>
    <w:p>
      <w:pPr>
        <w:pStyle w:val="Heading3"/>
      </w:pPr>
      <w:r>
        <w:t xml:space="preserve">4.3. Reliability and Limitations</w:t>
      </w:r>
    </w:p>
    <w:p>
      <w:pPr>
        <w:pStyle w:val="FirstParagraph"/>
      </w:pPr>
      <w:r>
        <w:t xml:space="preserve">The reliability of this PCF analysis is generally high due to the detailed primary data provided for the BOM,</w:t>
      </w:r>
      <w:r>
        <w:t xml:space="preserve"> </w:t>
      </w:r>
      <w:r>
        <w:t xml:space="preserve">manufacturing energy, and product usage. However, some limitations apply: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Emission Factor Specificity:</w:t>
      </w:r>
      <w:r>
        <w:t xml:space="preserve"> </w:t>
      </w:r>
      <w:r>
        <w:t xml:space="preserve">While industry-standard emission factors are used,</w:t>
      </w:r>
      <w:r>
        <w:t xml:space="preserve"> </w:t>
      </w:r>
      <w:r>
        <w:t xml:space="preserve">some are global or regional averages and may not perfectly reflect the exact supply chain routes</w:t>
      </w:r>
      <w:r>
        <w:t xml:space="preserve"> </w:t>
      </w:r>
      <w:r>
        <w:t xml:space="preserve">or specific technologies used by nkhnxwfsvm\'s suppliers in Europe or China.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Assumptions for Transport:</w:t>
      </w:r>
      <w:r>
        <w:t xml:space="preserve"> </w:t>
      </w:r>
      <w:r>
        <w:t xml:space="preserve">Product weight for transport and the allocation method for last-mile delivery</w:t>
      </w:r>
      <w:r>
        <w:t xml:space="preserve"> </w:t>
      </w:r>
      <w:r>
        <w:t xml:space="preserve">(assuming 0.20 kgCO2e/km is per unit delivery) are assumptions made in the absence of more granular data.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Scope 1 Manufacturing:</w:t>
      </w:r>
      <w:r>
        <w:t xml:space="preserve"> </w:t>
      </w:r>
      <w:r>
        <w:t xml:space="preserve">The assumption of negligible Scope 1 emissions for manufacturing</w:t>
      </w:r>
      <w:r>
        <w:t xml:space="preserve"> </w:t>
      </w:r>
      <w:r>
        <w:t xml:space="preserve">should be verified with primary data if direct fuel consumption at the factory exists.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LSR Standard:</w:t>
      </w:r>
      <w:r>
        <w:t xml:space="preserve"> </w:t>
      </w:r>
      <w:r>
        <w:t xml:space="preserve">While adhering to the 2026 LSR update, specific calculations for land-use change</w:t>
      </w:r>
      <w:r>
        <w:t xml:space="preserve"> </w:t>
      </w:r>
      <w:r>
        <w:t xml:space="preserve">or detailed biogenic carbon fluxes were not possible without direct primary data for these aspects of iervjsroik.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4" w:name="recommendations-for-decarbonization"/>
    <w:p>
      <w:pPr>
        <w:pStyle w:val="Heading2"/>
      </w:pPr>
      <w:r>
        <w:t xml:space="preserve">5. Recommendations for Decarbonization</w:t>
      </w:r>
    </w:p>
    <w:p>
      <w:pPr>
        <w:pStyle w:val="FirstParagraph"/>
      </w:pPr>
      <w:r>
        <w:t xml:space="preserve">Based on the hotspot analysis, nkhnxwfsvm should focus decarbonization efforts on: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Use Phase Optimization:</w:t>
      </w:r>
      <w:r>
        <w:t xml:space="preserve"> </w:t>
      </w:r>
      <w:r>
        <w:t xml:space="preserve">Invest in R&amp;D for more energy-efficient product designs (iervjsroik)</w:t>
      </w:r>
      <w:r>
        <w:t xml:space="preserve"> </w:t>
      </w:r>
      <w:r>
        <w:t xml:space="preserve">and explore opportunities to power the product with renewable energy certificates or offsets during its use phase,</w:t>
      </w:r>
      <w:r>
        <w:t xml:space="preserve"> </w:t>
      </w:r>
      <w:r>
        <w:t xml:space="preserve">especially given its long lifespan and reliance on the grid in China.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Work with logistics partners to optimize transportation routes and modes,</w:t>
      </w:r>
      <w:r>
        <w:t xml:space="preserve"> </w:t>
      </w:r>
      <w:r>
        <w:t xml:space="preserve">prioritizing lower-emission options. For last-mile delivery, explore electric vehicle fleets or consolidate deliveries</w:t>
      </w:r>
      <w:r>
        <w:t xml:space="preserve"> </w:t>
      </w:r>
      <w:r>
        <w:t xml:space="preserve">to reduce per-unit impact.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Renewable Energy in Manufacturing:</w:t>
      </w:r>
      <w:r>
        <w:t xml:space="preserve"> </w:t>
      </w:r>
      <w:r>
        <w:t xml:space="preserve">Further increase the share of renewable energy used in manufacturing</w:t>
      </w:r>
      <w:r>
        <w:t xml:space="preserve"> </w:t>
      </w:r>
      <w:r>
        <w:t xml:space="preserve">facilities beyond the current 40% (qnemveovin) to significantly reduce Scope 2 emissions.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Material Circularity:</w:t>
      </w:r>
      <w:r>
        <w:t xml:space="preserve"> </w:t>
      </w:r>
      <w:r>
        <w:t xml:space="preserve">Continue to strengthen circular economy programs (mexmzmuzge) and explore</w:t>
      </w:r>
      <w:r>
        <w:t xml:space="preserve"> </w:t>
      </w:r>
      <w:r>
        <w:t xml:space="preserve">materials with lower embedded carbon footprints. Maximize the collection and recycling rates beyond 70% (pjjpvowsyv).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Supplier Engagement:</w:t>
      </w:r>
      <w:r>
        <w:t xml:space="preserve"> </w:t>
      </w:r>
      <w:r>
        <w:t xml:space="preserve">Collaborate with suppliers to understand and reduce the embedded emissions</w:t>
      </w:r>
      <w:r>
        <w:t xml:space="preserve"> </w:t>
      </w:r>
      <w:r>
        <w:t xml:space="preserve">in raw materials and components, specifically focusing on high-impact materials like metals.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 X of Y</w:t>
      </w:r>
    </w:p>
    <w:p>
      <w:pPr>
        <w:pStyle w:val="BodyText"/>
      </w:pPr>
      <w:r>
        <w:t xml:space="preserve">© 2026 nkhnxwfsvm. All Rights Reserved.</w:t>
      </w:r>
    </w:p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iervjsroik</dc:title>
  <dc:creator/>
  <dc:description>Detailed Product Carbon Footprint (PCF) analysis report for product iervjsroik, performed for nkhnxwfsvm by Senior Sustainability Consultant mpfiynwpjl, adhering to GHG Protocol standards and 2026 LSR updates.</dc:description>
  <dc:language>en</dc:language>
  <cp:keywords/>
  <dcterms:created xsi:type="dcterms:W3CDTF">2026-07-15T02:35:23Z</dcterms:created>
  <dcterms:modified xsi:type="dcterms:W3CDTF">2026-07-15T02:35:23Z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