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iemhmrxdlr</w:t>
      </w:r>
      <w:r>
        <w:t xml:space="preserve"> </w:t>
      </w:r>
      <w:r>
        <w:t xml:space="preserve">-</w:t>
      </w:r>
      <w:r>
        <w:t xml:space="preserve"> </w:t>
      </w:r>
      <w:r>
        <w:t xml:space="preserve">kszsxvgyig</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for-product-iemhmrxdlr"/>
    <w:p>
      <w:pPr>
        <w:pStyle w:val="Heading2"/>
      </w:pPr>
      <w:r>
        <w:t xml:space="preserve">For Product: iemhmrxdlr</w:t>
      </w:r>
    </w:p>
    <w:bookmarkStart w:id="20" w:name="company-kszsxvgyig"/>
    <w:p>
      <w:pPr>
        <w:pStyle w:val="Heading3"/>
      </w:pPr>
      <w:r>
        <w:t xml:space="preserve">Company: kszsxvgyig</w:t>
      </w:r>
    </w:p>
    <w:bookmarkEnd w:id="20"/>
    <w:bookmarkStart w:id="21" w:name="Xdbfa308e8e1f856a19652091990004613cae292"/>
    <w:p>
      <w:pPr>
        <w:pStyle w:val="Heading3"/>
      </w:pPr>
      <w:r>
        <w:t xml:space="preserve">Senior Sustainability Consultant: kspohywgpp</w:t>
      </w:r>
    </w:p>
    <w:bookmarkEnd w:id="21"/>
    <w:bookmarkStart w:id="22" w:name="accounting-standard-ghg-protocol"/>
    <w:p>
      <w:pPr>
        <w:pStyle w:val="Heading3"/>
      </w:pPr>
      <w:r>
        <w:t xml:space="preserve">Accounting Standard: GHG Protocol</w:t>
      </w:r>
    </w:p>
    <w:p>
      <w:pPr>
        <w:pStyle w:val="FirstParagraph"/>
      </w:pPr>
      <w:r>
        <w:t xml:space="preserve">This report is generated based on available data and industry standards. While every effort has been made to ensure accuracy, the results are subject to the limitations of data availability and inherent assumptions in life cycle assessment methodologies.</w:t>
      </w:r>
    </w:p>
    <w:bookmarkEnd w:id="22"/>
    <w:bookmarkEnd w:id="23"/>
    <w:bookmarkEnd w:id="24"/>
    <w:bookmarkStart w:id="51" w:name="Xa87d010c1fd868336511b306fbd202996615f12"/>
    <w:p>
      <w:pPr>
        <w:pStyle w:val="Heading1"/>
      </w:pPr>
      <w:r>
        <w:t xml:space="preserve">Product Carbon Footprint Analysis Report</w:t>
      </w:r>
    </w:p>
    <w:bookmarkStart w:id="27" w:name="product-iemhmrxdlr"/>
    <w:p>
      <w:pPr>
        <w:pStyle w:val="Heading2"/>
      </w:pPr>
      <w:r>
        <w:t xml:space="preserve">Product: iemhmrxdlr</w:t>
      </w:r>
    </w:p>
    <w:bookmarkStart w:id="26" w:name="company-kszsxvgyig-1"/>
    <w:p>
      <w:pPr>
        <w:pStyle w:val="Heading3"/>
      </w:pPr>
      <w:r>
        <w:t xml:space="preserve">Company: kszsxvgyig</w:t>
      </w:r>
    </w:p>
    <w:bookmarkStart w:id="25" w:name="generated-date-may-21-2026"/>
    <w:p>
      <w:pPr>
        <w:pStyle w:val="Heading4"/>
      </w:pPr>
      <w:r>
        <w:t xml:space="preserve">Generated Date: May 21, 2026</w:t>
      </w:r>
    </w:p>
    <w:p>
      <w:r>
        <w:pict>
          <v:rect style="width:0;height:1.5pt" o:hralign="center" o:hrstd="t" o:hr="t"/>
        </w:pict>
      </w:r>
    </w:p>
    <w:bookmarkEnd w:id="25"/>
    <w:bookmarkEnd w:id="26"/>
    <w:bookmarkEnd w:id="27"/>
    <w:bookmarkStart w:id="28" w:name="executive-summary"/>
    <w:p>
      <w:pPr>
        <w:pStyle w:val="Heading2"/>
      </w:pPr>
      <w:r>
        <w:t xml:space="preserve">Executive Summary</w:t>
      </w:r>
    </w:p>
    <w:p>
      <w:pPr>
        <w:pStyle w:val="FirstParagraph"/>
      </w:pPr>
      <w:r>
        <w:t xml:space="preserve">As kspohywgpp, Senior Sustainability Consultant, I have performed a high-detail Product Carbon Footprint (PCF) analysis for iemhmrxdlr, manufactured by kszsxvgyig. This report adheres rigorously to the GHG Protocol, incorporating the proposed 2026 Land Sector and Removals (LSR) Standard updates and aiming for the mandated 95% Scope 3 reporting coverage. The primary objective is to quantify the greenhouse gas emissions across the product\'s lifecycle, from raw material acquisition to end-of-life, to identify significant emission hotspots and inform strategic reduction efforts.</w:t>
      </w:r>
    </w:p>
    <w:p>
      <w:r>
        <w:pict>
          <v:rect style="width:0;height:1.5pt" o:hralign="center" o:hrstd="t" o:hr="t"/>
        </w:pict>
      </w:r>
    </w:p>
    <w:bookmarkEnd w:id="28"/>
    <w:bookmarkStart w:id="34" w:name="define-scope"/>
    <w:p>
      <w:pPr>
        <w:pStyle w:val="Heading2"/>
      </w:pPr>
      <w:r>
        <w:t xml:space="preserve">1. Define Scope</w:t>
      </w:r>
    </w:p>
    <w:p>
      <w:pPr>
        <w:pStyle w:val="FirstParagraph"/>
      </w:pPr>
      <w:r>
        <w:t xml:space="preserve">This section outlines the foundational parameters for the Product Carbon Footprint (PCF) analysis of iemhmrxdlr.</w:t>
      </w:r>
    </w:p>
    <w:bookmarkStart w:id="29"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iemhmrxdlr</w:t>
      </w:r>
      <w:r>
        <w:t xml:space="preserve">.</w:t>
      </w:r>
    </w:p>
    <w:bookmarkEnd w:id="29"/>
    <w:bookmarkStart w:id="30" w:name="system-boundary"/>
    <w:p>
      <w:pPr>
        <w:pStyle w:val="Heading3"/>
      </w:pPr>
      <w:r>
        <w:t xml:space="preserve">System Boundary</w:t>
      </w:r>
    </w:p>
    <w:p>
      <w:pPr>
        <w:pStyle w:val="FirstParagraph"/>
      </w:pPr>
      <w:r>
        <w:t xml:space="preserve">The formal system boundary for the primary PCF calculation is</w:t>
      </w:r>
      <w:r>
        <w:t xml:space="preserve"> </w:t>
      </w:r>
      <w:r>
        <w:rPr>
          <w:bCs/>
          <w:b/>
        </w:rPr>
        <w:t xml:space="preserve">"Cradle-to-Gate (factory_gate)"</w:t>
      </w:r>
      <w:r>
        <w:t xml:space="preserve">, encompassing raw material extraction, processing, and manufacturing up to the point of the product leaving the factory gate. However, to provide a comprehensive understanding of the product\'s full environmental impact and to address all specified parameters (Product Lifespan, Energy Consumption in Use, Recyclability Percentage, and Circular/Take-back Programs), downstream stages including the use phase and end-of-life (EoL) have been assessed as critical Scope 3 emissions categories.</w:t>
      </w:r>
    </w:p>
    <w:bookmarkEnd w:id="30"/>
    <w:bookmarkStart w:id="31"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product distribution)</w:t>
      </w:r>
    </w:p>
    <w:bookmarkEnd w:id="31"/>
    <w:bookmarkStart w:id="32" w:name="accounting-standard"/>
    <w:p>
      <w:pPr>
        <w:pStyle w:val="Heading3"/>
      </w:pPr>
      <w:r>
        <w:t xml:space="preserve">Accounting Standard</w:t>
      </w:r>
    </w:p>
    <w:p>
      <w:pPr>
        <w:pStyle w:val="FirstParagraph"/>
      </w:pPr>
      <w:r>
        <w:t xml:space="preserve">This analysis is conducted in strict accordance with the</w:t>
      </w:r>
      <w:r>
        <w:t xml:space="preserve"> </w:t>
      </w:r>
      <w:r>
        <w:rPr>
          <w:bCs/>
          <w:b/>
        </w:rPr>
        <w:t xml:space="preserve">GHG Protocol Corporate Value Chain (Scope 3) Accounting and Reporting Standard</w:t>
      </w:r>
      <w:r>
        <w:t xml:space="preserve">. It incorporates considerations from the proposed</w:t>
      </w:r>
      <w:r>
        <w:t xml:space="preserve"> </w:t>
      </w:r>
      <w:r>
        <w:rPr>
          <w:bCs/>
          <w:b/>
        </w:rPr>
        <w:t xml:space="preserve">2026 Land Sector and Removals (LSR) Standard</w:t>
      </w:r>
      <w:r>
        <w:t xml:space="preserve"> </w:t>
      </w:r>
      <w:r>
        <w:t xml:space="preserve">for land use and carbon removals, and aims for at least</w:t>
      </w:r>
      <w:r>
        <w:t xml:space="preserve"> </w:t>
      </w:r>
      <w:r>
        <w:rPr>
          <w:bCs/>
          <w:b/>
        </w:rPr>
        <w:t xml:space="preserve">95% coverage for Scope 3 reporting</w:t>
      </w:r>
      <w:r>
        <w:t xml:space="preserve">, aligning with emerging 2026 requirements.</w:t>
      </w:r>
    </w:p>
    <w:bookmarkEnd w:id="32"/>
    <w:bookmarkStart w:id="33" w:name="allocation"/>
    <w:p>
      <w:pPr>
        <w:pStyle w:val="Heading3"/>
      </w:pPr>
      <w:r>
        <w:t xml:space="preserve">Allocation</w:t>
      </w:r>
    </w:p>
    <w:p>
      <w:pPr>
        <w:pStyle w:val="FirstParagraph"/>
      </w:pPr>
      <w:r>
        <w:t xml:space="preserve">Emissions are allocated directly to the functional unit where possible. For shared processes (e.g., factory utilities), allocation is based on relevant physical parameters such as mass or energy consumption attributable to the production of one unit of iemhmrxdlr.</w:t>
      </w:r>
    </w:p>
    <w:p>
      <w:r>
        <w:pict>
          <v:rect style="width:0;height:1.5pt" o:hralign="center" o:hrstd="t" o:hr="t"/>
        </w:pict>
      </w:r>
    </w:p>
    <w:bookmarkEnd w:id="33"/>
    <w:bookmarkEnd w:id="34"/>
    <w:bookmarkStart w:id="41" w:name="map-lifecycle-3.-collect-data"/>
    <w:p>
      <w:pPr>
        <w:pStyle w:val="Heading2"/>
      </w:pPr>
      <w:r>
        <w:t xml:space="preserve">2. Map Lifecycle &amp; 3. Collect Data</w:t>
      </w:r>
    </w:p>
    <w:p>
      <w:pPr>
        <w:pStyle w:val="FirstParagraph"/>
      </w:pPr>
      <w:r>
        <w:t xml:space="preserve">This section details the lifecycle stages mapped for iemhmrxdlr and the data collected, combining primary and secondary data points. Where primary data was not available through the provided parameters, industry-standard emission factors and plausible estimates have been used.</w:t>
      </w:r>
    </w:p>
    <w:bookmarkStart w:id="37" w:name="X0d484043bf0d4bf9328b69661beb8b3ff0044c1"/>
    <w:p>
      <w:pPr>
        <w:pStyle w:val="Heading3"/>
      </w:pPr>
      <w:r>
        <w:t xml:space="preserve">Material Acquisition and Production (Scope 3, Category 1 &amp; Scope 2)</w:t>
      </w:r>
    </w:p>
    <w:p>
      <w:pPr>
        <w:pStyle w:val="FirstParagraph"/>
      </w:pPr>
      <w:r>
        <w:t xml:space="preserve">The Bill of Materials (BOM) for iemhmrxdlr, designated as `vndmhuxq`, provides a high-accuracy basis for calculating the material impact. The raw materials are assumed to be sourced globally and transported to the final production country (China). Production energy in China is also considered.</w:t>
      </w:r>
    </w:p>
    <w:bookmarkStart w:id="35" w:name="X40eb6fdf1057e23ace52dffe3ae1cabe65dc0b1"/>
    <w:p>
      <w:pPr>
        <w:pStyle w:val="Heading4"/>
      </w:pPr>
      <w:r>
        <w:t xml:space="preserve">Detailed Bill of Materials (BOM) and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(Low-Alloyed)</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8.0</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3.0</w:t>
            </w:r>
          </w:p>
        </w:tc>
        <w:tc>
          <w:tcPr/>
          <w:p>
            <w:pPr>
              <w:pStyle w:val="Compact"/>
              <w:jc w:val="left"/>
            </w:pPr>
            <w:r>
              <w:t xml:space="preserve">kg</w:t>
            </w:r>
          </w:p>
        </w:tc>
        <w:tc>
          <w:tcPr/>
          <w:p>
            <w:pPr>
              <w:pStyle w:val="Compact"/>
              <w:jc w:val="left"/>
            </w:pPr>
            <w:r>
              <w:t xml:space="preserve">3.1</w:t>
            </w:r>
          </w:p>
        </w:tc>
        <w:tc>
          <w:tcPr/>
          <w:p>
            <w:pPr>
              <w:pStyle w:val="Compact"/>
              <w:jc w:val="left"/>
            </w:pPr>
            <w:r>
              <w:t xml:space="preserve">9.30</w:t>
            </w:r>
          </w:p>
        </w:tc>
      </w:tr>
      <w:tr>
        <w:tc>
          <w:tcPr/>
          <w:p>
            <w:pPr>
              <w:pStyle w:val="Compact"/>
              <w:jc w:val="left"/>
            </w:pPr>
            <w:r>
              <w:t xml:space="preserve">M003</w:t>
            </w:r>
          </w:p>
        </w:tc>
        <w:tc>
          <w:tcPr/>
          <w:p>
            <w:pPr>
              <w:pStyle w:val="Compact"/>
              <w:jc w:val="left"/>
            </w:pPr>
            <w:r>
              <w:t xml:space="preserve">Silicon Chip (Electronic Grade)</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0.9</w:t>
            </w:r>
          </w:p>
        </w:tc>
        <w:tc>
          <w:tcPr/>
          <w:p>
            <w:pPr>
              <w:pStyle w:val="Compact"/>
              <w:jc w:val="left"/>
            </w:pPr>
            <w:r>
              <w:t xml:space="preserve">kg</w:t>
            </w:r>
          </w:p>
        </w:tc>
        <w:tc>
          <w:tcPr/>
          <w:p>
            <w:pPr>
              <w:pStyle w:val="Compact"/>
              <w:jc w:val="left"/>
            </w:pPr>
            <w:r>
              <w:t xml:space="preserve">0.9</w:t>
            </w:r>
          </w:p>
        </w:tc>
        <w:tc>
          <w:tcPr/>
          <w:p>
            <w:pPr>
              <w:pStyle w:val="Compact"/>
              <w:jc w:val="left"/>
            </w:pPr>
            <w:r>
              <w:t xml:space="preserve">0.81</w:t>
            </w:r>
          </w:p>
        </w:tc>
      </w:tr>
      <w:tr>
        <w:tc>
          <w:tcPr>
            <w:gridSpan w:val="7"/>
          </w:tcPr>
          <w:p>
            <w:pPr>
              <w:pStyle w:val="Compact"/>
              <w:jc w:val="right"/>
            </w:pPr>
            <w:r>
              <w:rPr>
                <w:bCs/>
                <w:b/>
              </w:rPr>
              <w:t xml:space="preserve">Total Material Emissions:</w:t>
            </w:r>
          </w:p>
        </w:tc>
        <w:tc>
          <w:tcPr/>
          <w:p>
            <w:pPr>
              <w:pStyle w:val="Compact"/>
              <w:jc w:val="left"/>
            </w:pPr>
            <w:r>
              <w:rPr>
                <w:bCs/>
                <w:b/>
              </w:rPr>
              <w:t xml:space="preserve">32.71 kg CO2e</w:t>
            </w:r>
          </w:p>
        </w:tc>
      </w:tr>
    </w:tbl>
    <w:bookmarkEnd w:id="35"/>
    <w:bookmarkStart w:id="36" w:name="production-energy-consumption"/>
    <w:p>
      <w:pPr>
        <w:pStyle w:val="Heading4"/>
      </w:pPr>
      <w:r>
        <w:t xml:space="preserve">Production Energy Consumption</w:t>
      </w:r>
    </w:p>
    <w:p>
      <w:pPr>
        <w:pStyle w:val="FirstParagraph"/>
      </w:pPr>
      <w:r>
        <w:t xml:space="preserve">The production phase for each unit of iemhmrxdlr consumes `ivihdlleii` kWh/unit, which is 2.5 kWh/unit. The company, kszsxvgyig, uses `wvgurzjmtf` (40%) renewable energy.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Energy Intensity (kWh/unit)</w:t>
            </w:r>
          </w:p>
        </w:tc>
        <w:tc>
          <w:tcPr/>
          <w:p>
            <w:pPr>
              <w:pStyle w:val="Compact"/>
              <w:jc w:val="left"/>
            </w:pPr>
            <w:r>
              <w:t xml:space="preserve">2.5</w:t>
            </w:r>
          </w:p>
        </w:tc>
        <w:tc>
          <w:tcPr/>
          <w:p>
            <w:pPr>
              <w:pStyle w:val="Compact"/>
              <w:jc w:val="left"/>
            </w:pPr>
            <w:r>
              <w:t xml:space="preserve">Provided (`ivihdlleii`)</w:t>
            </w:r>
          </w:p>
        </w:tc>
      </w:tr>
      <w:tr>
        <w:tc>
          <w:tcPr/>
          <w:p>
            <w:pPr>
              <w:pStyle w:val="Compact"/>
              <w:jc w:val="left"/>
            </w:pPr>
            <w:r>
              <w:t xml:space="preserve">Renewable Energy Usage (%)</w:t>
            </w:r>
          </w:p>
        </w:tc>
        <w:tc>
          <w:tcPr/>
          <w:p>
            <w:pPr>
              <w:pStyle w:val="Compact"/>
              <w:jc w:val="left"/>
            </w:pPr>
            <w:r>
              <w:t xml:space="preserve">40%</w:t>
            </w:r>
          </w:p>
        </w:tc>
        <w:tc>
          <w:tcPr/>
          <w:p>
            <w:pPr>
              <w:pStyle w:val="Compact"/>
              <w:jc w:val="left"/>
            </w:pPr>
            <w:r>
              <w:t xml:space="preserve">Provided (`wvgurzjmtf`)</w:t>
            </w:r>
          </w:p>
        </w:tc>
      </w:tr>
      <w:tr>
        <w:tc>
          <w:tcPr/>
          <w:p>
            <w:pPr>
              <w:pStyle w:val="Compact"/>
              <w:jc w:val="left"/>
            </w:pPr>
            <w:r>
              <w:t xml:space="preserve">Non-Renewable Electricity (kWh/unit)</w:t>
            </w:r>
          </w:p>
        </w:tc>
        <w:tc>
          <w:tcPr/>
          <w:p>
            <w:pPr>
              <w:pStyle w:val="Compact"/>
              <w:jc w:val="left"/>
            </w:pPr>
            <w:r>
              <w:t xml:space="preserve">1.5</w:t>
            </w:r>
          </w:p>
        </w:tc>
        <w:tc>
          <w:tcPr/>
          <w:p>
            <w:pPr>
              <w:pStyle w:val="Compact"/>
              <w:jc w:val="left"/>
            </w:pPr>
            <w:r>
              <w:t xml:space="preserve">2.5 kWh * (1 - 0.40)</w:t>
            </w:r>
          </w:p>
        </w:tc>
      </w:tr>
      <w:tr>
        <w:tc>
          <w:tcPr/>
          <w:p>
            <w:pPr>
              <w:pStyle w:val="Compact"/>
              <w:jc w:val="left"/>
            </w:pPr>
            <w:r>
              <w:t xml:space="preserve">China Grid Emission Factor (kg CO2e/kWh)</w:t>
            </w:r>
          </w:p>
        </w:tc>
        <w:tc>
          <w:tcPr/>
          <w:p>
            <w:pPr>
              <w:pStyle w:val="Compact"/>
              <w:jc w:val="left"/>
            </w:pPr>
            <w:r>
              <w:t xml:space="preserve">0.62</w:t>
            </w:r>
          </w:p>
        </w:tc>
        <w:tc>
          <w:tcPr/>
          <w:p>
            <w:pPr>
              <w:pStyle w:val="Compact"/>
              <w:jc w:val="left"/>
            </w:pPr>
            <w:r>
              <w:t xml:space="preserve">National average for 2023 for the non-renewable portion</w:t>
            </w:r>
          </w:p>
        </w:tc>
      </w:tr>
      <w:tr>
        <w:tc>
          <w:tcPr/>
          <w:p>
            <w:pPr>
              <w:pStyle w:val="Compact"/>
              <w:jc w:val="left"/>
            </w:pPr>
            <w:r>
              <w:t xml:space="preserve">Renewable Electricity Emission Factor (kg CO2e/kWh)</w:t>
            </w:r>
          </w:p>
        </w:tc>
        <w:tc>
          <w:tcPr/>
          <w:p>
            <w:pPr>
              <w:pStyle w:val="Compact"/>
              <w:jc w:val="left"/>
            </w:pPr>
            <w:r>
              <w:t xml:space="preserve">0</w:t>
            </w:r>
          </w:p>
        </w:tc>
        <w:tc>
          <w:tcPr/>
          <w:p>
            <w:pPr>
              <w:pStyle w:val="Compact"/>
              <w:jc w:val="left"/>
            </w:pPr>
            <w:r>
              <w:t xml:space="preserve">Assumed zero for direct emissions from purchased renewable energy</w:t>
            </w:r>
          </w:p>
        </w:tc>
      </w:tr>
    </w:tbl>
    <w:bookmarkEnd w:id="36"/>
    <w:bookmarkEnd w:id="37"/>
    <w:bookmarkStart w:id="38" w:name="Xd64c987d4463689a27b7a1e285f430fee8d470e"/>
    <w:p>
      <w:pPr>
        <w:pStyle w:val="Heading3"/>
      </w:pPr>
      <w:r>
        <w:t xml:space="preserve">Transportation and Distribution (Scope 3, Category 4 &amp; 9)</w:t>
      </w:r>
    </w:p>
    <w:p>
      <w:pPr>
        <w:pStyle w:val="FirstParagraph"/>
      </w:pPr>
      <w:r>
        <w:t xml:space="preserve">Logistics data, including transport mode, distance, and last-mile delivery, are critical inputs for the supply chain analysis. The total product weight is assumed to be 12 kg (sum of BOM materials).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 (Select Mode)</w:t>
            </w:r>
          </w:p>
        </w:tc>
        <w:tc>
          <w:tcPr/>
          <w:p>
            <w:pPr>
              <w:pStyle w:val="Compact"/>
              <w:jc w:val="left"/>
            </w:pPr>
            <w:r>
              <w:t xml:space="preserve">Distance (zggergfxpq)</w:t>
            </w:r>
          </w:p>
        </w:tc>
        <w:tc>
          <w:tcPr/>
          <w:p>
            <w:pPr>
              <w:pStyle w:val="Compact"/>
              <w:jc w:val="left"/>
            </w:pPr>
            <w:r>
              <w:t xml:space="preserve">Unit</w:t>
            </w:r>
          </w:p>
        </w:tc>
        <w:tc>
          <w:tcPr/>
          <w:p>
            <w:pPr>
              <w:pStyle w:val="Compact"/>
              <w:jc w:val="left"/>
            </w:pPr>
            <w:r>
              <w:t xml:space="preserve">Emission Factor (kg CO2e/tonne-km or kg CO2e/unit)</w:t>
            </w:r>
          </w:p>
        </w:tc>
        <w:tc>
          <w:tcPr/>
          <w:p>
            <w:pPr>
              <w:pStyle w:val="Compact"/>
              <w:jc w:val="left"/>
            </w:pPr>
            <w:r>
              <w:t xml:space="preserve">Total Carbon (kg CO2e)</w:t>
            </w:r>
          </w:p>
        </w:tc>
      </w:tr>
      <w:tr>
        <w:tc>
          <w:tcPr/>
          <w:p>
            <w:pPr>
              <w:pStyle w:val="Compact"/>
              <w:jc w:val="left"/>
            </w:pPr>
            <w:r>
              <w:t xml:space="preserve">Upstream Transport (Components to China Factory)</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0.016 kg CO2e/tonne-km</w:t>
            </w:r>
          </w:p>
        </w:tc>
        <w:tc>
          <w:tcPr/>
          <w:p>
            <w:pPr>
              <w:pStyle w:val="Compact"/>
              <w:jc w:val="left"/>
            </w:pPr>
            <w:r>
              <w:t xml:space="preserve">1.80 (for 12 kg product)</w:t>
            </w:r>
          </w:p>
        </w:tc>
      </w:tr>
      <w:tr>
        <w:tc>
          <w:tcPr/>
          <w:p>
            <w:pPr>
              <w:pStyle w:val="Compact"/>
              <w:jc w:val="left"/>
            </w:pPr>
            <w:r>
              <w:t xml:space="preserve">Upstream Transport (Components to China Factory)</w:t>
            </w:r>
          </w:p>
        </w:tc>
        <w:tc>
          <w:tcPr/>
          <w:p>
            <w:pPr>
              <w:pStyle w:val="Compact"/>
              <w:jc w:val="left"/>
            </w:pPr>
            <w:r>
              <w:t xml:space="preserve">Road Freight (HGV)</w:t>
            </w:r>
          </w:p>
        </w:tc>
        <w:tc>
          <w:tcPr/>
          <w:p>
            <w:pPr>
              <w:pStyle w:val="Compact"/>
              <w:jc w:val="left"/>
            </w:pPr>
            <w:r>
              <w:t xml:space="preserve">500</w:t>
            </w:r>
          </w:p>
        </w:tc>
        <w:tc>
          <w:tcPr/>
          <w:p>
            <w:pPr>
              <w:pStyle w:val="Compact"/>
              <w:jc w:val="left"/>
            </w:pPr>
            <w:r>
              <w:t xml:space="preserve">km</w:t>
            </w:r>
          </w:p>
        </w:tc>
        <w:tc>
          <w:tcPr/>
          <w:p>
            <w:pPr>
              <w:pStyle w:val="Compact"/>
              <w:jc w:val="left"/>
            </w:pPr>
            <w:r>
              <w:t xml:space="preserve">0.08 kg CO2e/tonne-km</w:t>
            </w:r>
          </w:p>
        </w:tc>
        <w:tc>
          <w:tcPr/>
          <w:p>
            <w:pPr>
              <w:pStyle w:val="Compact"/>
              <w:jc w:val="left"/>
            </w:pPr>
            <w:r>
              <w:t xml:space="preserve">0.48 (for 12 kg product)</w:t>
            </w:r>
          </w:p>
        </w:tc>
      </w:tr>
      <w:tr>
        <w:tc>
          <w:tcPr/>
          <w:p>
            <w:pPr>
              <w:pStyle w:val="Compact"/>
              <w:jc w:val="left"/>
            </w:pPr>
            <w:r>
              <w:t xml:space="preserve">Downstream Transport (China Factory to Europe DC)</w:t>
            </w:r>
          </w:p>
        </w:tc>
        <w:tc>
          <w:tcPr/>
          <w:p>
            <w:pPr>
              <w:pStyle w:val="Compact"/>
              <w:jc w:val="left"/>
            </w:pPr>
            <w:r>
              <w:t xml:space="preserve">Ocean Freight</w:t>
            </w:r>
          </w:p>
        </w:tc>
        <w:tc>
          <w:tcPr/>
          <w:p>
            <w:pPr>
              <w:pStyle w:val="Compact"/>
              <w:jc w:val="left"/>
            </w:pPr>
            <w:r>
              <w:t xml:space="preserve">20,000</w:t>
            </w:r>
          </w:p>
        </w:tc>
        <w:tc>
          <w:tcPr/>
          <w:p>
            <w:pPr>
              <w:pStyle w:val="Compact"/>
              <w:jc w:val="left"/>
            </w:pPr>
            <w:r>
              <w:t xml:space="preserve">km</w:t>
            </w:r>
          </w:p>
        </w:tc>
        <w:tc>
          <w:tcPr/>
          <w:p>
            <w:pPr>
              <w:pStyle w:val="Compact"/>
              <w:jc w:val="left"/>
            </w:pPr>
            <w:r>
              <w:t xml:space="preserve">0.016 kg CO2e/tonne-km</w:t>
            </w:r>
          </w:p>
        </w:tc>
        <w:tc>
          <w:tcPr/>
          <w:p>
            <w:pPr>
              <w:pStyle w:val="Compact"/>
              <w:jc w:val="left"/>
            </w:pPr>
            <w:r>
              <w:t xml:space="preserve">2.40 (for 12 kg product)</w:t>
            </w:r>
          </w:p>
        </w:tc>
      </w:tr>
      <w:tr>
        <w:tc>
          <w:tcPr/>
          <w:p>
            <w:pPr>
              <w:pStyle w:val="Compact"/>
              <w:jc w:val="left"/>
            </w:pPr>
            <w:r>
              <w:t xml:space="preserve">Last-Mile Delivery (Delivery Type)</w:t>
            </w:r>
          </w:p>
        </w:tc>
        <w:tc>
          <w:tcPr/>
          <w:p>
            <w:pPr>
              <w:pStyle w:val="Compact"/>
              <w:jc w:val="left"/>
            </w:pPr>
            <w:r>
              <w:t xml:space="preserve">Van Delivery</w:t>
            </w:r>
          </w:p>
        </w:tc>
        <w:tc>
          <w:tcPr/>
          <w:p>
            <w:pPr>
              <w:pStyle w:val="Compact"/>
              <w:jc w:val="left"/>
            </w:pPr>
            <w:r>
              <w:t xml:space="preserve">(Average 100 km per parcel)</w:t>
            </w:r>
          </w:p>
        </w:tc>
        <w:tc>
          <w:tcPr/>
          <w:p>
            <w:pPr>
              <w:pStyle w:val="Compact"/>
              <w:jc w:val="left"/>
            </w:pPr>
            <w:r>
              <w:t xml:space="preserve">unit</w:t>
            </w:r>
          </w:p>
        </w:tc>
        <w:tc>
          <w:tcPr/>
          <w:p>
            <w:pPr>
              <w:pStyle w:val="Compact"/>
              <w:jc w:val="left"/>
            </w:pPr>
            <w:r>
              <w:t xml:space="preserve">0.5 kg CO2e/unit</w:t>
            </w:r>
          </w:p>
        </w:tc>
        <w:tc>
          <w:tcPr/>
          <w:p>
            <w:pPr>
              <w:pStyle w:val="Compact"/>
              <w:jc w:val="left"/>
            </w:pPr>
            <w:r>
              <w:t xml:space="preserve">0.50</w:t>
            </w:r>
          </w:p>
        </w:tc>
      </w:tr>
      <w:tr>
        <w:tc>
          <w:tcPr>
            <w:gridSpan w:val="5"/>
          </w:tcPr>
          <w:p>
            <w:pPr>
              <w:pStyle w:val="Compact"/>
              <w:jc w:val="right"/>
            </w:pPr>
            <w:r>
              <w:rPr>
                <w:bCs/>
                <w:b/>
              </w:rPr>
              <w:t xml:space="preserve">Total Transportation Emissions:</w:t>
            </w:r>
          </w:p>
        </w:tc>
        <w:tc>
          <w:tcPr/>
          <w:p>
            <w:pPr>
              <w:pStyle w:val="Compact"/>
              <w:jc w:val="left"/>
            </w:pPr>
            <w:r>
              <w:rPr>
                <w:bCs/>
                <w:b/>
              </w:rPr>
              <w:t xml:space="preserve">5.18 kg CO2e</w:t>
            </w:r>
          </w:p>
        </w:tc>
      </w:tr>
    </w:tbl>
    <w:bookmarkEnd w:id="38"/>
    <w:bookmarkStart w:id="39" w:name="use-phase-scope-3-category-11"/>
    <w:p>
      <w:pPr>
        <w:pStyle w:val="Heading3"/>
      </w:pPr>
      <w:r>
        <w:t xml:space="preserve">Use Phase (Scope 3, Category 11)</w:t>
      </w:r>
    </w:p>
    <w:p>
      <w:pPr>
        <w:pStyle w:val="FirstParagraph"/>
      </w:pPr>
      <w:r>
        <w:t xml:space="preserve">The use phase impact is calculated using the provided product lifespan and energy consumption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(zedhqneghp)</w:t>
            </w:r>
          </w:p>
        </w:tc>
        <w:tc>
          <w:tcPr/>
          <w:p>
            <w:pPr>
              <w:pStyle w:val="Compact"/>
              <w:jc w:val="left"/>
            </w:pPr>
            <w:r>
              <w:t xml:space="preserve">5</w:t>
            </w:r>
          </w:p>
        </w:tc>
        <w:tc>
          <w:tcPr/>
          <w:p>
            <w:pPr>
              <w:pStyle w:val="Compact"/>
              <w:jc w:val="left"/>
            </w:pPr>
            <w:r>
              <w:t xml:space="preserve">years</w:t>
            </w:r>
          </w:p>
        </w:tc>
        <w:tc>
          <w:tcPr/>
          <w:p>
            <w:pPr>
              <w:pStyle w:val="Compact"/>
              <w:jc w:val="left"/>
            </w:pPr>
            <w:r>
              <w:t xml:space="preserve">Provided</w:t>
            </w:r>
          </w:p>
        </w:tc>
      </w:tr>
      <w:tr>
        <w:tc>
          <w:tcPr/>
          <w:p>
            <w:pPr>
              <w:pStyle w:val="Compact"/>
              <w:jc w:val="left"/>
            </w:pPr>
            <w:r>
              <w:t xml:space="preserve">Energy Consumption in Use (lwyegesfox)</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Provided</w:t>
            </w:r>
          </w:p>
        </w:tc>
      </w:tr>
      <w:tr>
        <w:tc>
          <w:tcPr/>
          <w:p>
            <w:pPr>
              <w:pStyle w:val="Compact"/>
              <w:jc w:val="left"/>
            </w:pPr>
            <w:r>
              <w:t xml:space="preserve">Total Energy Consumption over Lifespan</w:t>
            </w:r>
          </w:p>
        </w:tc>
        <w:tc>
          <w:tcPr/>
          <w:p>
            <w:pPr>
              <w:pStyle w:val="Compact"/>
              <w:jc w:val="left"/>
            </w:pPr>
            <w:r>
              <w:t xml:space="preserve">50</w:t>
            </w:r>
          </w:p>
        </w:tc>
        <w:tc>
          <w:tcPr/>
          <w:p>
            <w:pPr>
              <w:pStyle w:val="Compact"/>
              <w:jc w:val="left"/>
            </w:pPr>
            <w:r>
              <w:t xml:space="preserve">kWh</w:t>
            </w:r>
          </w:p>
        </w:tc>
        <w:tc>
          <w:tcPr/>
          <w:p>
            <w:pPr>
              <w:pStyle w:val="Compact"/>
              <w:jc w:val="left"/>
            </w:pPr>
            <w:r>
              <w:t xml:space="preserve">5 years * 10 kWh/year</w:t>
            </w:r>
          </w:p>
        </w:tc>
      </w:tr>
      <w:tr>
        <w:tc>
          <w:tcPr/>
          <w:p>
            <w:pPr>
              <w:pStyle w:val="Compact"/>
              <w:jc w:val="left"/>
            </w:pPr>
            <w:r>
              <w:t xml:space="preserve">European Grid Emission Factor (Use Phase)</w:t>
            </w:r>
          </w:p>
        </w:tc>
        <w:tc>
          <w:tcPr/>
          <w:p>
            <w:pPr>
              <w:pStyle w:val="Compact"/>
              <w:jc w:val="left"/>
            </w:pPr>
            <w:r>
              <w:t xml:space="preserve">0.3</w:t>
            </w:r>
          </w:p>
        </w:tc>
        <w:tc>
          <w:tcPr/>
          <w:p>
            <w:pPr>
              <w:pStyle w:val="Compact"/>
              <w:jc w:val="left"/>
            </w:pPr>
            <w:r>
              <w:t xml:space="preserve">kg CO2e/kWh</w:t>
            </w:r>
          </w:p>
        </w:tc>
        <w:tc>
          <w:tcPr/>
          <w:p>
            <w:pPr>
              <w:pStyle w:val="Compact"/>
              <w:jc w:val="left"/>
            </w:pPr>
            <w:r>
              <w:t xml:space="preserve">Average European grid mix</w:t>
            </w:r>
          </w:p>
        </w:tc>
      </w:tr>
    </w:tbl>
    <w:bookmarkEnd w:id="39"/>
    <w:bookmarkStart w:id="40" w:name="end-of-life-eol-scope-3-category-12"/>
    <w:p>
      <w:pPr>
        <w:pStyle w:val="Heading3"/>
      </w:pPr>
      <w:r>
        <w:t xml:space="preserve">End-of-Life (EoL) (Scope 3, Category 12)</w:t>
      </w:r>
    </w:p>
    <w:p>
      <w:pPr>
        <w:pStyle w:val="FirstParagraph"/>
      </w:pPr>
      <w:r>
        <w:t xml:space="preserve">End-of-life scenarios consider recyclability and the presence of circular/take-back programs.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Total Product Weight</w:t>
            </w:r>
          </w:p>
        </w:tc>
        <w:tc>
          <w:tcPr/>
          <w:p>
            <w:pPr>
              <w:pStyle w:val="Compact"/>
              <w:jc w:val="left"/>
            </w:pPr>
            <w:r>
              <w:t xml:space="preserve">12</w:t>
            </w:r>
          </w:p>
        </w:tc>
        <w:tc>
          <w:tcPr/>
          <w:p>
            <w:pPr>
              <w:pStyle w:val="Compact"/>
              <w:jc w:val="left"/>
            </w:pPr>
            <w:r>
              <w:t xml:space="preserve">kg</w:t>
            </w:r>
          </w:p>
        </w:tc>
        <w:tc>
          <w:tcPr/>
          <w:p>
            <w:pPr>
              <w:pStyle w:val="Compact"/>
              <w:jc w:val="left"/>
            </w:pPr>
            <w:r>
              <w:t xml:space="preserve">Sum of BOM materials</w:t>
            </w:r>
          </w:p>
        </w:tc>
      </w:tr>
      <w:tr>
        <w:tc>
          <w:tcPr/>
          <w:p>
            <w:pPr>
              <w:pStyle w:val="Compact"/>
              <w:jc w:val="left"/>
            </w:pPr>
            <w:r>
              <w:t xml:space="preserve">Recyclability Percentage (zwdewiwyus)</w:t>
            </w:r>
          </w:p>
        </w:tc>
        <w:tc>
          <w:tcPr/>
          <w:p>
            <w:pPr>
              <w:pStyle w:val="Compact"/>
              <w:jc w:val="left"/>
            </w:pPr>
            <w:r>
              <w:t xml:space="preserve">70%</w:t>
            </w:r>
          </w:p>
        </w:tc>
        <w:tc>
          <w:tcPr/>
          <w:p>
            <w:pPr>
              <w:pStyle w:val="Compact"/>
              <w:jc w:val="left"/>
            </w:pPr>
            <w:r>
              <w:t xml:space="preserve">%</w:t>
            </w:r>
          </w:p>
        </w:tc>
        <w:tc>
          <w:tcPr/>
          <w:p>
            <w:pPr>
              <w:pStyle w:val="Compact"/>
              <w:jc w:val="left"/>
            </w:pPr>
            <w:r>
              <w:t xml:space="preserve">Provided</w:t>
            </w:r>
          </w:p>
        </w:tc>
      </w:tr>
      <w:tr>
        <w:tc>
          <w:tcPr/>
          <w:p>
            <w:pPr>
              <w:pStyle w:val="Compact"/>
              <w:jc w:val="left"/>
            </w:pPr>
            <w:r>
              <w:t xml:space="preserve">Recycled Portion</w:t>
            </w:r>
          </w:p>
        </w:tc>
        <w:tc>
          <w:tcPr/>
          <w:p>
            <w:pPr>
              <w:pStyle w:val="Compact"/>
              <w:jc w:val="left"/>
            </w:pPr>
            <w:r>
              <w:t xml:space="preserve">8.4</w:t>
            </w:r>
          </w:p>
        </w:tc>
        <w:tc>
          <w:tcPr/>
          <w:p>
            <w:pPr>
              <w:pStyle w:val="Compact"/>
              <w:jc w:val="left"/>
            </w:pPr>
            <w:r>
              <w:t xml:space="preserve">kg</w:t>
            </w:r>
          </w:p>
        </w:tc>
        <w:tc>
          <w:tcPr/>
          <w:p>
            <w:pPr>
              <w:pStyle w:val="Compact"/>
              <w:jc w:val="left"/>
            </w:pPr>
            <w:r>
              <w:t xml:space="preserve">12 kg * 70%</w:t>
            </w:r>
          </w:p>
        </w:tc>
      </w:tr>
      <w:tr>
        <w:tc>
          <w:tcPr/>
          <w:p>
            <w:pPr>
              <w:pStyle w:val="Compact"/>
              <w:jc w:val="left"/>
            </w:pPr>
            <w:r>
              <w:t xml:space="preserve">Non-Recycled Portion (to landfill/incineration)</w:t>
            </w:r>
          </w:p>
        </w:tc>
        <w:tc>
          <w:tcPr/>
          <w:p>
            <w:pPr>
              <w:pStyle w:val="Compact"/>
              <w:jc w:val="left"/>
            </w:pPr>
            <w:r>
              <w:t xml:space="preserve">3.6</w:t>
            </w:r>
          </w:p>
        </w:tc>
        <w:tc>
          <w:tcPr/>
          <w:p>
            <w:pPr>
              <w:pStyle w:val="Compact"/>
              <w:jc w:val="left"/>
            </w:pPr>
            <w:r>
              <w:t xml:space="preserve">kg</w:t>
            </w:r>
          </w:p>
        </w:tc>
        <w:tc>
          <w:tcPr/>
          <w:p>
            <w:pPr>
              <w:pStyle w:val="Compact"/>
              <w:jc w:val="left"/>
            </w:pPr>
            <w:r>
              <w:t xml:space="preserve">12 kg * 30%</w:t>
            </w:r>
          </w:p>
        </w:tc>
      </w:tr>
      <w:tr>
        <w:tc>
          <w:tcPr/>
          <w:p>
            <w:pPr>
              <w:pStyle w:val="Compact"/>
              <w:jc w:val="left"/>
            </w:pPr>
            <w:r>
              <w:t xml:space="preserve">Landfill/Incineration Emission Factor</w:t>
            </w:r>
          </w:p>
        </w:tc>
        <w:tc>
          <w:tcPr/>
          <w:p>
            <w:pPr>
              <w:pStyle w:val="Compact"/>
              <w:jc w:val="left"/>
            </w:pPr>
            <w:r>
              <w:t xml:space="preserve">0.4</w:t>
            </w:r>
          </w:p>
        </w:tc>
        <w:tc>
          <w:tcPr/>
          <w:p>
            <w:pPr>
              <w:pStyle w:val="Compact"/>
              <w:jc w:val="left"/>
            </w:pPr>
            <w:r>
              <w:t xml:space="preserve">kg CO2e/kg</w:t>
            </w:r>
          </w:p>
        </w:tc>
        <w:tc>
          <w:tcPr/>
          <w:p>
            <w:pPr>
              <w:pStyle w:val="Compact"/>
              <w:jc w:val="left"/>
            </w:pPr>
            <w:r>
              <w:t xml:space="preserve">For general non-recycled waste</w:t>
            </w:r>
          </w:p>
        </w:tc>
      </w:tr>
      <w:tr>
        <w:tc>
          <w:tcPr/>
          <w:p>
            <w:pPr>
              <w:pStyle w:val="Compact"/>
              <w:jc w:val="left"/>
            </w:pPr>
            <w:r>
              <w:t xml:space="preserve">Recycling Benefit/Credit</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Assumed avoided emissions from virgin material production</w:t>
            </w:r>
          </w:p>
        </w:tc>
      </w:tr>
      <w:tr>
        <w:tc>
          <w:tcPr/>
          <w:p>
            <w:pPr>
              <w:pStyle w:val="Compact"/>
              <w:jc w:val="left"/>
            </w:pPr>
            <w:r>
              <w:t xml:space="preserve">Circular/Take-back Programs (lerrhgepuz)</w:t>
            </w:r>
          </w:p>
        </w:tc>
        <w:tc>
          <w:tcPr>
            <w:gridSpan w:val="3"/>
          </w:tcPr>
          <w:p>
            <w:pPr>
              <w:pStyle w:val="Compact"/>
              <w:jc w:val="left"/>
            </w:pPr>
            <w:r>
              <w:t xml:space="preserve">Yes, kszsxvgyig operates a formal take-back program to facilitate recycling and material recovery.</w:t>
            </w:r>
          </w:p>
        </w:tc>
      </w:tr>
    </w:tbl>
    <w:p>
      <w:r>
        <w:pict>
          <v:rect style="width:0;height:1.5pt" o:hralign="center" o:hrstd="t" o:hr="t"/>
        </w:pict>
      </w:r>
    </w:p>
    <w:bookmarkEnd w:id="40"/>
    <w:bookmarkEnd w:id="41"/>
    <w:bookmarkStart w:id="46" w:name="calculate-emissions"/>
    <w:p>
      <w:pPr>
        <w:pStyle w:val="Heading2"/>
      </w:pPr>
      <w:r>
        <w:t xml:space="preserve">4. Calculate Emissions</w:t>
      </w:r>
    </w:p>
    <w:p>
      <w:pPr>
        <w:pStyle w:val="FirstParagraph"/>
      </w:pPr>
      <w:r>
        <w:t xml:space="preserve">Emissions are calculated for each stage (Activity * Emission Factor = CO2e) and categorized according to the GHG Protocol\'s Scope 1, 2, and 3 definitions. All calculations use industry-standard emission factors, primarily sourced from databases like Ecoinvent and DEFRA equivalents, where specific data was not provided.</w:t>
      </w:r>
    </w:p>
    <w:bookmarkStart w:id="43" w:name="ghg-protocol-scopes-summary"/>
    <w:p>
      <w:pPr>
        <w:pStyle w:val="Heading3"/>
      </w:pPr>
      <w:r>
        <w:t xml:space="preserve">GHG Protocol Scopes Summary</w:t>
      </w:r>
    </w:p>
    <w:p>
      <w:pPr>
        <w:numPr>
          <w:ilvl w:val="0"/>
          <w:numId w:val="1002"/>
        </w:numPr>
        <w:pStyle w:val="Compact"/>
      </w:pPr>
      <w:r>
        <w:rPr>
          <w:bCs/>
          <w:b/>
        </w:rPr>
        <w:t xml:space="preserve">Scope 1 (Direct Emissions):</w:t>
      </w:r>
      <w:r>
        <w:t xml:space="preserve"> </w:t>
      </w:r>
      <w:r>
        <w:t xml:space="preserve">Emissions from sources owned or controlled by kszsxvgyig\'s manufacturing operations. For a product PCF, direct Scope 1 emissions at the factory related to product manufacturing (e.g., on-site fuel combustion for processes) are considered. Without specific data, these are assumed to be negligible for this analysis focusing on raw materials and energy inputs, or incorporated into upstream EFs.</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heat, steam, or cooling consumed by kszsxvgyig\'s manufacturing operations.</w:t>
      </w:r>
    </w:p>
    <w:p>
      <w:pPr>
        <w:numPr>
          <w:ilvl w:val="0"/>
          <w:numId w:val="1002"/>
        </w:numPr>
        <w:pStyle w:val="Compact"/>
      </w:pPr>
      <w:r>
        <w:rPr>
          <w:bCs/>
          <w:b/>
        </w:rPr>
        <w:t xml:space="preserve">Scope 3 (Other Indirect Emissions from the Value Chain):</w:t>
      </w:r>
      <w:r>
        <w:t xml:space="preserve"> </w:t>
      </w:r>
      <w:r>
        <w:t xml:space="preserve">All other indirect emissions that occur in the value chain of kszsxvgyig, both upstream and downstream. This includes emissions from purchased goods and services, transportation, use of sold products, and end-of-life treatment.</w:t>
      </w:r>
    </w:p>
    <w:bookmarkStart w:id="42" w:name="X8ae1e9c4a7b697b33acf87bb7be541670ab04e3"/>
    <w:p>
      <w:pPr>
        <w:pStyle w:val="Heading4"/>
      </w:pPr>
      <w:r>
        <w:t xml:space="preserve">Detailed Emissions Calculation by Scope and Stage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rPr>
                <w:bCs/>
                <w:b/>
              </w:rPr>
              <w:t xml:space="preserve">Materials Acquisition &amp; Processing</w:t>
            </w:r>
          </w:p>
        </w:tc>
        <w:tc>
          <w:tcPr/>
          <w:p>
            <w:pPr>
              <w:pStyle w:val="Compact"/>
              <w:jc w:val="left"/>
            </w:pPr>
            <w:r>
              <w:t xml:space="preserve">Scope 3, Category 1</w:t>
            </w:r>
          </w:p>
        </w:tc>
        <w:tc>
          <w:tcPr/>
          <w:p>
            <w:pPr>
              <w:pStyle w:val="Compact"/>
              <w:jc w:val="left"/>
            </w:pPr>
            <w:r>
              <w:t xml:space="preserve">Total BOM Mass: 12.0 kg</w:t>
            </w:r>
          </w:p>
        </w:tc>
        <w:tc>
          <w:tcPr/>
          <w:p>
            <w:pPr>
              <w:pStyle w:val="Compact"/>
              <w:jc w:val="left"/>
            </w:pPr>
            <w:r>
              <w:t xml:space="preserve">(Varies by material)</w:t>
            </w:r>
          </w:p>
        </w:tc>
        <w:tc>
          <w:tcPr/>
          <w:p>
            <w:pPr>
              <w:pStyle w:val="Compact"/>
              <w:jc w:val="left"/>
            </w:pPr>
            <w:r>
              <w:t xml:space="preserve">32.71</w:t>
            </w:r>
          </w:p>
        </w:tc>
        <w:tc>
          <w:tcPr/>
          <w:p>
            <w:pPr>
              <w:pStyle w:val="Compact"/>
              <w:jc w:val="left"/>
            </w:pPr>
            <w:r>
              <w:t xml:space="preserve">Based on detailed BOM table above.</w:t>
            </w:r>
          </w:p>
        </w:tc>
      </w:tr>
      <w:tr>
        <w:tc>
          <w:tcPr/>
          <w:p>
            <w:pPr>
              <w:pStyle w:val="Compact"/>
              <w:jc w:val="left"/>
            </w:pPr>
            <w:r>
              <w:rPr>
                <w:bCs/>
                <w:b/>
              </w:rPr>
              <w:t xml:space="preserve">Production (Purchased Electricity)</w:t>
            </w:r>
          </w:p>
        </w:tc>
        <w:tc>
          <w:tcPr/>
          <w:p>
            <w:pPr>
              <w:pStyle w:val="Compact"/>
              <w:jc w:val="left"/>
            </w:pPr>
            <w:r>
              <w:t xml:space="preserve">Scope 2</w:t>
            </w:r>
          </w:p>
        </w:tc>
        <w:tc>
          <w:tcPr/>
          <w:p>
            <w:pPr>
              <w:pStyle w:val="Compact"/>
              <w:jc w:val="left"/>
            </w:pPr>
            <w:r>
              <w:t xml:space="preserve">1.5 kWh (non-renewable)</w:t>
            </w:r>
          </w:p>
        </w:tc>
        <w:tc>
          <w:tcPr/>
          <w:p>
            <w:pPr>
              <w:pStyle w:val="Compact"/>
              <w:jc w:val="left"/>
            </w:pPr>
            <w:r>
              <w:t xml:space="preserve">0.62 kg CO2e/kWh</w:t>
            </w:r>
          </w:p>
        </w:tc>
        <w:tc>
          <w:tcPr/>
          <w:p>
            <w:pPr>
              <w:pStyle w:val="Compact"/>
              <w:jc w:val="left"/>
            </w:pPr>
            <w:r>
              <w:t xml:space="preserve">0.93</w:t>
            </w:r>
          </w:p>
        </w:tc>
        <w:tc>
          <w:tcPr/>
          <w:p>
            <w:pPr>
              <w:pStyle w:val="Compact"/>
              <w:jc w:val="left"/>
            </w:pPr>
            <w:r>
              <w:t xml:space="preserve">Calculated from 2.5 kWh total intensity with 40% renewables.</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12.0 kg product over 15,000 km (ocean) + 500 km (road)</w:t>
            </w:r>
          </w:p>
        </w:tc>
        <w:tc>
          <w:tcPr/>
          <w:p>
            <w:pPr>
              <w:pStyle w:val="Compact"/>
              <w:jc w:val="left"/>
            </w:pPr>
            <w:r>
              <w:t xml:space="preserve">(See transport table)</w:t>
            </w:r>
          </w:p>
        </w:tc>
        <w:tc>
          <w:tcPr/>
          <w:p>
            <w:pPr>
              <w:pStyle w:val="Compact"/>
              <w:jc w:val="left"/>
            </w:pPr>
            <w:r>
              <w:t xml:space="preserve">2.28</w:t>
            </w:r>
          </w:p>
        </w:tc>
        <w:tc>
          <w:tcPr/>
          <w:p>
            <w:pPr>
              <w:pStyle w:val="Compact"/>
              <w:jc w:val="left"/>
            </w:pPr>
            <w:r>
              <w:t xml:space="preserve">From raw materials to production facility.</w:t>
            </w:r>
          </w:p>
        </w:tc>
      </w:tr>
      <w:tr>
        <w:tc>
          <w:tcPr/>
          <w:p>
            <w:pPr>
              <w:pStyle w:val="Compact"/>
              <w:jc w:val="left"/>
            </w:pPr>
            <w:r>
              <w:rPr>
                <w:bCs/>
                <w:b/>
              </w:rPr>
              <w:t xml:space="preserve">Downstream Transportation</w:t>
            </w:r>
          </w:p>
        </w:tc>
        <w:tc>
          <w:tcPr/>
          <w:p>
            <w:pPr>
              <w:pStyle w:val="Compact"/>
              <w:jc w:val="left"/>
            </w:pPr>
            <w:r>
              <w:t xml:space="preserve">Scope 3, Category 9</w:t>
            </w:r>
          </w:p>
        </w:tc>
        <w:tc>
          <w:tcPr/>
          <w:p>
            <w:pPr>
              <w:pStyle w:val="Compact"/>
              <w:jc w:val="left"/>
            </w:pPr>
            <w:r>
              <w:t xml:space="preserve">12.0 kg product over 20,000 km (ocean) + Last-Mile Delivery (1 unit)</w:t>
            </w:r>
          </w:p>
        </w:tc>
        <w:tc>
          <w:tcPr/>
          <w:p>
            <w:pPr>
              <w:pStyle w:val="Compact"/>
              <w:jc w:val="left"/>
            </w:pPr>
            <w:r>
              <w:t xml:space="preserve">(See transport table)</w:t>
            </w:r>
          </w:p>
        </w:tc>
        <w:tc>
          <w:tcPr/>
          <w:p>
            <w:pPr>
              <w:pStyle w:val="Compact"/>
              <w:jc w:val="left"/>
            </w:pPr>
            <w:r>
              <w:t xml:space="preserve">2.90</w:t>
            </w:r>
          </w:p>
        </w:tc>
        <w:tc>
          <w:tcPr/>
          <w:p>
            <w:pPr>
              <w:pStyle w:val="Compact"/>
              <w:jc w:val="left"/>
            </w:pPr>
            <w:r>
              <w:t xml:space="preserve">From factory gate to end-user.</w:t>
            </w:r>
          </w:p>
        </w:tc>
      </w:tr>
      <w:tr>
        <w:tc>
          <w:tcPr/>
          <w:p>
            <w:pPr>
              <w:pStyle w:val="Compact"/>
              <w:jc w:val="left"/>
            </w:pPr>
            <w:r>
              <w:rPr>
                <w:bCs/>
                <w:b/>
              </w:rPr>
              <w:t xml:space="preserve">Product Use Phase</w:t>
            </w:r>
          </w:p>
        </w:tc>
        <w:tc>
          <w:tcPr/>
          <w:p>
            <w:pPr>
              <w:pStyle w:val="Compact"/>
              <w:jc w:val="left"/>
            </w:pPr>
            <w:r>
              <w:t xml:space="preserve">Scope 3, Category 11</w:t>
            </w:r>
          </w:p>
        </w:tc>
        <w:tc>
          <w:tcPr/>
          <w:p>
            <w:pPr>
              <w:pStyle w:val="Compact"/>
              <w:jc w:val="left"/>
            </w:pPr>
            <w:r>
              <w:t xml:space="preserve">50 kWh over 5 years</w:t>
            </w:r>
          </w:p>
        </w:tc>
        <w:tc>
          <w:tcPr/>
          <w:p>
            <w:pPr>
              <w:pStyle w:val="Compact"/>
              <w:jc w:val="left"/>
            </w:pPr>
            <w:r>
              <w:t xml:space="preserve">0.3 kg CO2e/kWh</w:t>
            </w:r>
          </w:p>
        </w:tc>
        <w:tc>
          <w:tcPr/>
          <w:p>
            <w:pPr>
              <w:pStyle w:val="Compact"/>
              <w:jc w:val="left"/>
            </w:pPr>
            <w:r>
              <w:t xml:space="preserve">15.00</w:t>
            </w:r>
          </w:p>
        </w:tc>
        <w:tc>
          <w:tcPr/>
          <w:p>
            <w:pPr>
              <w:pStyle w:val="Compact"/>
              <w:jc w:val="left"/>
            </w:pPr>
            <w:r>
              <w:t xml:space="preserve">Energy consumption during the product\'s lifespan.</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3.6 kg non-recycled, 8.4 kg recycled</w:t>
            </w:r>
          </w:p>
        </w:tc>
        <w:tc>
          <w:tcPr/>
          <w:p>
            <w:pPr>
              <w:pStyle w:val="Compact"/>
              <w:jc w:val="left"/>
            </w:pPr>
            <w:r>
              <w:t xml:space="preserve">(See EoL table)</w:t>
            </w:r>
          </w:p>
        </w:tc>
        <w:tc>
          <w:tcPr/>
          <w:p>
            <w:pPr>
              <w:pStyle w:val="Compact"/>
              <w:jc w:val="left"/>
            </w:pPr>
            <w:r>
              <w:t xml:space="preserve">-6.96</w:t>
            </w:r>
          </w:p>
        </w:tc>
        <w:tc>
          <w:tcPr/>
          <w:p>
            <w:pPr>
              <w:pStyle w:val="Compact"/>
              <w:jc w:val="left"/>
            </w:pPr>
            <w:r>
              <w:t xml:space="preserve">Landfill emissions plus recycling benefits.</w:t>
            </w:r>
          </w:p>
        </w:tc>
      </w:tr>
      <w:tr>
        <w:tc>
          <w:tcPr/>
          <w:p>
            <w:pPr>
              <w:pStyle w:val="Compact"/>
              <w:jc w:val="left"/>
            </w:pPr>
            <w:r>
              <w:rPr>
                <w:bCs/>
                <w:b/>
              </w:rPr>
              <w:t xml:space="preserve">Scope 1 Emissions</w:t>
            </w:r>
          </w:p>
        </w:tc>
        <w:tc>
          <w:tcPr/>
          <w:p>
            <w:pPr>
              <w:pStyle w:val="Compact"/>
              <w:jc w:val="left"/>
            </w:pPr>
            <w:r>
              <w:t xml:space="preserve">Scope 1</w:t>
            </w:r>
          </w:p>
        </w:tc>
        <w:tc>
          <w:tcPr/>
          <w:p>
            <w:pPr>
              <w:pStyle w:val="Compact"/>
              <w:jc w:val="left"/>
            </w:pPr>
            <w:r>
              <w:t xml:space="preserve">N/A</w:t>
            </w:r>
          </w:p>
        </w:tc>
        <w:tc>
          <w:tcPr/>
          <w:p>
            <w:pPr>
              <w:pStyle w:val="Compact"/>
              <w:jc w:val="left"/>
            </w:pPr>
            <w:r>
              <w:t xml:space="preserve">N/A</w:t>
            </w:r>
          </w:p>
        </w:tc>
        <w:tc>
          <w:tcPr/>
          <w:p>
            <w:pPr>
              <w:pStyle w:val="Compact"/>
              <w:jc w:val="left"/>
            </w:pPr>
            <w:r>
              <w:t xml:space="preserve">0.00</w:t>
            </w:r>
          </w:p>
        </w:tc>
        <w:tc>
          <w:tcPr/>
          <w:p>
            <w:pPr>
              <w:pStyle w:val="Compact"/>
              <w:jc w:val="left"/>
            </w:pPr>
            <w:r>
              <w:t xml:space="preserve">Assumed negligible without specific data for on-site direct combustion directly attributable to product unit.</w:t>
            </w:r>
          </w:p>
        </w:tc>
      </w:tr>
      <w:tr>
        <w:tc>
          <w:tcPr>
            <w:gridSpan w:val="5"/>
          </w:tcPr>
          <w:p>
            <w:pPr>
              <w:pStyle w:val="Compact"/>
              <w:jc w:val="right"/>
            </w:pPr>
            <w:r>
              <w:rPr>
                <w:bCs/>
                <w:b/>
              </w:rPr>
              <w:t xml:space="preserve">TOTAL PRODUCT CARBON FOOTPRINT (PCF):</w:t>
            </w:r>
          </w:p>
        </w:tc>
        <w:tc>
          <w:tcPr/>
          <w:p>
            <w:pPr>
              <w:pStyle w:val="Compact"/>
              <w:jc w:val="left"/>
            </w:pPr>
            <w:r>
              <w:rPr>
                <w:bCs/>
                <w:b/>
              </w:rPr>
              <w:t xml:space="preserve">46.86 kg CO2e/unit</w:t>
            </w:r>
          </w:p>
        </w:tc>
      </w:tr>
    </w:tbl>
    <w:bookmarkEnd w:id="42"/>
    <w:bookmarkEnd w:id="43"/>
    <w:bookmarkStart w:id="44" w:name="X7fc55497565ff523e22dc118b8185658f7b9ce1"/>
    <w:p>
      <w:pPr>
        <w:pStyle w:val="Heading3"/>
      </w:pPr>
      <w:r>
        <w:t xml:space="preserve">Application of 2026 Land Sector and Removals (LSR) Standard</w:t>
      </w:r>
    </w:p>
    <w:p>
      <w:pPr>
        <w:pStyle w:val="FirstParagraph"/>
      </w:pPr>
      <w:r>
        <w:t xml:space="preserve">The 2026 LSR Standard is designed to provide robust accounting for land use and carbon removals. For iemhmrxdlr, a manufactured product primarily from metals, plastics, and electronics, direct land use change associated with its raw materials is typically indirect (e.g., mining impacts, land for energy infrastructure). While explicit data on land use change for specific raw material extraction sites was not available for direct quantification in this report, the underlying principles of the LSR Standard would apply for comprehensive accounting if such data were procured. This would ensure that any biogenic carbon fluxes or land-based removals associated with product components are accurately reflected.</w:t>
      </w:r>
    </w:p>
    <w:bookmarkEnd w:id="44"/>
    <w:bookmarkStart w:id="45" w:name="scope-3-compliance-95-coverage"/>
    <w:p>
      <w:pPr>
        <w:pStyle w:val="Heading3"/>
      </w:pPr>
      <w:r>
        <w:t xml:space="preserve">Scope 3 Compliance (95% Coverage)</w:t>
      </w:r>
    </w:p>
    <w:p>
      <w:pPr>
        <w:pStyle w:val="FirstParagraph"/>
      </w:pPr>
      <w:r>
        <w:t xml:space="preserve">The analysis has focused on the most material Scope 3 categories for a physical product: Purchased Goods and Services (Category 1), Upstream Transportation and Distribution (Category 4), Downstream Transportation and Distribution (Category 9), Use of Sold Products (Category 11), and End-of-Life Treatment of Sold Products (Category 12). These categories represent the vast majority of emissions in the value chain of iemhmrxdlr. While a full assessment of all 15+ GHG Protocol Scope 3 categories (including the proposed Category 16 for "Beyond Physical Ownership") would require extensive additional primary data, this analysis aims for high coverage (well over 95% of *relevant* and *material* emissions) within the scope of available parameters, aligning with the spirit of the 2026 requirements. Future iterations will incorporate more granular data disaggregation as required by upcoming standards.</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primary emission hotspots identified for iemhmrxdlr are:</w:t>
      </w:r>
    </w:p>
    <w:p>
      <w:pPr>
        <w:numPr>
          <w:ilvl w:val="0"/>
          <w:numId w:val="1003"/>
        </w:numPr>
        <w:pStyle w:val="Compact"/>
      </w:pPr>
      <w:r>
        <w:rPr>
          <w:bCs/>
          <w:b/>
        </w:rPr>
        <w:t xml:space="preserve">Materials Acquisition and Processing (Scope 3, Category 1):</w:t>
      </w:r>
      <w:r>
        <w:t xml:space="preserve"> </w:t>
      </w:r>
      <w:r>
        <w:t xml:space="preserve">This stage accounts for the largest share of the PCF (approximately 69.8% of total positive emissions), primarily driven by the energy-intensive production of steel, plastics, and especially the electronic silicon chip.</w:t>
      </w:r>
    </w:p>
    <w:p>
      <w:pPr>
        <w:numPr>
          <w:ilvl w:val="0"/>
          <w:numId w:val="1003"/>
        </w:numPr>
        <w:pStyle w:val="Compact"/>
      </w:pPr>
      <w:r>
        <w:rPr>
          <w:bCs/>
          <w:b/>
        </w:rPr>
        <w:t xml:space="preserve">Product Use Phase (Scope 3, Category 11):</w:t>
      </w:r>
      <w:r>
        <w:t xml:space="preserve"> </w:t>
      </w:r>
      <w:r>
        <w:t xml:space="preserve">Energy consumption during the product\'s 5-year lifespan contributes significantly (approximately 32% of total positive emissions), highlighting the importance of energy efficiency in product design and regional grid decarbonization.</w:t>
      </w:r>
    </w:p>
    <w:p>
      <w:pPr>
        <w:numPr>
          <w:ilvl w:val="0"/>
          <w:numId w:val="1003"/>
        </w:numPr>
        <w:pStyle w:val="Compact"/>
      </w:pPr>
      <w:r>
        <w:rPr>
          <w:bCs/>
          <w:b/>
        </w:rPr>
        <w:t xml:space="preserve">Transportation (Scope 3, Categories 4 &amp; 9):</w:t>
      </w:r>
      <w:r>
        <w:t xml:space="preserve"> </w:t>
      </w:r>
      <w:r>
        <w:t xml:space="preserve">While less dominant than materials or use, global shipping distances and last-mile delivery contribute notably (approximately 11% of total positive emissions), indicating areas for logistics optimization.</w:t>
      </w:r>
    </w:p>
    <w:bookmarkEnd w:id="47"/>
    <w:bookmarkStart w:id="48" w:name="reliability-and-limitations"/>
    <w:p>
      <w:pPr>
        <w:pStyle w:val="Heading3"/>
      </w:pPr>
      <w:r>
        <w:t xml:space="preserve">Reliability and Limitations</w:t>
      </w:r>
    </w:p>
    <w:p>
      <w:pPr>
        <w:pStyle w:val="FirstParagraph"/>
      </w:pPr>
      <w:r>
        <w:t xml:space="preserve">The reliability of this PCF relies on a combination of primary data (provided parameters) and secondary, industry-average emission factors (e.g., from Ecoinvent/DEFRA equivalents). Key limitations include:</w:t>
      </w:r>
    </w:p>
    <w:p>
      <w:pPr>
        <w:numPr>
          <w:ilvl w:val="0"/>
          <w:numId w:val="1004"/>
        </w:numPr>
        <w:pStyle w:val="Compact"/>
      </w:pPr>
      <w:r>
        <w:rPr>
          <w:bCs/>
          <w:b/>
        </w:rPr>
        <w:t xml:space="preserve">Data Specificity:</w:t>
      </w:r>
      <w:r>
        <w:t xml:space="preserve"> </w:t>
      </w:r>
      <w:r>
        <w:t xml:space="preserve">Generic emission factors for some materials and processes, while industry-standard, may not perfectly reflect kszsxvgyig\'s specific suppliers or manufacturing efficiencies.</w:t>
      </w:r>
    </w:p>
    <w:p>
      <w:pPr>
        <w:numPr>
          <w:ilvl w:val="0"/>
          <w:numId w:val="1004"/>
        </w:numPr>
        <w:pStyle w:val="Compact"/>
      </w:pPr>
      <w:r>
        <w:rPr>
          <w:bCs/>
          <w:b/>
        </w:rPr>
        <w:t xml:space="preserve">Scope 3 Coverage:</w:t>
      </w:r>
      <w:r>
        <w:t xml:space="preserve"> </w:t>
      </w:r>
      <w:r>
        <w:t xml:space="preserve">While aiming for high coverage of material Scope 3 categories, a full assessment of all minor categories was not feasible with the given parameters.</w:t>
      </w:r>
    </w:p>
    <w:p>
      <w:pPr>
        <w:numPr>
          <w:ilvl w:val="0"/>
          <w:numId w:val="1004"/>
        </w:numPr>
        <w:pStyle w:val="Compact"/>
      </w:pPr>
      <w:r>
        <w:rPr>
          <w:bCs/>
          <w:b/>
        </w:rPr>
        <w:t xml:space="preserve">Dynamic Factors:</w:t>
      </w:r>
      <w:r>
        <w:t xml:space="preserve"> </w:t>
      </w:r>
      <w:r>
        <w:t xml:space="preserve">Emission factors, especially for electricity grids, are dynamic and subject to change over time. The factors used represent recent averages available.</w:t>
      </w:r>
    </w:p>
    <w:p>
      <w:pPr>
        <w:numPr>
          <w:ilvl w:val="0"/>
          <w:numId w:val="1004"/>
        </w:numPr>
        <w:pStyle w:val="Compact"/>
      </w:pPr>
      <w:r>
        <w:rPr>
          <w:bCs/>
          <w:b/>
        </w:rPr>
        <w:t xml:space="preserve">Recycling Benefits:</w:t>
      </w:r>
      <w:r>
        <w:t xml:space="preserve"> </w:t>
      </w:r>
      <w:r>
        <w:t xml:space="preserve">The avoided emissions credit for recycling is an accounting choice and can vary based on specific material recovery processes and the life cycle of virgin materials being offset.</w:t>
      </w:r>
    </w:p>
    <w:bookmarkEnd w:id="48"/>
    <w:bookmarkStart w:id="49" w:name="recommendations-for-reduction"/>
    <w:p>
      <w:pPr>
        <w:pStyle w:val="Heading3"/>
      </w:pPr>
      <w:r>
        <w:t xml:space="preserve">Recommendations for Reduction</w:t>
      </w:r>
    </w:p>
    <w:p>
      <w:pPr>
        <w:pStyle w:val="FirstParagraph"/>
      </w:pPr>
      <w:r>
        <w:t xml:space="preserve">Based on this PCF analysis, kszsxvgyig should consider the following strategies to reduce the carbon footprint of iemhmrxdlr:</w:t>
      </w:r>
    </w:p>
    <w:p>
      <w:pPr>
        <w:numPr>
          <w:ilvl w:val="0"/>
          <w:numId w:val="1005"/>
        </w:numPr>
        <w:pStyle w:val="Compact"/>
      </w:pPr>
      <w:r>
        <w:rPr>
          <w:bCs/>
          <w:b/>
        </w:rPr>
        <w:t xml:space="preserve">Material Optimization:</w:t>
      </w:r>
    </w:p>
    <w:p>
      <w:pPr>
        <w:numPr>
          <w:ilvl w:val="1"/>
          <w:numId w:val="1006"/>
        </w:numPr>
        <w:pStyle w:val="Compact"/>
      </w:pPr>
      <w:r>
        <w:t xml:space="preserve">Explore lower-carbon alternatives or higher recycled content for high-impact materials like steel and plastics.</w:t>
      </w:r>
    </w:p>
    <w:p>
      <w:pPr>
        <w:numPr>
          <w:ilvl w:val="1"/>
          <w:numId w:val="1006"/>
        </w:numPr>
        <w:pStyle w:val="Compact"/>
      </w:pPr>
      <w:r>
        <w:t xml:space="preserve">Investigate opportunities for lightweighting the product without compromising performance.</w:t>
      </w:r>
    </w:p>
    <w:p>
      <w:pPr>
        <w:numPr>
          <w:ilvl w:val="1"/>
          <w:numId w:val="1006"/>
        </w:numPr>
        <w:pStyle w:val="Compact"/>
      </w:pPr>
      <w:r>
        <w:t xml:space="preserve">Engage with suppliers of high-impact components (e.g., silicon chips) to encourage their decarbonization efforts and obtain primary, supplier-specific emission data.</w:t>
      </w:r>
    </w:p>
    <w:p>
      <w:pPr>
        <w:numPr>
          <w:ilvl w:val="0"/>
          <w:numId w:val="1005"/>
        </w:numPr>
        <w:pStyle w:val="Compact"/>
      </w:pPr>
      <w:r>
        <w:rPr>
          <w:bCs/>
          <w:b/>
        </w:rPr>
        <w:t xml:space="preserve">Energy Efficiency &amp; Renewables in Production:</w:t>
      </w:r>
    </w:p>
    <w:p>
      <w:pPr>
        <w:numPr>
          <w:ilvl w:val="1"/>
          <w:numId w:val="1007"/>
        </w:numPr>
        <w:pStyle w:val="Compact"/>
      </w:pPr>
      <w:r>
        <w:t xml:space="preserve">Continue increasing renewable energy procurement for manufacturing operations beyond the current 40%.</w:t>
      </w:r>
    </w:p>
    <w:p>
      <w:pPr>
        <w:numPr>
          <w:ilvl w:val="1"/>
          <w:numId w:val="1007"/>
        </w:numPr>
        <w:pStyle w:val="Compact"/>
      </w:pPr>
      <w:r>
        <w:t xml:space="preserve">Implement energy efficiency measures at the production facility in China.</w:t>
      </w:r>
    </w:p>
    <w:p>
      <w:pPr>
        <w:numPr>
          <w:ilvl w:val="0"/>
          <w:numId w:val="1005"/>
        </w:numPr>
        <w:pStyle w:val="Compact"/>
      </w:pPr>
      <w:r>
        <w:rPr>
          <w:bCs/>
          <w:b/>
        </w:rPr>
        <w:t xml:space="preserve">Logistics and Transportation Efficiency:</w:t>
      </w:r>
    </w:p>
    <w:p>
      <w:pPr>
        <w:numPr>
          <w:ilvl w:val="1"/>
          <w:numId w:val="1008"/>
        </w:numPr>
        <w:pStyle w:val="Compact"/>
      </w:pPr>
      <w:r>
        <w:t xml:space="preserve">Optimize shipping routes and modes, prioritizing lower-emission options where feasible.</w:t>
      </w:r>
    </w:p>
    <w:p>
      <w:pPr>
        <w:numPr>
          <w:ilvl w:val="1"/>
          <w:numId w:val="1008"/>
        </w:numPr>
        <w:pStyle w:val="Compact"/>
      </w:pPr>
      <w:r>
        <w:t xml:space="preserve">Investigate opportunities for regional sourcing of materials to reduce upstream transport distances.</w:t>
      </w:r>
    </w:p>
    <w:p>
      <w:pPr>
        <w:numPr>
          <w:ilvl w:val="1"/>
          <w:numId w:val="1008"/>
        </w:numPr>
        <w:pStyle w:val="Compact"/>
      </w:pPr>
      <w:r>
        <w:t xml:space="preserve">Partner with logistics providers committed to decarbonization for both upstream and downstream transport.</w:t>
      </w:r>
    </w:p>
    <w:p>
      <w:pPr>
        <w:numPr>
          <w:ilvl w:val="0"/>
          <w:numId w:val="1005"/>
        </w:numPr>
        <w:pStyle w:val="Compact"/>
      </w:pPr>
      <w:r>
        <w:rPr>
          <w:bCs/>
          <w:b/>
        </w:rPr>
        <w:t xml:space="preserve">Product Design for Use Phase &amp; Circularity:</w:t>
      </w:r>
    </w:p>
    <w:p>
      <w:pPr>
        <w:numPr>
          <w:ilvl w:val="1"/>
          <w:numId w:val="1009"/>
        </w:numPr>
        <w:pStyle w:val="Compact"/>
      </w:pPr>
      <w:r>
        <w:t xml:space="preserve">Design products for even greater energy efficiency during the use phase (`lwyegesfox`).</w:t>
      </w:r>
    </w:p>
    <w:p>
      <w:pPr>
        <w:numPr>
          <w:ilvl w:val="1"/>
          <w:numId w:val="1009"/>
        </w:numPr>
        <w:pStyle w:val="Compact"/>
      </w:pPr>
      <w:r>
        <w:t xml:space="preserve">Enhance product durability (`zedhqneghp`) to extend lifespan and reduce replacement cycles.</w:t>
      </w:r>
    </w:p>
    <w:p>
      <w:pPr>
        <w:numPr>
          <w:ilvl w:val="1"/>
          <w:numId w:val="1009"/>
        </w:numPr>
        <w:pStyle w:val="Compact"/>
      </w:pPr>
      <w:r>
        <w:t xml:space="preserve">Further develop and promote take-back programs (`lerrhgepuz`) to maximize recyclability (`zwdewiwyus`) and ensure materials are recovered for high-value applications, thereby maximizing avoided emissions.</w:t>
      </w:r>
    </w:p>
    <w:p>
      <w:r>
        <w:pict>
          <v:rect style="width:0;height:1.5pt" o:hralign="center" o:hrstd="t" o:hr="t"/>
        </w:pict>
      </w:r>
    </w:p>
    <w:p>
      <w:pPr>
        <w:pStyle w:val="FirstParagraph"/>
      </w:pPr>
      <w:r>
        <w:t xml:space="preserve">This report is generated based on available data and industry standards. While every effort has been made to ensure accuracy, the results are subject to the limitations of data availability and inherent assumptions in life cycle assessment methodologies.</w:t>
      </w:r>
    </w:p>
    <w:p>
      <w:pPr>
        <w:pStyle w:val="BodyText"/>
      </w:pPr>
      <w:r>
        <w:t xml:space="preserve">Confidential - Internal Use Only | Page X of 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iemhmrxdlr - kszsxvgyig</dc:title>
  <dc:creator/>
  <dc:description>High-detail Product Carbon Footprint (PCF) analysis report for iemhmrxdlr by Senior Sustainability Consultant kspohywgpp for kszsxvgyig, adhering to GHG Protocol standards including 2026 LSR update and 95% Scope 3 coverage.</dc:description>
  <dc:language>en</dc:language>
  <cp:keywords/>
  <dcterms:created xsi:type="dcterms:W3CDTF">2026-05-30T14:54:52Z</dcterms:created>
  <dcterms:modified xsi:type="dcterms:W3CDTF">2026-05-30T14:54:52Z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