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hyffljqsks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hyffljqsks</w:t>
      </w:r>
    </w:p>
    <w:p>
      <w:pPr>
        <w:pStyle w:val="BodyText"/>
      </w:pPr>
      <w:r>
        <w:t xml:space="preserve">Protocol Data (Accounting Standard): GHG Protocol</w:t>
      </w:r>
    </w:p>
    <w:p>
      <w:pPr>
        <w:pStyle w:val="BodyText"/>
      </w:pPr>
      <w:r>
        <w:t xml:space="preserve">Name of the Company: ndorphewkl</w:t>
      </w:r>
    </w:p>
    <w:p>
      <w:pPr>
        <w:pStyle w:val="BodyText"/>
      </w:pPr>
      <w:r>
        <w:t xml:space="preserve">Senior Sustainability Consultant: pwmntqqlro</w:t>
      </w:r>
    </w:p>
    <w:p>
      <w:pPr>
        <w:pStyle w:val="BodyText"/>
      </w:pPr>
      <w:r>
        <w:t xml:space="preserve">Disclaimer: This report is generated based on available data and industry standards. All numerical values derived from placeholder parameters are illustrative for demonstration purposes only.</w:t>
      </w:r>
    </w:p>
    <w:bookmarkEnd w:id="20"/>
    <w:bookmarkStart w:id="49" w:name="Xa72acd74eff893f28b0b962e5d8e26745f4b569"/>
    <w:p>
      <w:pPr>
        <w:pStyle w:val="Heading1"/>
      </w:pPr>
      <w:r>
        <w:t xml:space="preserve">Product Carbon Footprint Analysis Report for hyffljqsks</w:t>
      </w:r>
    </w:p>
    <w:p>
      <w:pPr>
        <w:pStyle w:val="FirstParagraph"/>
      </w:pPr>
      <w:r>
        <w:t xml:space="preserve">Generated Date: 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hyffljqsks</w:t>
      </w:r>
      <w:r>
        <w:t xml:space="preserve">, manufactured by</w:t>
      </w:r>
      <w:r>
        <w:t xml:space="preserve"> </w:t>
      </w:r>
      <w:r>
        <w:rPr>
          <w:bCs/>
          <w:b/>
        </w:rPr>
        <w:t xml:space="preserve">ndorphewkl</w:t>
      </w:r>
      <w:r>
        <w:t xml:space="preserve">. The analysis adheres strictly to the GHG Protocol standards, including the 2026 Land Sector and Removals (LSR) Standard update, and maintains at least 95% coverage for Scope 3 emissions. The goal is to quantify greenhouse gas (GHG) emissions across the product\'s lifecycle, from raw material extraction to end-of-life, providing insights into emission hotspots and potential reduction opportunities. All numerical data for placeholder parameters (e.g., BOM details, transport data, energy usage, product lifespan, recyclability) are illustrative assumptions made to demonstrate the methodology and reporting structure.</w:t>
      </w:r>
    </w:p>
    <w:p>
      <w:r>
        <w:pict>
          <v:rect style="width:0;height:1.5pt" o:hralign="center" o:hrstd="t" o:hr="t"/>
        </w:pict>
      </w:r>
    </w:p>
    <w:bookmarkEnd w:id="21"/>
    <w:bookmarkStart w:id="27"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hyffljqsks</w:t>
      </w:r>
      <w:r>
        <w:t xml:space="preserve">. This unit serves as the reference basis for quantifying all inputs and outputs throughout the product\'s lifecycle.</w:t>
      </w:r>
    </w:p>
    <w:bookmarkEnd w:id="22"/>
    <w:bookmarkStart w:id="23"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"factory_gate" (Cradle-to-Gate)</w:t>
      </w:r>
      <w:r>
        <w:t xml:space="preserve">. This encompasses all GHG emissions associated with raw material acquisition, manufacturing, and transport up to the point where the product leaves the factory gate. However, to provide a comprehensive view as a Senior Sustainability Consultant, and to meet the high-detail requirement and Scope 3 compliance, this report extends beyond a strict factory_gate definition to include downstream emissions from the Use Phase and End-of-Life, categorizing them appropriately within Scope 3. Upstream transport and raw material processing are also included.</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Emission factors and regional specificities are considered for these geographic areas where data allows, with a particular focus on the Chinese electricity grid mix for manufacturing.</w:t>
      </w:r>
    </w:p>
    <w:bookmarkEnd w:id="24"/>
    <w:bookmarkStart w:id="25" w:name="accounting-standard"/>
    <w:p>
      <w:pPr>
        <w:pStyle w:val="Heading3"/>
      </w:pPr>
      <w:r>
        <w:t xml:space="preserve">1.4 Accounting Standard</w:t>
      </w:r>
    </w:p>
    <w:p>
      <w:pPr>
        <w:pStyle w:val="FirstParagraph"/>
      </w:pPr>
      <w:r>
        <w:t xml:space="preserve">This analysis is conducted in strict accordance with the</w:t>
      </w:r>
      <w:r>
        <w:t xml:space="preserve"> </w:t>
      </w:r>
      <w:r>
        <w:rPr>
          <w:bCs/>
          <w:b/>
        </w:rPr>
        <w:t xml:space="preserve">GHG Protocol</w:t>
      </w:r>
      <w:r>
        <w:t xml:space="preserve">, utilizing its framework for categorizing emissions into Scope 1 (direct emissions from owned or controlled sources), Scope 2 (indirect emissions from the generation of purchased energy), and Scope 3 (all other indirect emissions in the value chain, both upstream and downstream).</w:t>
      </w:r>
    </w:p>
    <w:bookmarkEnd w:id="25"/>
    <w:bookmarkStart w:id="26" w:name="allocation"/>
    <w:p>
      <w:pPr>
        <w:pStyle w:val="Heading3"/>
      </w:pPr>
      <w:r>
        <w:t xml:space="preserve">1.5 Allocation</w:t>
      </w:r>
    </w:p>
    <w:p>
      <w:pPr>
        <w:pStyle w:val="FirstParagraph"/>
      </w:pPr>
      <w:r>
        <w:t xml:space="preserve">Emissions are allocated directly to the functional unit (1.0 unit of hyffljqsks) based on mass, energy consumption, and distance traveled, where applicable. Co-product allocation is not explicitly considered as specific co-product data was not provided for hyffljqsks, simplifying the allocation to direct attribution.</w:t>
      </w:r>
    </w:p>
    <w:p>
      <w:r>
        <w:pict>
          <v:rect style="width:0;height:1.5pt" o:hralign="center" o:hrstd="t" o:hr="t"/>
        </w:pict>
      </w:r>
    </w:p>
    <w:bookmarkEnd w:id="26"/>
    <w:bookmarkEnd w:id="27"/>
    <w:bookmarkStart w:id="33" w:name="X35745a8e252718d5a0d40cb3fbfce10aee0336d"/>
    <w:p>
      <w:pPr>
        <w:pStyle w:val="Heading2"/>
      </w:pPr>
      <w:r>
        <w:t xml:space="preserve">2. &amp; 3. Lifecycle Mapping (LCI Inventory Stages) &amp; Data Collection</w:t>
      </w:r>
    </w:p>
    <w:p>
      <w:pPr>
        <w:pStyle w:val="FirstParagraph"/>
      </w:pPr>
      <w:r>
        <w:t xml:space="preserve">This section details the inputs and outputs across the product lifecycle. As the provided parameters for Bill of Materials (BOM), Transport Mode, Transport Distance, Last-Mile Delivery Channel, Renewable Energy Usage, Energy Intensity, Product Lifespan, Energy Consumption in Use, Recyclability Percentage, and Circular/Take-back Programs are placeholders, illustrative data and industry-standard emission factors are used for demonstration. These assumptions are clearly stated below.</w:t>
      </w:r>
    </w:p>
    <w:bookmarkStart w:id="28" w:name="X27a25553588624fb7137dac639b913f4bd3af60"/>
    <w:p>
      <w:pPr>
        <w:pStyle w:val="Heading3"/>
      </w:pPr>
      <w:r>
        <w:t xml:space="preserve">2.1 Material Acquisition &amp; Pre-processing (Upstream - Scope 3)</w:t>
      </w:r>
    </w:p>
    <w:p>
      <w:pPr>
        <w:pStyle w:val="FirstParagraph"/>
      </w:pPr>
      <w:r>
        <w:t xml:space="preserve">The detailed Bill of Materials (BOM) for</w:t>
      </w:r>
      <w:r>
        <w:t xml:space="preserve"> </w:t>
      </w:r>
      <w:r>
        <w:rPr>
          <w:bCs/>
          <w:b/>
        </w:rPr>
        <w:t xml:space="preserve">lulewpri</w:t>
      </w:r>
      <w:r>
        <w:t xml:space="preserve"> </w:t>
      </w:r>
      <w:r>
        <w:t xml:space="preserve">(illustrative for hyffljqsks) is analyzed for its material composition and associated carbon footprint. Emissions at this stage are categorized as Scope 3, \'Purchased goods and services\'.</w:t>
      </w:r>
    </w:p>
    <w:p>
      <w:pPr>
        <w:pStyle w:val="BodyText"/>
      </w:pPr>
      <w:r>
        <w:rPr>
          <w:bCs/>
          <w:b/>
        </w:rPr>
        <w:t xml:space="preserve">Illustrative Bill of Materials (BOM) for hyffljqsks: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102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10.0</w:t>
            </w:r>
          </w:p>
        </w:tc>
        <w:tc>
          <w:tcPr/>
          <w:p>
            <w:pPr>
              <w:pStyle w:val="Compact"/>
              <w:jc w:val="left"/>
            </w:pPr>
            <w:r>
              <w:t xml:space="preserve">3.00</w:t>
            </w:r>
          </w:p>
        </w:tc>
      </w:tr>
      <w:tr>
        <w:tc>
          <w:tcPr/>
          <w:p>
            <w:pPr>
              <w:pStyle w:val="Compact"/>
              <w:jc w:val="left"/>
            </w:pPr>
            <w:r>
              <w:t xml:space="preserve">103</w:t>
            </w:r>
          </w:p>
        </w:tc>
        <w:tc>
          <w:tcPr/>
          <w:p>
            <w:pPr>
              <w:pStyle w:val="Compact"/>
              <w:jc w:val="left"/>
            </w:pPr>
            <w:r>
              <w:t xml:space="preserve">Electronic PCB Assembly</w:t>
            </w:r>
          </w:p>
        </w:tc>
        <w:tc>
          <w:tcPr/>
          <w:p>
            <w:pPr>
              <w:pStyle w:val="Compact"/>
              <w:jc w:val="left"/>
            </w:pPr>
            <w:r>
              <w:t xml:space="preserve">Electronics</w:t>
            </w:r>
          </w:p>
        </w:tc>
        <w:tc>
          <w:tcPr/>
          <w:p>
            <w:pPr>
              <w:pStyle w:val="Compact"/>
              <w:jc w:val="left"/>
            </w:pPr>
            <w:r>
              <w:t xml:space="preserve">SMT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104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iCs/>
          <w:i/>
        </w:rPr>
        <w:t xml:space="preserve">Note: The above BOM data is illustrative, assuming a product weight of approximately 1.5 kg (sum of Qty for materials). The \'Total Carbon\' values are derived from the illustrative \'Qty\' and \'Emission Factor\' for demonstration. Industry-standard emission factors from databases like Ecoinvent and DEFRA are typically used for such calculations.</w:t>
      </w:r>
    </w:p>
    <w:bookmarkEnd w:id="28"/>
    <w:bookmarkStart w:id="29" w:name="Xf4a8dfc7496f2fd8172c70aa3c5dbe4eb659fc6"/>
    <w:p>
      <w:pPr>
        <w:pStyle w:val="Heading3"/>
      </w:pPr>
      <w:r>
        <w:t xml:space="preserve">2.2 Manufacturing/Production (On-site - Scope 1 &amp; 2)</w:t>
      </w:r>
    </w:p>
    <w:p>
      <w:pPr>
        <w:pStyle w:val="FirstParagraph"/>
      </w:pPr>
      <w:r>
        <w:t xml:space="preserve">This stage covers emissions generated during the assembly and production of hyffljqsks at the facility in China. This includes direct emissions from owned/controlled sources (Scope 1) and indirect emissions from purchased electricity (Scope 2).</w:t>
      </w:r>
    </w:p>
    <w:p>
      <w:pPr>
        <w:numPr>
          <w:ilvl w:val="0"/>
          <w:numId w:val="1002"/>
        </w:numPr>
        <w:pStyle w:val="Compact"/>
      </w:pPr>
      <w:r>
        <w:rPr>
          <w:bCs/>
          <w:b/>
        </w:rPr>
        <w:t xml:space="preserve">Energy Intensity (kWh/unit):</w:t>
      </w:r>
      <w:r>
        <w:t xml:space="preserve"> </w:t>
      </w:r>
      <w:r>
        <w:t xml:space="preserve">nguqrryzyz (Illustrative: 15 kWh/unit)</w:t>
      </w:r>
    </w:p>
    <w:p>
      <w:pPr>
        <w:numPr>
          <w:ilvl w:val="0"/>
          <w:numId w:val="1002"/>
        </w:numPr>
        <w:pStyle w:val="Compact"/>
      </w:pPr>
      <w:r>
        <w:rPr>
          <w:bCs/>
          <w:b/>
        </w:rPr>
        <w:t xml:space="preserve">Renewable Energy Usage:</w:t>
      </w:r>
      <w:r>
        <w:t xml:space="preserve"> </w:t>
      </w:r>
      <w:r>
        <w:t xml:space="preserve">mjniqumolo (Illustrative: 60%)</w:t>
      </w:r>
    </w:p>
    <w:p>
      <w:pPr>
        <w:pStyle w:val="FirstParagraph"/>
      </w:pPr>
      <w:r>
        <w:t xml:space="preserve">For the remaining 40% of electricity, the China grid mix emission factor is applied. Emissions from any direct fuel combustion at the factory (Scope 1) are assumed negligible or included within the \'Process\' emission factors in the BOM for this "factory_gate" system boundary but would otherwise be explicitly accounted for if primary data were available.</w:t>
      </w:r>
    </w:p>
    <w:bookmarkEnd w:id="29"/>
    <w:bookmarkStart w:id="30" w:name="Xd2c26f3a886b10000824b169fd94a9ab4363364"/>
    <w:p>
      <w:pPr>
        <w:pStyle w:val="Heading3"/>
      </w:pPr>
      <w:r>
        <w:t xml:space="preserve">2.3 Transport &amp; Distribution (Upstream &amp; Downstream - Scope 3)</w:t>
      </w:r>
    </w:p>
    <w:p>
      <w:pPr>
        <w:pStyle w:val="FirstParagraph"/>
      </w:pPr>
      <w:r>
        <w:t xml:space="preserve">This covers the transportation of raw materials to the factory and the finished product to the customer. Emissions from these activities fall under Scope 3, \'Upstream transportation and distribution\' and \'Downstream transportation and distribution\'.</w:t>
      </w:r>
    </w:p>
    <w:p>
      <w:pPr>
        <w:numPr>
          <w:ilvl w:val="0"/>
          <w:numId w:val="1003"/>
        </w:numPr>
        <w:pStyle w:val="Compact"/>
      </w:pPr>
      <w:r>
        <w:rPr>
          <w:bCs/>
          <w:b/>
        </w:rPr>
        <w:t xml:space="preserve">Transport Mode (Illustrative):</w:t>
      </w:r>
      <w:r>
        <w:t xml:space="preserve"> </w:t>
      </w:r>
      <w:r>
        <w:t xml:space="preserve">Sea Freight (for main components from Europe to China), Road Freight (internal China)</w:t>
      </w:r>
    </w:p>
    <w:p>
      <w:pPr>
        <w:numPr>
          <w:ilvl w:val="0"/>
          <w:numId w:val="1003"/>
        </w:numPr>
        <w:pStyle w:val="Compact"/>
      </w:pPr>
      <w:r>
        <w:rPr>
          <w:bCs/>
          <w:b/>
        </w:rPr>
        <w:t xml:space="preserve">Transport Distance (Illustrative):</w:t>
      </w:r>
      <w:r>
        <w:t xml:space="preserve"> </w:t>
      </w:r>
      <w:r>
        <w:t xml:space="preserve">lgwuxffgxk (Illustrative: 10,000 km Sea Freight, 500 km Road Freight)</w:t>
      </w:r>
    </w:p>
    <w:p>
      <w:pPr>
        <w:numPr>
          <w:ilvl w:val="0"/>
          <w:numId w:val="1003"/>
        </w:numPr>
        <w:pStyle w:val="Compact"/>
      </w:pPr>
      <w:r>
        <w:rPr>
          <w:bCs/>
          <w:b/>
        </w:rPr>
        <w:t xml:space="preserve">Last-Mile Delivery Channel (Illustrative):</w:t>
      </w:r>
      <w:r>
        <w:t xml:space="preserve"> </w:t>
      </w:r>
      <w:r>
        <w:t xml:space="preserve">Delivery Type (Illustrative: Electric Van Delivery, 50 km)</w:t>
      </w:r>
    </w:p>
    <w:p>
      <w:pPr>
        <w:pStyle w:val="FirstParagraph"/>
      </w:pPr>
      <w:r>
        <w:rPr>
          <w:iCs/>
          <w:i/>
        </w:rPr>
        <w:t xml:space="preserve">Note: Transport emission factors vary significantly by mode, distance, and cargo weight/volume. Representative factors from sources like DEFRA or GLEC are used.</w:t>
      </w:r>
    </w:p>
    <w:bookmarkEnd w:id="30"/>
    <w:bookmarkStart w:id="31" w:name="use-phase-downstream---scope-3"/>
    <w:p>
      <w:pPr>
        <w:pStyle w:val="Heading3"/>
      </w:pPr>
      <w:r>
        <w:t xml:space="preserve">2.4 Use Phase (Downstream - Scope 3)</w:t>
      </w:r>
    </w:p>
    <w:p>
      <w:pPr>
        <w:pStyle w:val="FirstParagraph"/>
      </w:pPr>
      <w:r>
        <w:t xml:space="preserve">The use phase accounts for emissions generated during the product\'s operational life by the end-user. These are categorized as Scope 3, \'Use of sold products\'.</w:t>
      </w:r>
    </w:p>
    <w:p>
      <w:pPr>
        <w:numPr>
          <w:ilvl w:val="0"/>
          <w:numId w:val="1004"/>
        </w:numPr>
        <w:pStyle w:val="Compact"/>
      </w:pPr>
      <w:r>
        <w:rPr>
          <w:bCs/>
          <w:b/>
        </w:rPr>
        <w:t xml:space="preserve">Product Lifespan (Illustrative):</w:t>
      </w:r>
      <w:r>
        <w:t xml:space="preserve"> </w:t>
      </w:r>
      <w:r>
        <w:t xml:space="preserve">qnfkpewhpp (Illustrative: 5 years)</w:t>
      </w:r>
    </w:p>
    <w:p>
      <w:pPr>
        <w:numPr>
          <w:ilvl w:val="0"/>
          <w:numId w:val="1004"/>
        </w:numPr>
        <w:pStyle w:val="Compact"/>
      </w:pPr>
      <w:r>
        <w:rPr>
          <w:bCs/>
          <w:b/>
        </w:rPr>
        <w:t xml:space="preserve">Energy Consumption in Use (Illustrative):</w:t>
      </w:r>
      <w:r>
        <w:t xml:space="preserve"> </w:t>
      </w:r>
      <w:r>
        <w:t xml:space="preserve">oezikiegwk (Illustrative: 5 kWh/year)</w:t>
      </w:r>
    </w:p>
    <w:p>
      <w:pPr>
        <w:pStyle w:val="FirstParagraph"/>
      </w:pPr>
      <w:r>
        <w:t xml:space="preserve">User electricity mix (e.g., global average) will be applied for these calculations.</w:t>
      </w:r>
    </w:p>
    <w:bookmarkEnd w:id="31"/>
    <w:bookmarkStart w:id="32" w:name="end-of-life-downstream---scope-3"/>
    <w:p>
      <w:pPr>
        <w:pStyle w:val="Heading3"/>
      </w:pPr>
      <w:r>
        <w:t xml:space="preserve">2.5 End-of-Life (Downstream - Scope 3)</w:t>
      </w:r>
    </w:p>
    <w:p>
      <w:pPr>
        <w:pStyle w:val="FirstParagraph"/>
      </w:pPr>
      <w:r>
        <w:t xml:space="preserve">This stage considers the emissions or avoided emissions associated with the product\'s disposal or recovery at the end of its useful life. These are categorized as Scope 3, \'End-of-life treatment of sold products\'.</w:t>
      </w:r>
    </w:p>
    <w:p>
      <w:pPr>
        <w:numPr>
          <w:ilvl w:val="0"/>
          <w:numId w:val="1005"/>
        </w:numPr>
        <w:pStyle w:val="Compact"/>
      </w:pPr>
      <w:r>
        <w:rPr>
          <w:bCs/>
          <w:b/>
        </w:rPr>
        <w:t xml:space="preserve">Recyclability Percentage (Illustrative):</w:t>
      </w:r>
      <w:r>
        <w:t xml:space="preserve"> </w:t>
      </w:r>
      <w:r>
        <w:t xml:space="preserve">fzfzuuygoh (Illustrative: 70%)</w:t>
      </w:r>
    </w:p>
    <w:p>
      <w:pPr>
        <w:numPr>
          <w:ilvl w:val="0"/>
          <w:numId w:val="1005"/>
        </w:numPr>
        <w:pStyle w:val="Compact"/>
      </w:pPr>
      <w:r>
        <w:rPr>
          <w:bCs/>
          <w:b/>
        </w:rPr>
        <w:t xml:space="preserve">Circular/Take-back Programs (Illustrative):</w:t>
      </w:r>
      <w:r>
        <w:t xml:space="preserve"> </w:t>
      </w:r>
      <w:r>
        <w:t xml:space="preserve">rsqoywjdxv (Illustrative: Product Refurbishment Program)</w:t>
      </w:r>
    </w:p>
    <w:p>
      <w:pPr>
        <w:pStyle w:val="FirstParagraph"/>
      </w:pPr>
      <w:r>
        <w:t xml:space="preserve">Credits for recycling and debits for landfill/incineration are calculated based on these percentages and assumed material-specific emission factors for secondary material production.</w:t>
      </w:r>
    </w:p>
    <w:p>
      <w:r>
        <w:pict>
          <v:rect style="width:0;height:1.5pt" o:hralign="center" o:hrstd="t" o:hr="t"/>
        </w:pict>
      </w:r>
    </w:p>
    <w:bookmarkEnd w:id="32"/>
    <w:bookmarkEnd w:id="33"/>
    <w:bookmarkStart w:id="44" w:name="Xdd1c2ba429305467bad58a0828410d9d0fce25c"/>
    <w:p>
      <w:pPr>
        <w:pStyle w:val="Heading2"/>
      </w:pPr>
      <w:r>
        <w:t xml:space="preserve">4. Emissions Calculation (Activity * Emission Factor = CO2e)</w:t>
      </w:r>
    </w:p>
    <w:p>
      <w:pPr>
        <w:pStyle w:val="FirstParagraph"/>
      </w:pPr>
      <w:r>
        <w:t xml:space="preserve">Emissions are calculated by multiplying activity data (e.g., kg of material, kWh of energy, km traveled) by appropriate emission factors (kgCO2e/unit of activity). GHG Protocol categorizes these as follows:</w:t>
      </w:r>
    </w:p>
    <w:bookmarkStart w:id="34" w:name="X7aedbe5c81e34c3c5b17c242eb655b063647157"/>
    <w:p>
      <w:pPr>
        <w:pStyle w:val="Heading3"/>
      </w:pPr>
      <w:r>
        <w:t xml:space="preserve">4.1 Scope 1: Direct Emissions (ndorphewkl\'s Operations)</w:t>
      </w:r>
    </w:p>
    <w:p>
      <w:pPr>
        <w:pStyle w:val="FirstParagraph"/>
      </w:pPr>
      <w:r>
        <w:t xml:space="preserve">For a "factory_gate" system boundary focused on the product, direct Scope 1 emissions from fuel combustion at the manufacturing facility for hyffljqsks are generally associated with ancillary processes (e.g., heating, on-site vehicles) rather than being directly embedded in the product\'s material processing. For the purpose of this PCF with a focus on cradle-to-gate impact, specific Scope 1 emissions from the production process of</w:t>
      </w:r>
      <w:r>
        <w:t xml:space="preserve"> </w:t>
      </w:r>
      <w:r>
        <w:rPr>
          <w:bCs/>
          <w:b/>
        </w:rPr>
        <w:t xml:space="preserve">hyffljqsks</w:t>
      </w:r>
      <w:r>
        <w:t xml:space="preserve"> </w:t>
      </w:r>
      <w:r>
        <w:t xml:space="preserve">are assumed to be negligible or captured within the manufacturing energy consumption for the product unit, consistent with the functional unit approach. If the factory had significant direct process emissions (e.g., from chemical reactions specific to hyffljqsks production), these would be quantified here.</w:t>
      </w:r>
    </w:p>
    <w:p>
      <w:pPr>
        <w:pStyle w:val="BodyText"/>
      </w:pPr>
      <w:r>
        <w:rPr>
          <w:bCs/>
          <w:b/>
        </w:rPr>
        <w:t xml:space="preserve">Illustrative Scope 1 Emissions: 0.00 kgCO2e</w:t>
      </w:r>
      <w:r>
        <w:t xml:space="preserve"> </w:t>
      </w:r>
      <w:r>
        <w:t xml:space="preserve">(Assuming no direct process emissions from product manufacturing or included in upstream EFs).</w:t>
      </w:r>
    </w:p>
    <w:bookmarkEnd w:id="34"/>
    <w:bookmarkStart w:id="35" w:name="X11e94c893b805d8b198aee376513ac47d50cc72"/>
    <w:p>
      <w:pPr>
        <w:pStyle w:val="Heading3"/>
      </w:pPr>
      <w:r>
        <w:t xml:space="preserve">4.2 Scope 2: Energy Indirect Emissions (Purchased Electricity for Manufacturing)</w:t>
      </w:r>
    </w:p>
    <w:p>
      <w:pPr>
        <w:pStyle w:val="FirstParagraph"/>
      </w:pPr>
      <w:r>
        <w:t xml:space="preserve">Emissions from purchased electricity for manufacturing</w:t>
      </w:r>
      <w:r>
        <w:t xml:space="preserve"> </w:t>
      </w:r>
      <w:r>
        <w:rPr>
          <w:bCs/>
          <w:b/>
        </w:rPr>
        <w:t xml:space="preserve">hyffljqsks</w:t>
      </w:r>
      <w:r>
        <w:t xml:space="preserve">.</w:t>
      </w:r>
    </w:p>
    <w:p>
      <w:pPr>
        <w:numPr>
          <w:ilvl w:val="0"/>
          <w:numId w:val="1006"/>
        </w:numPr>
        <w:pStyle w:val="Compact"/>
      </w:pPr>
      <w:r>
        <w:t xml:space="preserve">Illustrative Energy Intensity: 15 kWh/unit</w:t>
      </w:r>
    </w:p>
    <w:p>
      <w:pPr>
        <w:numPr>
          <w:ilvl w:val="0"/>
          <w:numId w:val="1006"/>
        </w:numPr>
        <w:pStyle w:val="Compact"/>
      </w:pPr>
      <w:r>
        <w:t xml:space="preserve">Illustrative Renewable Energy Usage: 60%</w:t>
      </w:r>
    </w:p>
    <w:p>
      <w:pPr>
        <w:numPr>
          <w:ilvl w:val="0"/>
          <w:numId w:val="1006"/>
        </w:numPr>
        <w:pStyle w:val="Compact"/>
      </w:pPr>
      <w:r>
        <w:t xml:space="preserve">Non-renewable electricity: 15 kWh/unit * (1 - 0.60) = 6 kWh/unit</w:t>
      </w:r>
    </w:p>
    <w:p>
      <w:pPr>
        <w:numPr>
          <w:ilvl w:val="0"/>
          <w:numId w:val="1006"/>
        </w:numPr>
        <w:pStyle w:val="Compact"/>
      </w:pPr>
      <w:r>
        <w:t xml:space="preserve">Assumed China Grid Electricity Emission Factor: 0.556 kgCO2e/kWh (2020 data, as more recent data from 2025/2026 is variable per province).</w:t>
      </w:r>
    </w:p>
    <w:p>
      <w:pPr>
        <w:pStyle w:val="FirstParagraph"/>
      </w:pPr>
      <w:r>
        <w:rPr>
          <w:bCs/>
          <w:b/>
        </w:rPr>
        <w:t xml:space="preserve">Calculation:</w:t>
      </w:r>
      <w:r>
        <w:t xml:space="preserve"> </w:t>
      </w:r>
      <w:r>
        <w:t xml:space="preserve">6 kWh/unit * 0.556 kgCO2e/kWh = 3.336 kgCO2e/unit</w:t>
      </w:r>
    </w:p>
    <w:p>
      <w:pPr>
        <w:pStyle w:val="BodyText"/>
      </w:pPr>
      <w:r>
        <w:rPr>
          <w:bCs/>
          <w:b/>
        </w:rPr>
        <w:t xml:space="preserve">Illustrative Scope 2 Emissions: 3.34 kgCO2e</w:t>
      </w:r>
    </w:p>
    <w:bookmarkEnd w:id="35"/>
    <w:bookmarkStart w:id="41" w:name="scope-3-value-chain-indirect-emissions"/>
    <w:p>
      <w:pPr>
        <w:pStyle w:val="Heading3"/>
      </w:pPr>
      <w:r>
        <w:t xml:space="preserve">4.3 Scope 3: Value Chain Indirect Emissions</w:t>
      </w:r>
    </w:p>
    <w:p>
      <w:pPr>
        <w:pStyle w:val="FirstParagraph"/>
      </w:pPr>
      <w:r>
        <w:t xml:space="preserve">This covers all other indirect emissions throughout the value chain, ensuring at least 95% coverage as per 2026 requirements.</w:t>
      </w:r>
    </w:p>
    <w:bookmarkStart w:id="36" w:name="Xab9729a0caae076ca89f2f71668734f92723cf2"/>
    <w:p>
      <w:pPr>
        <w:pStyle w:val="Heading4"/>
      </w:pPr>
      <w:r>
        <w:t xml:space="preserve">4.3.1 Category 1: Purchased Goods and Services (Materials)</w:t>
      </w:r>
    </w:p>
    <w:p>
      <w:pPr>
        <w:pStyle w:val="FirstParagraph"/>
      </w:pPr>
      <w:r>
        <w:t xml:space="preserve">Based on the illustrative BOM provided for</w:t>
      </w:r>
      <w:r>
        <w:t xml:space="preserve"> </w:t>
      </w:r>
      <w:r>
        <w:rPr>
          <w:bCs/>
          <w:b/>
        </w:rPr>
        <w:t xml:space="preserve">lulewpri</w:t>
      </w:r>
      <w:r>
        <w:t xml:space="preserve"> </w:t>
      </w:r>
      <w:r>
        <w:t xml:space="preserve">(hyffljqsks):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Plastic Casing</w:t>
            </w:r>
          </w:p>
        </w:tc>
        <w:tc>
          <w:tcPr/>
          <w:p>
            <w:pPr>
              <w:pStyle w:val="Compact"/>
              <w:jc w:val="left"/>
            </w:pPr>
            <w:r>
              <w:t xml:space="preserve">2.40</w:t>
            </w:r>
          </w:p>
        </w:tc>
      </w:tr>
      <w:tr>
        <w:tc>
          <w:tcPr/>
          <w:p>
            <w:pPr>
              <w:pStyle w:val="Compact"/>
              <w:jc w:val="left"/>
            </w:pPr>
            <w:r>
              <w:t xml:space="preserve">Aluminum Frame</w:t>
            </w:r>
          </w:p>
        </w:tc>
        <w:tc>
          <w:tcPr/>
          <w:p>
            <w:pPr>
              <w:pStyle w:val="Compact"/>
              <w:jc w:val="left"/>
            </w:pPr>
            <w:r>
              <w:t xml:space="preserve">3.00</w:t>
            </w:r>
          </w:p>
        </w:tc>
      </w:tr>
      <w:tr>
        <w:tc>
          <w:tcPr/>
          <w:p>
            <w:pPr>
              <w:pStyle w:val="Compact"/>
              <w:jc w:val="left"/>
            </w:pPr>
            <w:r>
              <w:t xml:space="preserve">Electronic PCB Assembly</w:t>
            </w:r>
          </w:p>
        </w:tc>
        <w:tc>
          <w:tcPr/>
          <w:p>
            <w:pPr>
              <w:pStyle w:val="Compact"/>
              <w:jc w:val="left"/>
            </w:pPr>
            <w:r>
              <w:t xml:space="preserve">5.00</w:t>
            </w:r>
          </w:p>
        </w:tc>
      </w:tr>
      <w:tr>
        <w:tc>
          <w:tcPr/>
          <w:p>
            <w:pPr>
              <w:pStyle w:val="Compact"/>
              <w:jc w:val="left"/>
            </w:pPr>
            <w:r>
              <w:t xml:space="preserve">Copper Wiring</w:t>
            </w:r>
          </w:p>
        </w:tc>
        <w:tc>
          <w:tcPr/>
          <w:p>
            <w:pPr>
              <w:pStyle w:val="Compact"/>
              <w:jc w:val="left"/>
            </w:pPr>
            <w:r>
              <w:t xml:space="preserve">0.25</w:t>
            </w:r>
          </w:p>
        </w:tc>
      </w:tr>
      <w:tr>
        <w:tc>
          <w:tcPr/>
          <w:p>
            <w:pPr>
              <w:pStyle w:val="Compact"/>
              <w:jc w:val="left"/>
            </w:pPr>
            <w:r>
              <w:t xml:space="preserve">Packaging (Cardboard)</w:t>
            </w:r>
          </w:p>
        </w:tc>
        <w:tc>
          <w:tcPr/>
          <w:p>
            <w:pPr>
              <w:pStyle w:val="Compact"/>
              <w:jc w:val="left"/>
            </w:pPr>
            <w:r>
              <w:t xml:space="preserve">0.20</w:t>
            </w:r>
          </w:p>
        </w:tc>
      </w:tr>
      <w:tr>
        <w:tc>
          <w:tcPr/>
          <w:p>
            <w:pPr>
              <w:pStyle w:val="Compact"/>
              <w:jc w:val="left"/>
            </w:pPr>
            <w:r>
              <w:t xml:space="preserve">Total Material Emissions</w:t>
            </w:r>
          </w:p>
        </w:tc>
        <w:tc>
          <w:tcPr/>
          <w:p>
            <w:pPr>
              <w:pStyle w:val="Compact"/>
              <w:jc w:val="left"/>
            </w:pPr>
            <w:r>
              <w:t xml:space="preserve">10.85</w:t>
            </w:r>
          </w:p>
        </w:tc>
      </w:tr>
    </w:tbl>
    <w:p>
      <w:pPr>
        <w:pStyle w:val="BodyText"/>
      </w:pPr>
      <w:r>
        <w:rPr>
          <w:bCs/>
          <w:b/>
        </w:rPr>
        <w:t xml:space="preserve">Illustrative Scope 3 (Materials) Emissions: 10.85 kgCO2e</w:t>
      </w:r>
    </w:p>
    <w:bookmarkEnd w:id="36"/>
    <w:bookmarkStart w:id="37" w:name="X5cb38d85c34037ed91a42f9dbff555bfdf1dda6"/>
    <w:p>
      <w:pPr>
        <w:pStyle w:val="Heading4"/>
      </w:pPr>
      <w:r>
        <w:t xml:space="preserve">4.3.2 Category 4: Upstream Transportation and Distribution (Raw Materials to Factory)</w:t>
      </w:r>
    </w:p>
    <w:p>
      <w:pPr>
        <w:pStyle w:val="FirstParagraph"/>
      </w:pPr>
      <w:r>
        <w:t xml:space="preserve">Assume an illustrative product weight of 1.5 kg for transport calculations.</w:t>
      </w:r>
    </w:p>
    <w:p>
      <w:pPr>
        <w:numPr>
          <w:ilvl w:val="0"/>
          <w:numId w:val="1007"/>
        </w:numPr>
        <w:pStyle w:val="Compact"/>
      </w:pPr>
      <w:r>
        <w:rPr>
          <w:bCs/>
          <w:b/>
        </w:rPr>
        <w:t xml:space="preserve">Sea Freight (Europe to China):</w:t>
      </w:r>
    </w:p>
    <w:p>
      <w:pPr>
        <w:numPr>
          <w:ilvl w:val="1"/>
          <w:numId w:val="1008"/>
        </w:numPr>
        <w:pStyle w:val="Compact"/>
      </w:pPr>
      <w:r>
        <w:t xml:space="preserve">Distance: 10,000 km</w:t>
      </w:r>
    </w:p>
    <w:p>
      <w:pPr>
        <w:numPr>
          <w:ilvl w:val="1"/>
          <w:numId w:val="1008"/>
        </w:numPr>
        <w:pStyle w:val="Compact"/>
      </w:pPr>
      <w:r>
        <w:t xml:space="preserve">Assumed Sea Freight Emission Factor: 0.016 kgCO2e/tonne-km (average container ship) (Converted to kgCO2e/kg-km for calculation: 0.000016 kgCO2e/kg-km)</w:t>
      </w:r>
    </w:p>
    <w:p>
      <w:pPr>
        <w:numPr>
          <w:ilvl w:val="1"/>
          <w:numId w:val="1008"/>
        </w:numPr>
        <w:pStyle w:val="Compact"/>
      </w:pPr>
      <w:r>
        <w:t xml:space="preserve">Calculation: 1.5 kg * 10,000 km * 0.000016 kgCO2e/kg-km = 0.24 kgCO2e</w:t>
      </w:r>
    </w:p>
    <w:p>
      <w:pPr>
        <w:numPr>
          <w:ilvl w:val="0"/>
          <w:numId w:val="1007"/>
        </w:numPr>
        <w:pStyle w:val="Compact"/>
      </w:pPr>
      <w:r>
        <w:rPr>
          <w:bCs/>
          <w:b/>
        </w:rPr>
        <w:t xml:space="preserve">Road Freight (Internal China):</w:t>
      </w:r>
    </w:p>
    <w:p>
      <w:pPr>
        <w:numPr>
          <w:ilvl w:val="1"/>
          <w:numId w:val="1009"/>
        </w:numPr>
        <w:pStyle w:val="Compact"/>
      </w:pPr>
      <w:r>
        <w:t xml:space="preserve">Distance: 500 km</w:t>
      </w:r>
    </w:p>
    <w:p>
      <w:pPr>
        <w:numPr>
          <w:ilvl w:val="1"/>
          <w:numId w:val="1009"/>
        </w:numPr>
        <w:pStyle w:val="Compact"/>
      </w:pPr>
      <w:r>
        <w:t xml:space="preserve">Assumed Road Freight Emission Factor: 0.1 kgCO2e/tonne-km (general estimate) (Converted to kgCO2e/kg-km for calculation: 0.0001 kgCO2e/kg-km)</w:t>
      </w:r>
    </w:p>
    <w:p>
      <w:pPr>
        <w:numPr>
          <w:ilvl w:val="1"/>
          <w:numId w:val="1009"/>
        </w:numPr>
        <w:pStyle w:val="Compact"/>
      </w:pPr>
      <w:r>
        <w:t xml:space="preserve">Calculation: 1.5 kg * 500 km * 0.0001 kgCO2e/kg-km = 0.075 kgCO2e</w:t>
      </w:r>
    </w:p>
    <w:p>
      <w:pPr>
        <w:pStyle w:val="FirstParagraph"/>
      </w:pPr>
      <w:r>
        <w:rPr>
          <w:bCs/>
          <w:b/>
        </w:rPr>
        <w:t xml:space="preserve">Illustrative Scope 3 (Upstream Transport) Emissions: 0.24 + 0.075 = 0.315 kgCO2e</w:t>
      </w:r>
    </w:p>
    <w:bookmarkEnd w:id="37"/>
    <w:bookmarkStart w:id="38" w:name="Xe6a609cc71639c4bb5b5bcd247c776c9d89fa33"/>
    <w:p>
      <w:pPr>
        <w:pStyle w:val="Heading4"/>
      </w:pPr>
      <w:r>
        <w:t xml:space="preserve">4.3.3 Category 9: Downstream Transportation and Distribution (Last-Mile Delivery)</w:t>
      </w:r>
    </w:p>
    <w:p>
      <w:pPr>
        <w:pStyle w:val="FirstParagraph"/>
      </w:pPr>
      <w:r>
        <w:t xml:space="preserve">Illustrative Last-Mile Delivery (Electric Van).</w:t>
      </w:r>
    </w:p>
    <w:p>
      <w:pPr>
        <w:numPr>
          <w:ilvl w:val="0"/>
          <w:numId w:val="1010"/>
        </w:numPr>
        <w:pStyle w:val="Compact"/>
      </w:pPr>
      <w:r>
        <w:t xml:space="preserve">Distance: 50 km</w:t>
      </w:r>
    </w:p>
    <w:p>
      <w:pPr>
        <w:numPr>
          <w:ilvl w:val="0"/>
          <w:numId w:val="1010"/>
        </w:numPr>
        <w:pStyle w:val="Compact"/>
      </w:pPr>
      <w:r>
        <w:t xml:space="preserve">Assumed Electric Van Emission Factor: 0.055 kgCO2e/km (average up to 3.5 tonnes, freighting goods)</w:t>
      </w:r>
    </w:p>
    <w:p>
      <w:pPr>
        <w:numPr>
          <w:ilvl w:val="0"/>
          <w:numId w:val="1010"/>
        </w:numPr>
        <w:pStyle w:val="Compact"/>
      </w:pPr>
      <w:r>
        <w:t xml:space="preserve">Calculation: 1 unit * 50 km * 0.055 kgCO2e/km = 2.75 kgCO2e</w:t>
      </w:r>
    </w:p>
    <w:p>
      <w:pPr>
        <w:pStyle w:val="FirstParagraph"/>
      </w:pPr>
      <w:r>
        <w:rPr>
          <w:bCs/>
          <w:b/>
        </w:rPr>
        <w:t xml:space="preserve">Illustrative Scope 3 (Last-Mile Delivery) Emissions: 2.75 kgCO2e</w:t>
      </w:r>
    </w:p>
    <w:bookmarkEnd w:id="38"/>
    <w:bookmarkStart w:id="39" w:name="X7f5fa23780b0ab40acb59721440d67564b40a7f"/>
    <w:p>
      <w:pPr>
        <w:pStyle w:val="Heading4"/>
      </w:pPr>
      <w:r>
        <w:t xml:space="preserve">4.3.4 Category 11: Use of Sold Products (Operational Energy)</w:t>
      </w:r>
    </w:p>
    <w:p>
      <w:pPr>
        <w:numPr>
          <w:ilvl w:val="0"/>
          <w:numId w:val="1011"/>
        </w:numPr>
        <w:pStyle w:val="Compact"/>
      </w:pPr>
      <w:r>
        <w:t xml:space="preserve">Illustrative Product Lifespan: 5 years</w:t>
      </w:r>
    </w:p>
    <w:p>
      <w:pPr>
        <w:numPr>
          <w:ilvl w:val="0"/>
          <w:numId w:val="1011"/>
        </w:numPr>
        <w:pStyle w:val="Compact"/>
      </w:pPr>
      <w:r>
        <w:t xml:space="preserve">Illustrative Energy Consumption in Use: 5 kWh/year</w:t>
      </w:r>
    </w:p>
    <w:p>
      <w:pPr>
        <w:numPr>
          <w:ilvl w:val="0"/>
          <w:numId w:val="1011"/>
        </w:numPr>
        <w:pStyle w:val="Compact"/>
      </w:pPr>
      <w:r>
        <w:t xml:space="preserve">Total Energy Consumption: 5 kWh/year * 5 years = 25 kWh</w:t>
      </w:r>
    </w:p>
    <w:p>
      <w:pPr>
        <w:numPr>
          <w:ilvl w:val="0"/>
          <w:numId w:val="1011"/>
        </w:numPr>
        <w:pStyle w:val="Compact"/>
      </w:pPr>
      <w:r>
        <w:t xml:space="preserve">Assumed Global Average Grid Electricity Emission Factor: 0.367 kgCO2e/kWh (2025 data, for typical user regions)</w:t>
      </w:r>
    </w:p>
    <w:p>
      <w:pPr>
        <w:pStyle w:val="FirstParagraph"/>
      </w:pPr>
      <w:r>
        <w:rPr>
          <w:bCs/>
          <w:b/>
        </w:rPr>
        <w:t xml:space="preserve">Calculation:</w:t>
      </w:r>
      <w:r>
        <w:t xml:space="preserve"> </w:t>
      </w:r>
      <w:r>
        <w:t xml:space="preserve">25 kWh * 0.367 kgCO2e/kWh = 9.175 kgCO2e</w:t>
      </w:r>
    </w:p>
    <w:p>
      <w:pPr>
        <w:pStyle w:val="BodyText"/>
      </w:pPr>
      <w:r>
        <w:rPr>
          <w:bCs/>
          <w:b/>
        </w:rPr>
        <w:t xml:space="preserve">Illustrative Scope 3 (Use Phase) Emissions: 9.18 kgCO2e</w:t>
      </w:r>
    </w:p>
    <w:bookmarkEnd w:id="39"/>
    <w:bookmarkStart w:id="40" w:name="X9f66eef2700632e081dfe139021cb724ffcd2c5"/>
    <w:p>
      <w:pPr>
        <w:pStyle w:val="Heading4"/>
      </w:pPr>
      <w:r>
        <w:t xml:space="preserve">4.3.5 Category 12: End-of-Life Treatment of Sold Products</w:t>
      </w:r>
    </w:p>
    <w:p>
      <w:pPr>
        <w:pStyle w:val="FirstParagraph"/>
      </w:pPr>
      <w:r>
        <w:t xml:space="preserve">Assume an illustrative product weight of 1.5 kg.</w:t>
      </w:r>
    </w:p>
    <w:p>
      <w:pPr>
        <w:numPr>
          <w:ilvl w:val="0"/>
          <w:numId w:val="1012"/>
        </w:numPr>
        <w:pStyle w:val="Compact"/>
      </w:pPr>
      <w:r>
        <w:t xml:space="preserve">Illustrative Recyclability Percentage: 70%</w:t>
      </w:r>
    </w:p>
    <w:p>
      <w:pPr>
        <w:numPr>
          <w:ilvl w:val="0"/>
          <w:numId w:val="1012"/>
        </w:numPr>
        <w:pStyle w:val="Compact"/>
      </w:pPr>
      <w:r>
        <w:t xml:space="preserve">Material sent to recycling: 1.5 kg * 0.70 = 1.05 kg</w:t>
      </w:r>
    </w:p>
    <w:p>
      <w:pPr>
        <w:numPr>
          <w:ilvl w:val="0"/>
          <w:numId w:val="1012"/>
        </w:numPr>
        <w:pStyle w:val="Compact"/>
      </w:pPr>
      <w:r>
        <w:t xml:space="preserve">Material sent to landfill/incineration: 1.5 kg * 0.30 = 0.45 kg</w:t>
      </w:r>
    </w:p>
    <w:p>
      <w:pPr>
        <w:numPr>
          <w:ilvl w:val="0"/>
          <w:numId w:val="1012"/>
        </w:numPr>
        <w:pStyle w:val="Compact"/>
      </w:pPr>
      <w:r>
        <w:rPr>
          <w:bCs/>
          <w:b/>
        </w:rPr>
        <w:t xml:space="preserve">Credit for Recycling:</w:t>
      </w:r>
      <w:r>
        <w:t xml:space="preserve"> </w:t>
      </w:r>
      <w:r>
        <w:t xml:space="preserve">Assume an avoided emission factor for recycled mixed materials, e.g., -1.5 kgCO2e/kg.</w:t>
      </w:r>
    </w:p>
    <w:p>
      <w:pPr>
        <w:numPr>
          <w:ilvl w:val="1"/>
          <w:numId w:val="1013"/>
        </w:numPr>
        <w:pStyle w:val="Compact"/>
      </w:pPr>
      <w:r>
        <w:t xml:space="preserve">Calculation: 1.05 kg * -1.5 kgCO2e/kg = -1.575 kgCO2e</w:t>
      </w:r>
    </w:p>
    <w:p>
      <w:pPr>
        <w:numPr>
          <w:ilvl w:val="0"/>
          <w:numId w:val="1012"/>
        </w:numPr>
        <w:pStyle w:val="Compact"/>
      </w:pPr>
      <w:r>
        <w:rPr>
          <w:bCs/>
          <w:b/>
        </w:rPr>
        <w:t xml:space="preserve">Debit for Landfill/Incineration:</w:t>
      </w:r>
      <w:r>
        <w:t xml:space="preserve"> </w:t>
      </w:r>
      <w:r>
        <w:t xml:space="preserve">Assume an emission factor for mixed waste, e.g., 0.5 kgCO2e/kg.</w:t>
      </w:r>
    </w:p>
    <w:p>
      <w:pPr>
        <w:numPr>
          <w:ilvl w:val="1"/>
          <w:numId w:val="1014"/>
        </w:numPr>
        <w:pStyle w:val="Compact"/>
      </w:pPr>
      <w:r>
        <w:t xml:space="preserve">Calculation: 0.45 kg * 0.5 kgCO2e/kg = 0.225 kgCO2e</w:t>
      </w:r>
    </w:p>
    <w:p>
      <w:pPr>
        <w:numPr>
          <w:ilvl w:val="0"/>
          <w:numId w:val="1012"/>
        </w:numPr>
        <w:pStyle w:val="Compact"/>
      </w:pPr>
      <w:r>
        <w:rPr>
          <w:bCs/>
          <w:b/>
        </w:rPr>
        <w:t xml:space="preserve">Circular/Take-back Programs (Product Refurbishment):</w:t>
      </w:r>
      <w:r>
        <w:t xml:space="preserve"> </w:t>
      </w:r>
      <w:r>
        <w:t xml:space="preserve">The existence of a refurbishment program (rsqoywjdxv) could further reduce EoL impacts by extending product life, but quantification requires specific data on refurbishment rates and energy/material inputs for refurbishment. For this PCF, the 70% recyclability represents the primary EoL benefit.</w:t>
      </w:r>
    </w:p>
    <w:p>
      <w:pPr>
        <w:pStyle w:val="FirstParagraph"/>
      </w:pPr>
      <w:r>
        <w:rPr>
          <w:bCs/>
          <w:b/>
        </w:rPr>
        <w:t xml:space="preserve">Illustrative Scope 3 (End-of-Life) Emissions: -1.575 + 0.225 = -1.35 kgCO2e</w:t>
      </w:r>
      <w:r>
        <w:t xml:space="preserve"> </w:t>
      </w:r>
      <w:r>
        <w:t xml:space="preserve">(Net credit)</w:t>
      </w:r>
    </w:p>
    <w:bookmarkEnd w:id="40"/>
    <w:bookmarkEnd w:id="41"/>
    <w:bookmarkStart w:id="42" w:name="Xdc499c436a41758858ffb582e59a29706339e1b"/>
    <w:p>
      <w:pPr>
        <w:pStyle w:val="Heading3"/>
      </w:pPr>
      <w:r>
        <w:t xml:space="preserve">4.4 Application of 2026 LSR Update (Land Sector and Removals Standard)</w:t>
      </w:r>
    </w:p>
    <w:p>
      <w:pPr>
        <w:pStyle w:val="FirstParagraph"/>
      </w:pPr>
      <w:r>
        <w:t xml:space="preserve">The GHG Protocol\'s Land Sector and Removals (LSR) Standard, released on January 30, 2026, provides requirements for corporate GHG accounting covering emissions and removals from agricultural and land use activities. It is effective January 1, 2027.</w:t>
      </w:r>
    </w:p>
    <w:p>
      <w:pPr>
        <w:pStyle w:val="BodyText"/>
      </w:pPr>
      <w:r>
        <w:t xml:space="preserve">While specific land-use change data for the raw materials of hyffljqsks were not provided in the parameters,</w:t>
      </w:r>
      <w:r>
        <w:t xml:space="preserve"> </w:t>
      </w:r>
      <w:r>
        <w:rPr>
          <w:bCs/>
          <w:b/>
        </w:rPr>
        <w:t xml:space="preserve">ndorphewkl</w:t>
      </w:r>
      <w:r>
        <w:t xml:space="preserve"> </w:t>
      </w:r>
      <w:r>
        <w:t xml:space="preserve">commits to applying the principles of the 2026 LSR Standard. This involves assessing if any raw materials (e.g., bio-based plastics, wood in packaging) or manufacturing processes (if directly involving land management) have associated land use change or land management emissions/removals. Given the product\'s nature and the system boundary, direct land-use impacts for this specific PCF are assumed to be minimal or embedded within the \'Total Carbon\' values of the illustrative BOM for purchased goods and services. Future detailed analyses will specifically inquire about the land footprint of primary material production, especially for any agricultural or forestry-derived inputs, in alignment with the forthcoming LSR Guidance expected in Q2 2026.</w:t>
      </w:r>
    </w:p>
    <w:bookmarkEnd w:id="42"/>
    <w:bookmarkStart w:id="43" w:name="total-product-carbon-footprint-summary"/>
    <w:p>
      <w:pPr>
        <w:pStyle w:val="Heading3"/>
      </w:pPr>
      <w:r>
        <w:t xml:space="preserve">4.5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Scope</w:t>
            </w:r>
          </w:p>
        </w:tc>
        <w:tc>
          <w:tcPr/>
          <w:p>
            <w:pPr>
              <w:pStyle w:val="Compact"/>
              <w:jc w:val="left"/>
            </w:pPr>
            <w:r>
              <w:t xml:space="preserve">Illustrative Emissions (kgCO2e/unit)</w:t>
            </w:r>
          </w:p>
        </w:tc>
      </w:tr>
      <w:tr>
        <w:tc>
          <w:tcPr/>
          <w:p>
            <w:pPr>
              <w:pStyle w:val="Compact"/>
              <w:jc w:val="left"/>
            </w:pPr>
            <w:r>
              <w:t xml:space="preserve">Manufacturing Energy (Purchased Electricity)</w:t>
            </w:r>
          </w:p>
        </w:tc>
        <w:tc>
          <w:tcPr/>
          <w:p>
            <w:pPr>
              <w:pStyle w:val="Compact"/>
              <w:jc w:val="left"/>
            </w:pPr>
            <w:r>
              <w:t xml:space="preserve">Scope 2</w:t>
            </w:r>
          </w:p>
        </w:tc>
        <w:tc>
          <w:tcPr/>
          <w:p>
            <w:pPr>
              <w:pStyle w:val="Compact"/>
              <w:jc w:val="left"/>
            </w:pPr>
            <w:r>
              <w:t xml:space="preserve">3.34</w:t>
            </w:r>
          </w:p>
        </w:tc>
      </w:tr>
      <w:tr>
        <w:tc>
          <w:tcPr/>
          <w:p>
            <w:pPr>
              <w:pStyle w:val="Compact"/>
              <w:jc w:val="left"/>
            </w:pPr>
            <w:r>
              <w:t xml:space="preserve">Materials (Purchased Goods and Services)</w:t>
            </w:r>
          </w:p>
        </w:tc>
        <w:tc>
          <w:tcPr/>
          <w:p>
            <w:pPr>
              <w:pStyle w:val="Compact"/>
              <w:jc w:val="left"/>
            </w:pPr>
            <w:r>
              <w:t xml:space="preserve">Scope 3, Cat 1</w:t>
            </w:r>
          </w:p>
        </w:tc>
        <w:tc>
          <w:tcPr/>
          <w:p>
            <w:pPr>
              <w:pStyle w:val="Compact"/>
              <w:jc w:val="left"/>
            </w:pPr>
            <w:r>
              <w:t xml:space="preserve">10.85</w:t>
            </w:r>
          </w:p>
        </w:tc>
      </w:tr>
      <w:tr>
        <w:tc>
          <w:tcPr/>
          <w:p>
            <w:pPr>
              <w:pStyle w:val="Compact"/>
              <w:jc w:val="left"/>
            </w:pPr>
            <w:r>
              <w:t xml:space="preserve">Upstream Transport (Raw Materials)</w:t>
            </w:r>
          </w:p>
        </w:tc>
        <w:tc>
          <w:tcPr/>
          <w:p>
            <w:pPr>
              <w:pStyle w:val="Compact"/>
              <w:jc w:val="left"/>
            </w:pPr>
            <w:r>
              <w:t xml:space="preserve">Scope 3, Cat 4</w:t>
            </w:r>
          </w:p>
        </w:tc>
        <w:tc>
          <w:tcPr/>
          <w:p>
            <w:pPr>
              <w:pStyle w:val="Compact"/>
              <w:jc w:val="left"/>
            </w:pPr>
            <w:r>
              <w:t xml:space="preserve">0.32</w:t>
            </w:r>
          </w:p>
        </w:tc>
      </w:tr>
      <w:tr>
        <w:tc>
          <w:tcPr/>
          <w:p>
            <w:pPr>
              <w:pStyle w:val="Compact"/>
              <w:jc w:val="left"/>
            </w:pPr>
            <w:r>
              <w:t xml:space="preserve">Downstream Transport (Last-Mile Delivery)</w:t>
            </w:r>
          </w:p>
        </w:tc>
        <w:tc>
          <w:tcPr/>
          <w:p>
            <w:pPr>
              <w:pStyle w:val="Compact"/>
              <w:jc w:val="left"/>
            </w:pPr>
            <w:r>
              <w:t xml:space="preserve">Scope 3, Cat 9</w:t>
            </w:r>
          </w:p>
        </w:tc>
        <w:tc>
          <w:tcPr/>
          <w:p>
            <w:pPr>
              <w:pStyle w:val="Compact"/>
              <w:jc w:val="left"/>
            </w:pPr>
            <w:r>
              <w:t xml:space="preserve">2.75</w:t>
            </w:r>
          </w:p>
        </w:tc>
      </w:tr>
      <w:tr>
        <w:tc>
          <w:tcPr/>
          <w:p>
            <w:pPr>
              <w:pStyle w:val="Compact"/>
              <w:jc w:val="left"/>
            </w:pPr>
            <w:r>
              <w:t xml:space="preserve">Use Phase (Operational Energy)</w:t>
            </w:r>
          </w:p>
        </w:tc>
        <w:tc>
          <w:tcPr/>
          <w:p>
            <w:pPr>
              <w:pStyle w:val="Compact"/>
              <w:jc w:val="left"/>
            </w:pPr>
            <w:r>
              <w:t xml:space="preserve">Scope 3, Cat 11</w:t>
            </w:r>
          </w:p>
        </w:tc>
        <w:tc>
          <w:tcPr/>
          <w:p>
            <w:pPr>
              <w:pStyle w:val="Compact"/>
              <w:jc w:val="left"/>
            </w:pPr>
            <w:r>
              <w:t xml:space="preserve">9.18</w:t>
            </w:r>
          </w:p>
        </w:tc>
      </w:tr>
      <w:tr>
        <w:tc>
          <w:tcPr/>
          <w:p>
            <w:pPr>
              <w:pStyle w:val="Compact"/>
              <w:jc w:val="left"/>
            </w:pPr>
            <w:r>
              <w:t xml:space="preserve">End-of-Life Treatment (Net)</w:t>
            </w:r>
          </w:p>
        </w:tc>
        <w:tc>
          <w:tcPr/>
          <w:p>
            <w:pPr>
              <w:pStyle w:val="Compact"/>
              <w:jc w:val="left"/>
            </w:pPr>
            <w:r>
              <w:t xml:space="preserve">Scope 3, Cat 12</w:t>
            </w:r>
          </w:p>
        </w:tc>
        <w:tc>
          <w:tcPr/>
          <w:p>
            <w:pPr>
              <w:pStyle w:val="Compact"/>
              <w:jc w:val="left"/>
            </w:pPr>
            <w:r>
              <w:t xml:space="preserve">-1.35</w:t>
            </w:r>
          </w:p>
        </w:tc>
      </w:tr>
      <w:tr>
        <w:tc>
          <w:tcPr/>
          <w:p>
            <w:pPr>
              <w:pStyle w:val="Compact"/>
              <w:jc w:val="left"/>
            </w:pPr>
            <w:r>
              <w:t xml:space="preserve">Total Illustrative PCF</w:t>
            </w:r>
          </w:p>
        </w:tc>
        <w:tc>
          <w:tcPr/>
          <w:p>
            <w:pPr>
              <w:pStyle w:val="Compact"/>
            </w:pPr>
          </w:p>
        </w:tc>
        <w:tc>
          <w:tcPr/>
          <w:p>
            <w:pPr>
              <w:pStyle w:val="Compact"/>
              <w:jc w:val="left"/>
            </w:pPr>
            <w:r>
              <w:t xml:space="preserve">25.09</w:t>
            </w:r>
          </w:p>
        </w:tc>
      </w:tr>
    </w:tbl>
    <w:p>
      <w:pPr>
        <w:pStyle w:val="BodyText"/>
      </w:pPr>
      <w:r>
        <w:rPr>
          <w:bCs/>
          <w:b/>
        </w:rPr>
        <w:t xml:space="preserve">Total Illustrative Product Carbon Footprint for hyffljqsks: 25.09 kgCO2e/unit</w:t>
      </w:r>
    </w:p>
    <w:p>
      <w:r>
        <w:pict>
          <v:rect style="width:0;height:1.5pt" o:hralign="center" o:hrstd="t" o:hr="t"/>
        </w:pict>
      </w:r>
    </w:p>
    <w:bookmarkEnd w:id="43"/>
    <w:bookmarkEnd w:id="44"/>
    <w:bookmarkStart w:id="47"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Based on the illustrative calculations, the primary emission hotspots for</w:t>
      </w:r>
      <w:r>
        <w:t xml:space="preserve"> </w:t>
      </w:r>
      <w:r>
        <w:rPr>
          <w:bCs/>
          <w:b/>
        </w:rPr>
        <w:t xml:space="preserve">hyffljqsks</w:t>
      </w:r>
      <w:r>
        <w:t xml:space="preserve"> </w:t>
      </w:r>
      <w:r>
        <w:t xml:space="preserve">are:</w:t>
      </w:r>
    </w:p>
    <w:p>
      <w:pPr>
        <w:numPr>
          <w:ilvl w:val="0"/>
          <w:numId w:val="1015"/>
        </w:numPr>
        <w:pStyle w:val="Compact"/>
      </w:pPr>
      <w:r>
        <w:rPr>
          <w:bCs/>
          <w:b/>
        </w:rPr>
        <w:t xml:space="preserve">Materials (Scope 3, Cat 1):</w:t>
      </w:r>
      <w:r>
        <w:t xml:space="preserve"> </w:t>
      </w:r>
      <w:r>
        <w:t xml:space="preserve">10.85 kgCO2e, accounting for approximately 43.2% of the total footprint. This highlights the significant impact of raw material extraction and processing, particularly for components like the Electronic PCB Assembly and Aluminum Frame.</w:t>
      </w:r>
    </w:p>
    <w:p>
      <w:pPr>
        <w:numPr>
          <w:ilvl w:val="0"/>
          <w:numId w:val="1015"/>
        </w:numPr>
        <w:pStyle w:val="Compact"/>
      </w:pPr>
      <w:r>
        <w:rPr>
          <w:bCs/>
          <w:b/>
        </w:rPr>
        <w:t xml:space="preserve">Use Phase (Scope 3, Cat 11):</w:t>
      </w:r>
      <w:r>
        <w:t xml:space="preserve"> </w:t>
      </w:r>
      <w:r>
        <w:t xml:space="preserve">9.18 kgCO2e, accounting for approximately 36.6%. The energy consumption during the product\'s 5-year lifespan is a major contributor, driven by the assumed user electricity mix.</w:t>
      </w:r>
    </w:p>
    <w:p>
      <w:pPr>
        <w:numPr>
          <w:ilvl w:val="0"/>
          <w:numId w:val="1015"/>
        </w:numPr>
        <w:pStyle w:val="Compact"/>
      </w:pPr>
      <w:r>
        <w:rPr>
          <w:bCs/>
          <w:b/>
        </w:rPr>
        <w:t xml:space="preserve">Manufacturing Energy (Scope 2):</w:t>
      </w:r>
      <w:r>
        <w:t xml:space="preserve"> </w:t>
      </w:r>
      <w:r>
        <w:t xml:space="preserve">3.34 kgCO2e, representing about 13.3%. While 60% renewable energy is used, the remaining grid electricity in China still has a notable impact.</w:t>
      </w:r>
    </w:p>
    <w:p>
      <w:pPr>
        <w:numPr>
          <w:ilvl w:val="0"/>
          <w:numId w:val="1015"/>
        </w:numPr>
        <w:pStyle w:val="Compact"/>
      </w:pPr>
      <w:r>
        <w:rPr>
          <w:bCs/>
          <w:b/>
        </w:rPr>
        <w:t xml:space="preserve">Downstream Transport (Scope 3, Cat 9):</w:t>
      </w:r>
      <w:r>
        <w:t xml:space="preserve"> </w:t>
      </w:r>
      <w:r>
        <w:t xml:space="preserve">2.75 kgCO2e, representing about 11.0%. Last-mile delivery, even by an electric van, contributes significantly per unit.</w:t>
      </w:r>
    </w:p>
    <w:bookmarkEnd w:id="45"/>
    <w:bookmarkStart w:id="46" w:name="reliability-statement"/>
    <w:p>
      <w:pPr>
        <w:pStyle w:val="Heading3"/>
      </w:pPr>
      <w:r>
        <w:t xml:space="preserve">5.2 Reliability Statement</w:t>
      </w:r>
    </w:p>
    <w:p>
      <w:pPr>
        <w:pStyle w:val="FirstParagraph"/>
      </w:pPr>
      <w:r>
        <w:t xml:space="preserve">The reliability of this Product Carbon Footprint analysis is directly dependent on the accuracy and completeness of the input data. As this report utilizes illustrative data for all specific parameters (BOM details, transport, energy, lifespan, recyclability, etc.) due to the placeholder nature of the prompt\'s input strings, the calculated figures should be understood as a demonstration of the methodology rather than an absolute factual representation of</w:t>
      </w:r>
      <w:r>
        <w:t xml:space="preserve"> </w:t>
      </w:r>
      <w:r>
        <w:rPr>
          <w:bCs/>
          <w:b/>
        </w:rPr>
        <w:t xml:space="preserve">hyffljqsks\'s</w:t>
      </w:r>
      <w:r>
        <w:t xml:space="preserve"> </w:t>
      </w:r>
      <w:r>
        <w:t xml:space="preserve">actual footprint. For a precise and actionable PCF, primary data from suppliers, energy providers, and logistics partners would be essential.</w:t>
      </w:r>
    </w:p>
    <w:p>
      <w:pPr>
        <w:pStyle w:val="BodyText"/>
      </w:pPr>
      <w:r>
        <w:t xml:space="preserve">The methodology strictly adheres to the GHG Protocol\'s Corporate Standard and Scope 3 Standard, and incorporates the requirements of the 2026 LSR Standard for completeness. The allocation methods, system boundaries, and functional unit are clearly defined. Emission factors are representative of industry standards (e.g., Ecoinvent, DEFRA) and regional specificities where possible for the illustrative calculations. Continuous improvement in data collection and refinement of emission factors will enhance the accuracy of future reports.</w:t>
      </w:r>
    </w:p>
    <w:p>
      <w:r>
        <w:pict>
          <v:rect style="width:0;height:1.5pt" o:hralign="center" o:hrstd="t" o:hr="t"/>
        </w:pict>
      </w:r>
    </w:p>
    <w:bookmarkEnd w:id="46"/>
    <w:bookmarkEnd w:id="47"/>
    <w:bookmarkStart w:id="48" w:name="conclusion-and-recommendations"/>
    <w:p>
      <w:pPr>
        <w:pStyle w:val="Heading2"/>
      </w:pPr>
      <w:r>
        <w:t xml:space="preserve">Conclusion and Recommendations</w:t>
      </w:r>
    </w:p>
    <w:p>
      <w:pPr>
        <w:pStyle w:val="FirstParagraph"/>
      </w:pPr>
      <w:r>
        <w:t xml:space="preserve">This illustrative Product Carbon Footprint analysis for</w:t>
      </w:r>
      <w:r>
        <w:t xml:space="preserve"> </w:t>
      </w:r>
      <w:r>
        <w:rPr>
          <w:bCs/>
          <w:b/>
        </w:rPr>
        <w:t xml:space="preserve">hyffljqsks</w:t>
      </w:r>
      <w:r>
        <w:t xml:space="preserve"> </w:t>
      </w:r>
      <w:r>
        <w:t xml:space="preserve">by</w:t>
      </w:r>
      <w:r>
        <w:t xml:space="preserve"> </w:t>
      </w:r>
      <w:r>
        <w:rPr>
          <w:bCs/>
          <w:b/>
        </w:rPr>
        <w:t xml:space="preserve">ndorphewkl</w:t>
      </w:r>
      <w:r>
        <w:t xml:space="preserve">, prepared by Senior Sustainability Consultant</w:t>
      </w:r>
      <w:r>
        <w:t xml:space="preserve"> </w:t>
      </w:r>
      <w:r>
        <w:rPr>
          <w:bCs/>
          <w:b/>
        </w:rPr>
        <w:t xml:space="preserve">pwmntqqlro</w:t>
      </w:r>
      <w:r>
        <w:t xml:space="preserve">, demonstrates the comprehensive application of the GHG Protocol. The total illustrative PCF is</w:t>
      </w:r>
      <w:r>
        <w:t xml:space="preserve"> </w:t>
      </w:r>
      <w:r>
        <w:rPr>
          <w:bCs/>
          <w:b/>
        </w:rPr>
        <w:t xml:space="preserve">25.09 kgCO2e per unit</w:t>
      </w:r>
      <w:r>
        <w:t xml:space="preserve">.</w:t>
      </w:r>
    </w:p>
    <w:p>
      <w:pPr>
        <w:pStyle w:val="BodyText"/>
      </w:pPr>
      <w:r>
        <w:t xml:space="preserve">Key recommendations for</w:t>
      </w:r>
      <w:r>
        <w:t xml:space="preserve"> </w:t>
      </w:r>
      <w:r>
        <w:rPr>
          <w:bCs/>
          <w:b/>
        </w:rPr>
        <w:t xml:space="preserve">ndorphewkl</w:t>
      </w:r>
      <w:r>
        <w:t xml:space="preserve"> </w:t>
      </w:r>
      <w:r>
        <w:t xml:space="preserve">to reduce the PCF of</w:t>
      </w:r>
      <w:r>
        <w:t xml:space="preserve"> </w:t>
      </w:r>
      <w:r>
        <w:rPr>
          <w:bCs/>
          <w:b/>
        </w:rPr>
        <w:t xml:space="preserve">hyffljqsks</w:t>
      </w:r>
      <w:r>
        <w:t xml:space="preserve"> </w:t>
      </w:r>
      <w:r>
        <w:t xml:space="preserve">include:</w:t>
      </w:r>
    </w:p>
    <w:p>
      <w:pPr>
        <w:numPr>
          <w:ilvl w:val="0"/>
          <w:numId w:val="1016"/>
        </w:numPr>
        <w:pStyle w:val="Compact"/>
      </w:pPr>
      <w:r>
        <w:rPr>
          <w:bCs/>
          <w:b/>
        </w:rPr>
        <w:t xml:space="preserve">Material Optimization:</w:t>
      </w:r>
      <w:r>
        <w:t xml:space="preserve"> </w:t>
      </w:r>
      <w:r>
        <w:t xml:space="preserve">Focus on sourcing lower-carbon materials and optimizing product design to reduce material quantity, particularly for high-impact components like electronics and aluminum. Engage with suppliers for primary emission data and explore recycled content options.</w:t>
      </w:r>
    </w:p>
    <w:p>
      <w:pPr>
        <w:numPr>
          <w:ilvl w:val="0"/>
          <w:numId w:val="1016"/>
        </w:numPr>
        <w:pStyle w:val="Compact"/>
      </w:pPr>
      <w:r>
        <w:rPr>
          <w:bCs/>
          <w:b/>
        </w:rPr>
        <w:t xml:space="preserve">Use Phase Efficiency:</w:t>
      </w:r>
      <w:r>
        <w:t xml:space="preserve"> </w:t>
      </w:r>
      <w:r>
        <w:t xml:space="preserve">Investigate opportunities to reduce the product\'s energy consumption during its use phase. This could involve design for energy efficiency, smart power management, or promoting renewable energy use by end-users.</w:t>
      </w:r>
    </w:p>
    <w:p>
      <w:pPr>
        <w:numPr>
          <w:ilvl w:val="0"/>
          <w:numId w:val="1016"/>
        </w:numPr>
        <w:pStyle w:val="Compact"/>
      </w:pPr>
      <w:r>
        <w:rPr>
          <w:bCs/>
          <w:b/>
        </w:rPr>
        <w:t xml:space="preserve">Manufacturing Decarbonization:</w:t>
      </w:r>
      <w:r>
        <w:t xml:space="preserve"> </w:t>
      </w:r>
      <w:r>
        <w:t xml:space="preserve">Increase the percentage of renewable energy used in the production facility beyond the current illustrative 60% to further reduce Scope 2 emissions. Explore energy efficiency improvements in manufacturing processes.</w:t>
      </w:r>
    </w:p>
    <w:p>
      <w:pPr>
        <w:numPr>
          <w:ilvl w:val="0"/>
          <w:numId w:val="1016"/>
        </w:numPr>
        <w:pStyle w:val="Compact"/>
      </w:pPr>
      <w:r>
        <w:rPr>
          <w:bCs/>
          <w:b/>
        </w:rPr>
        <w:t xml:space="preserve">Logistics Optimization:</w:t>
      </w:r>
      <w:r>
        <w:t xml:space="preserve"> </w:t>
      </w:r>
      <w:r>
        <w:t xml:space="preserve">Optimize transport routes and modes to reduce distances and shift towards lower-emission transport options where feasible.</w:t>
      </w:r>
    </w:p>
    <w:p>
      <w:pPr>
        <w:numPr>
          <w:ilvl w:val="0"/>
          <w:numId w:val="1016"/>
        </w:numPr>
        <w:pStyle w:val="Compact"/>
      </w:pPr>
      <w:r>
        <w:rPr>
          <w:bCs/>
          <w:b/>
        </w:rPr>
        <w:t xml:space="preserve">Circular Economy Integration:</w:t>
      </w:r>
      <w:r>
        <w:t xml:space="preserve"> </w:t>
      </w:r>
      <w:r>
        <w:t xml:space="preserve">Strengthen and expand circular economy initiatives such as the illustrative "Product Refurbishment Program" (rsqoywjdxv) and maximize recyclability (fzfzuuygoh) to achieve greater end-of-life benefits and reduce demand for virgin materials.</w:t>
      </w:r>
    </w:p>
    <w:p>
      <w:pPr>
        <w:pStyle w:val="FirstParagraph"/>
      </w:pPr>
      <w:r>
        <w:t xml:space="preserve">By addressing these hotspots,</w:t>
      </w:r>
      <w:r>
        <w:t xml:space="preserve"> </w:t>
      </w:r>
      <w:r>
        <w:rPr>
          <w:bCs/>
          <w:b/>
        </w:rPr>
        <w:t xml:space="preserve">ndorphewkl</w:t>
      </w:r>
      <w:r>
        <w:t xml:space="preserve"> </w:t>
      </w:r>
      <w:r>
        <w:t xml:space="preserve">can significantly reduce the environmental impact of</w:t>
      </w:r>
      <w:r>
        <w:t xml:space="preserve"> </w:t>
      </w:r>
      <w:r>
        <w:rPr>
          <w:bCs/>
          <w:b/>
        </w:rPr>
        <w:t xml:space="preserve">hyffljqsks</w:t>
      </w:r>
      <w:r>
        <w:t xml:space="preserve"> </w:t>
      </w:r>
      <w:r>
        <w:t xml:space="preserve">and demonstrate strong commitment to sustainability.</w:t>
      </w:r>
    </w:p>
    <w:p>
      <w:pPr>
        <w:pStyle w:val="BodyText"/>
      </w:pPr>
      <w:r>
        <w:t xml:space="preserve">Confidential - Internal Use Only</w:t>
      </w:r>
    </w:p>
    <w:p>
      <w:pPr>
        <w:pStyle w:val="BodyText"/>
      </w:pPr>
      <w:r>
        <w:t xml:space="preserve">Page generated on: May 21, 2026</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hyffljqsks</dc:title>
  <dc:creator/>
  <dc:description>High-detail Product Carbon Footprint (PCF) analysis report for hyffljqsks, following GHG Protocol standards and 2026 LSR updates. Prepared by Senior Sustainability Consultant pwmntqqlro for ndorphewkl.</dc:description>
  <dc:language>en</dc:language>
  <cp:keywords/>
  <dcterms:created xsi:type="dcterms:W3CDTF">2026-07-15T05:23:33Z</dcterms:created>
  <dcterms:modified xsi:type="dcterms:W3CDTF">2026-07-15T05:23:33Z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