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hwvmprtxml</w:t>
      </w:r>
    </w:p>
    <w:p>
      <w:pPr>
        <w:pStyle w:val="FirstParagraph"/>
      </w:pPr>
      <w:r>
        <w:t xml:space="preserve">carboncalcpcf.com</w:t>
      </w:r>
    </w:p>
    <w:bookmarkStart w:id="20" w:name="X72595e5def5a6e9b8d464d27c0fdf5c23f501de"/>
    <w:p>
      <w:pPr>
        <w:pStyle w:val="Heading1"/>
      </w:pPr>
      <w:r>
        <w:t xml:space="preserve">Product Carbon Footprint Analysis for hwvmprtxml</w:t>
      </w:r>
    </w:p>
    <w:p>
      <w:pPr>
        <w:pStyle w:val="FirstParagraph"/>
      </w:pPr>
      <w:r>
        <w:rPr>
          <w:bCs/>
          <w:b/>
        </w:rPr>
        <w:t xml:space="preserve">Company Name:</w:t>
      </w:r>
      <w:r>
        <w:t xml:space="preserve"> </w:t>
      </w:r>
      <w:r>
        <w:t xml:space="preserve">nirgfkglyh</w:t>
      </w:r>
    </w:p>
    <w:p>
      <w:pPr>
        <w:pStyle w:val="BodyText"/>
      </w:pPr>
      <w:r>
        <w:rPr>
          <w:bCs/>
          <w:b/>
        </w:rPr>
        <w:t xml:space="preserve">Senior Sustainability Consultant:</w:t>
      </w:r>
      <w:r>
        <w:t xml:space="preserve"> </w:t>
      </w:r>
      <w:r>
        <w:t xml:space="preserve">zruzxtoeml</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incorporating specific parameters provided.</w:t>
      </w:r>
      <w:r>
        <w:t xml:space="preserve"> </w:t>
      </w:r>
      <w:r>
        <w:t xml:space="preserve">Calculations rely on estimated emission factors where primary data was unavailable.</w:t>
      </w:r>
    </w:p>
    <w:bookmarkEnd w:id="20"/>
    <w:bookmarkStart w:id="21" w:name="Xb3ec3517e7bc78130df9d1c057246e0c2e35a01"/>
    <w:p>
      <w:pPr>
        <w:pStyle w:val="Heading1"/>
      </w:pPr>
      <w:r>
        <w:t xml:space="preserve">Product Carbon Footprint Analysis for hwvmprtxml</w:t>
      </w:r>
    </w:p>
    <w:p>
      <w:pPr>
        <w:pStyle w:val="FirstParagraph"/>
      </w:pPr>
      <w:r>
        <w:rPr>
          <w:bCs/>
          <w:b/>
        </w:rPr>
        <w:t xml:space="preserve">Generated Date:</w:t>
      </w:r>
      <w:r>
        <w:t xml:space="preserve"> </w:t>
      </w:r>
      <w:r>
        <w:t xml:space="preserve">June 1,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hwvmprtxml</w:t>
      </w:r>
      <w:r>
        <w:t xml:space="preserve">,</w:t>
      </w:r>
      <w:r>
        <w:t xml:space="preserve"> </w:t>
      </w:r>
      <w:r>
        <w:t xml:space="preserve">manufactured by</w:t>
      </w:r>
      <w:r>
        <w:t xml:space="preserve"> </w:t>
      </w:r>
      <w:r>
        <w:rPr>
          <w:bCs/>
          <w:b/>
        </w:rPr>
        <w:t xml:space="preserve">nirgfkglyh</w:t>
      </w:r>
      <w:r>
        <w:t xml:space="preserve">. The analysis was conducted by</w:t>
      </w:r>
      <w:r>
        <w:t xml:space="preserve"> </w:t>
      </w:r>
      <w:r>
        <w:rPr>
          <w:bCs/>
          <w:b/>
        </w:rPr>
        <w:t xml:space="preserve">zruzxtoeml</w:t>
      </w:r>
      <w:r>
        <w:t xml:space="preserve">, Senior Sustainability Consultant,</w:t>
      </w:r>
      <w:r>
        <w:t xml:space="preserve"> </w:t>
      </w:r>
      <w:r>
        <w:t xml:space="preserve">adhering strictly to the GHG Protocol accounting standard, including considerations for the 2026 Land Sector and Removals (LSR) update and</w:t>
      </w:r>
      <w:r>
        <w:t xml:space="preserve"> </w:t>
      </w:r>
      <w:r>
        <w:t xml:space="preserve">achieving at least 95% coverage for Scope 3 emissions. The total estimated cradle-to-grave carbon footprint for one functional unit of hwvmprtxml is</w:t>
      </w:r>
      <w:r>
        <w:t xml:space="preserve"> </w:t>
      </w:r>
      <w:r>
        <w:rPr>
          <w:bCs/>
          <w:b/>
        </w:rPr>
        <w:t xml:space="preserve">67.20 kg CO2e</w:t>
      </w:r>
      <w:r>
        <w:t xml:space="preserve">. The use phase of the product represents the most significant contributor to its overall environmental impact,</w:t>
      </w:r>
      <w:r>
        <w:t xml:space="preserve"> </w:t>
      </w:r>
      <w:r>
        <w:t xml:space="preserve">underscoring the importance of energy efficiency during product operation.</w:t>
      </w:r>
    </w:p>
    <w:bookmarkEnd w:id="22"/>
    <w:p>
      <w:r>
        <w:pict>
          <v:rect style="width:0;height:1.5pt" o:hralign="center" o:hrstd="t" o:hr="t"/>
        </w:pict>
      </w:r>
    </w:p>
    <w:bookmarkStart w:id="29" w:name="methodology"/>
    <w:p>
      <w:pPr>
        <w:pStyle w:val="Heading2"/>
      </w:pPr>
      <w:r>
        <w:t xml:space="preserve">Methodology</w:t>
      </w:r>
    </w:p>
    <w:p>
      <w:pPr>
        <w:pStyle w:val="FirstParagraph"/>
      </w:pPr>
      <w:r>
        <w:t xml:space="preserve">The Product Carbon Footprint (PCF) analysis for hwvmprtxml follows a systematic approach aligned with the GHG Protocol Product Standard, encompassing five key steps:</w:t>
      </w:r>
    </w:p>
    <w:p>
      <w:pPr>
        <w:numPr>
          <w:ilvl w:val="0"/>
          <w:numId w:val="1001"/>
        </w:numPr>
        <w:pStyle w:val="Heading3"/>
      </w:pPr>
      <w:bookmarkStart w:id="23" w:name="define-scope"/>
      <w:r>
        <w:t xml:space="preserve">Define Scope</w:t>
      </w:r>
      <w:bookmarkEnd w:id="23"/>
    </w:p>
    <w:p>
      <w:pPr>
        <w:numPr>
          <w:ilvl w:val="1"/>
          <w:numId w:val="1002"/>
        </w:numPr>
        <w:pStyle w:val="Compact"/>
      </w:pPr>
      <w:r>
        <w:rPr>
          <w:bCs/>
          <w:b/>
        </w:rPr>
        <w:t xml:space="preserve">Functional Unit:</w:t>
      </w:r>
      <w:r>
        <w:t xml:space="preserve"> </w:t>
      </w:r>
      <w:r>
        <w:t xml:space="preserve">1.0 unit of hwvmprtxml.</w:t>
      </w:r>
    </w:p>
    <w:p>
      <w:pPr>
        <w:numPr>
          <w:ilvl w:val="1"/>
          <w:numId w:val="1002"/>
        </w:numPr>
        <w:pStyle w:val="Compact"/>
      </w:pPr>
      <w:r>
        <w:rPr>
          <w:bCs/>
          <w:b/>
        </w:rPr>
        <w:t xml:space="preserve">System Boundary:</w:t>
      </w:r>
      <w:r>
        <w:t xml:space="preserve"> </w:t>
      </w:r>
      <w:r>
        <w:t xml:space="preserve">Cradle-to-grave, specifically "factory_gate" for the production boundary, but extended to cover use and end-of-life for a comprehensive PCF.</w:t>
      </w:r>
    </w:p>
    <w:p>
      <w:pPr>
        <w:numPr>
          <w:ilvl w:val="1"/>
          <w:numId w:val="1002"/>
        </w:numPr>
        <w:pStyle w:val="Compact"/>
      </w:pPr>
      <w:r>
        <w:rPr>
          <w:bCs/>
          <w:b/>
        </w:rPr>
        <w:t xml:space="preserve">Geographic Scope:</w:t>
      </w:r>
      <w:r>
        <w:t xml:space="preserve"> </w:t>
      </w:r>
      <w:r>
        <w:t xml:space="preserve">Final Production Country: China, with a Supply Chain Focus on Europe for key components and distribution.</w:t>
      </w:r>
    </w:p>
    <w:p>
      <w:pPr>
        <w:numPr>
          <w:ilvl w:val="1"/>
          <w:numId w:val="1002"/>
        </w:numPr>
        <w:pStyle w:val="Compact"/>
      </w:pPr>
      <w:r>
        <w:rPr>
          <w:bCs/>
          <w:b/>
        </w:rPr>
        <w:t xml:space="preserve">Accounting Standard:</w:t>
      </w:r>
      <w:r>
        <w:t xml:space="preserve"> </w:t>
      </w:r>
      <w:r>
        <w:t xml:space="preserve">GHG Protocol.</w:t>
      </w:r>
    </w:p>
    <w:p>
      <w:pPr>
        <w:numPr>
          <w:ilvl w:val="1"/>
          <w:numId w:val="1002"/>
        </w:numPr>
        <w:pStyle w:val="Compact"/>
      </w:pPr>
      <w:r>
        <w:rPr>
          <w:bCs/>
          <w:b/>
        </w:rPr>
        <w:t xml:space="preserve">Allocation:</w:t>
      </w:r>
      <w:r>
        <w:t xml:space="preserve"> </w:t>
      </w:r>
      <w:r>
        <w:t xml:space="preserve">Mass allocation was primarily used for multi-product processes where applicable.</w:t>
      </w:r>
    </w:p>
    <w:p>
      <w:pPr>
        <w:numPr>
          <w:ilvl w:val="0"/>
          <w:numId w:val="1001"/>
        </w:numPr>
        <w:pStyle w:val="Heading3"/>
      </w:pPr>
      <w:bookmarkStart w:id="24" w:name="map-lifecycle-lci-inventory-stages"/>
      <w:r>
        <w:t xml:space="preserve">Map Lifecycle (LCI Inventory Stages)</w:t>
      </w:r>
      <w:bookmarkEnd w:id="24"/>
    </w:p>
    <w:p>
      <w:pPr>
        <w:numPr>
          <w:ilvl w:val="0"/>
          <w:numId w:val="1000"/>
        </w:numPr>
      </w:pPr>
      <w:r>
        <w:t xml:space="preserve">The lifecycle of hwvmprtxml was mapped across the following stages:</w:t>
      </w:r>
    </w:p>
    <w:p>
      <w:pPr>
        <w:numPr>
          <w:ilvl w:val="1"/>
          <w:numId w:val="1003"/>
        </w:numPr>
        <w:pStyle w:val="Compact"/>
      </w:pPr>
      <w:r>
        <w:rPr>
          <w:bCs/>
          <w:b/>
        </w:rPr>
        <w:t xml:space="preserve">Raw Material Acquisition &amp; Pre-processing (Upstream):</w:t>
      </w:r>
      <w:r>
        <w:t xml:space="preserve"> </w:t>
      </w:r>
      <w:r>
        <w:t xml:space="preserve">Extraction, processing, and manufacturing of all components listed in the Bill of Materials (BOM).</w:t>
      </w:r>
    </w:p>
    <w:p>
      <w:pPr>
        <w:numPr>
          <w:ilvl w:val="1"/>
          <w:numId w:val="1003"/>
        </w:numPr>
        <w:pStyle w:val="Compact"/>
      </w:pPr>
      <w:r>
        <w:rPr>
          <w:bCs/>
          <w:b/>
        </w:rPr>
        <w:t xml:space="preserve">Production/Manufacturing (Core):</w:t>
      </w:r>
      <w:r>
        <w:t xml:space="preserve"> </w:t>
      </w:r>
      <w:r>
        <w:t xml:space="preserve">Energy consumption and direct emissions at the nirgfkglyh manufacturing facility in China.</w:t>
      </w:r>
    </w:p>
    <w:p>
      <w:pPr>
        <w:numPr>
          <w:ilvl w:val="1"/>
          <w:numId w:val="1003"/>
        </w:numPr>
        <w:pStyle w:val="Compact"/>
      </w:pPr>
      <w:r>
        <w:rPr>
          <w:bCs/>
          <w:b/>
        </w:rPr>
        <w:t xml:space="preserve">Transportation &amp; Distribution (Upstream &amp; Downstream):</w:t>
      </w:r>
      <w:r>
        <w:t xml:space="preserve"> </w:t>
      </w:r>
      <w:r>
        <w:t xml:space="preserve">Inbound logistics for raw materials/components to the factory, and outbound logistics for finished products to the customer, including last-mile delivery.</w:t>
      </w:r>
    </w:p>
    <w:p>
      <w:pPr>
        <w:numPr>
          <w:ilvl w:val="1"/>
          <w:numId w:val="1003"/>
        </w:numPr>
        <w:pStyle w:val="Compact"/>
      </w:pPr>
      <w:r>
        <w:rPr>
          <w:bCs/>
          <w:b/>
        </w:rPr>
        <w:t xml:space="preserve">Use Phase (Downstream):</w:t>
      </w:r>
      <w:r>
        <w:t xml:space="preserve"> </w:t>
      </w:r>
      <w:r>
        <w:t xml:space="preserve">Energy consumption during the typical product lifespan by the end-user.</w:t>
      </w:r>
    </w:p>
    <w:p>
      <w:pPr>
        <w:numPr>
          <w:ilvl w:val="1"/>
          <w:numId w:val="1003"/>
        </w:numPr>
        <w:pStyle w:val="Compact"/>
      </w:pPr>
      <w:r>
        <w:rPr>
          <w:bCs/>
          <w:b/>
        </w:rPr>
        <w:t xml:space="preserve">End-of-Life (Downstream):</w:t>
      </w:r>
      <w:r>
        <w:t xml:space="preserve"> </w:t>
      </w:r>
      <w:r>
        <w:t xml:space="preserve">Disposal or recycling of the product and its components at the end of its functional life.</w:t>
      </w:r>
    </w:p>
    <w:p>
      <w:pPr>
        <w:numPr>
          <w:ilvl w:val="0"/>
          <w:numId w:val="1001"/>
        </w:numPr>
        <w:pStyle w:val="Heading3"/>
      </w:pPr>
      <w:bookmarkStart w:id="25" w:name="collect-data"/>
      <w:r>
        <w:t xml:space="preserve">Collect Data</w:t>
      </w:r>
      <w:bookmarkEnd w:id="25"/>
    </w:p>
    <w:p>
      <w:pPr>
        <w:numPr>
          <w:ilvl w:val="0"/>
          <w:numId w:val="1000"/>
        </w:numPr>
      </w:pPr>
      <w:r>
        <w:t xml:space="preserve">Primary and secondary data were collected to quantify emissions for each lifecycle stage:</w:t>
      </w:r>
    </w:p>
    <w:p>
      <w:pPr>
        <w:numPr>
          <w:ilvl w:val="1"/>
          <w:numId w:val="1004"/>
        </w:numPr>
        <w:pStyle w:val="Compact"/>
      </w:pPr>
      <w:r>
        <w:rPr>
          <w:bCs/>
          <w:b/>
        </w:rPr>
        <w:t xml:space="preserve">Primary Data:</w:t>
      </w:r>
      <w:r>
        <w:t xml:space="preserve"> </w:t>
      </w:r>
      <w:r>
        <w:t xml:space="preserve">Provided parameters for Bill of Materials (BOM), transport, energy usage, product lifespan, energy in use, recyclability, and circular programs.</w:t>
      </w:r>
    </w:p>
    <w:p>
      <w:pPr>
        <w:numPr>
          <w:ilvl w:val="1"/>
          <w:numId w:val="1004"/>
        </w:numPr>
        <w:pStyle w:val="Compact"/>
      </w:pPr>
      <w:r>
        <w:rPr>
          <w:bCs/>
          <w:b/>
        </w:rPr>
        <w:t xml:space="preserve">Secondary Data:</w:t>
      </w:r>
      <w:r>
        <w:t xml:space="preserve"> </w:t>
      </w:r>
      <w:r>
        <w:t xml:space="preserve">Industry-average emission factors were sourced from reputable databases (e.g., Ecoinvent, DEFRA, IEA, EPA, IPCC) for processes where specific primary data or factors were not supplied. Key assumptions are detailed in the calculations section.</w:t>
      </w:r>
    </w:p>
    <w:p>
      <w:pPr>
        <w:numPr>
          <w:ilvl w:val="0"/>
          <w:numId w:val="1001"/>
        </w:numPr>
        <w:pStyle w:val="Heading3"/>
      </w:pPr>
      <w:bookmarkStart w:id="26" w:name="calculate-emissions"/>
      <w:r>
        <w:t xml:space="preserve">Calculate Emissions</w:t>
      </w:r>
      <w:bookmarkEnd w:id="26"/>
    </w:p>
    <w:p>
      <w:pPr>
        <w:numPr>
          <w:ilvl w:val="0"/>
          <w:numId w:val="1000"/>
        </w:numPr>
      </w:pPr>
      <w:r>
        <w:t xml:space="preserve">Emissions were calculated using the formula: Activity Data × Emission Factor = CO2e. All greenhouse gases (CO2, CH4, N2O) were converted to CO2 equivalents (CO2e) using their respective Global Warming Potentials (GWPs) from IPCC AR5 100-year factors.</w:t>
      </w:r>
    </w:p>
    <w:p>
      <w:pPr>
        <w:numPr>
          <w:ilvl w:val="0"/>
          <w:numId w:val="1001"/>
        </w:numPr>
        <w:pStyle w:val="Heading3"/>
      </w:pPr>
      <w:bookmarkStart w:id="27" w:name="review-report"/>
      <w:r>
        <w:t xml:space="preserve">Review &amp; Report</w:t>
      </w:r>
      <w:bookmarkEnd w:id="27"/>
    </w:p>
    <w:p>
      <w:pPr>
        <w:numPr>
          <w:ilvl w:val="0"/>
          <w:numId w:val="1000"/>
        </w:numPr>
      </w:pPr>
      <w:r>
        <w:t xml:space="preserve">The analysis identifies emission hotspots and discusses the reliability of the data used. The report aims for transparency and actionable insights for nirgfkglyh.</w:t>
      </w:r>
    </w:p>
    <w:bookmarkStart w:id="28" w:name="ghg-protocol-adherence-2026-lsr-update"/>
    <w:p>
      <w:pPr>
        <w:pStyle w:val="Heading3"/>
      </w:pPr>
      <w:r>
        <w:t xml:space="preserve">GHG Protocol Adherence &amp; 2026 LSR Update</w:t>
      </w:r>
    </w:p>
    <w:p>
      <w:pPr>
        <w:pStyle w:val="FirstParagraph"/>
      </w:pPr>
      <w:r>
        <w:t xml:space="preserve">Emissions are categorized into Scope 1 (direct emissions from owned or controlled sources), Scope 2 (indirect emissions from the generation of purchased energy),</w:t>
      </w:r>
      <w:r>
        <w:t xml:space="preserve"> </w:t>
      </w:r>
      <w:r>
        <w:t xml:space="preserve">and Scope 3 (all other indirect emissions in the value chain). This analysis focuses heavily on Scope 3, ensuring at least 95% coverage as per 2026 requirements.</w:t>
      </w:r>
      <w:r>
        <w:t xml:space="preserve"> </w:t>
      </w:r>
      <w:r>
        <w:t xml:space="preserve">The 2026 Land Sector and Removals (LSR) Standard is acknowledged, and while specific land-use change data for raw materials was not provided, its importance for</w:t>
      </w:r>
      <w:r>
        <w:t xml:space="preserve"> </w:t>
      </w:r>
      <w:r>
        <w:t xml:space="preserve">a complete cradle-to-gate assessment of biogenic carbon flows is noted. In a full implementation, the LSR standard would account for emissions and removals associated</w:t>
      </w:r>
      <w:r>
        <w:t xml:space="preserve"> </w:t>
      </w:r>
      <w:r>
        <w:t xml:space="preserve">with land use and land-use change from bio-based materials and forestry within the product\'s supply chain.</w:t>
      </w:r>
    </w:p>
    <w:bookmarkEnd w:id="28"/>
    <w:bookmarkEnd w:id="29"/>
    <w:p>
      <w:r>
        <w:pict>
          <v:rect style="width:0;height:1.5pt" o:hralign="center" o:hrstd="t" o:hr="t"/>
        </w:pict>
      </w:r>
    </w:p>
    <w:bookmarkStart w:id="36" w:name="detailed-data-breakdown-assumptions"/>
    <w:p>
      <w:pPr>
        <w:pStyle w:val="Heading2"/>
      </w:pPr>
      <w:r>
        <w:t xml:space="preserve">Detailed Data Breakdown &amp; Assumptions</w:t>
      </w:r>
    </w:p>
    <w:p>
      <w:pPr>
        <w:pStyle w:val="FirstParagraph"/>
      </w:pPr>
      <w:r>
        <w:t xml:space="preserve">To perform the Product Carbon Footprint analysis for hwvmprtxml, the following specific parameters and derived values were used.</w:t>
      </w:r>
      <w:r>
        <w:t xml:space="preserve"> </w:t>
      </w:r>
      <w:r>
        <w:t xml:space="preserve">Where placeholder values were provided, realistic and conservative estimates have been generated for calculation purposes.</w:t>
      </w:r>
    </w:p>
    <w:bookmarkStart w:id="30" w:name="product-specifications-and-parameters"/>
    <w:p>
      <w:pPr>
        <w:pStyle w:val="Heading3"/>
      </w:pPr>
      <w:r>
        <w:t xml:space="preserve">Product Specifications and Parameters:</w:t>
      </w:r>
    </w:p>
    <w:p>
      <w:pPr>
        <w:numPr>
          <w:ilvl w:val="0"/>
          <w:numId w:val="1005"/>
        </w:numPr>
        <w:pStyle w:val="Compact"/>
      </w:pPr>
      <w:r>
        <w:rPr>
          <w:bCs/>
          <w:b/>
        </w:rPr>
        <w:t xml:space="preserve">Product Name:</w:t>
      </w:r>
      <w:r>
        <w:t xml:space="preserve"> </w:t>
      </w:r>
      <w:r>
        <w:t xml:space="preserve">hwvmprtxml</w:t>
      </w:r>
    </w:p>
    <w:p>
      <w:pPr>
        <w:numPr>
          <w:ilvl w:val="0"/>
          <w:numId w:val="1005"/>
        </w:numPr>
        <w:pStyle w:val="Compact"/>
      </w:pPr>
      <w:r>
        <w:rPr>
          <w:bCs/>
          <w:b/>
        </w:rPr>
        <w:t xml:space="preserve">Company Name:</w:t>
      </w:r>
      <w:r>
        <w:t xml:space="preserve"> </w:t>
      </w:r>
      <w:r>
        <w:t xml:space="preserve">nirgfkglyh</w:t>
      </w:r>
    </w:p>
    <w:p>
      <w:pPr>
        <w:numPr>
          <w:ilvl w:val="0"/>
          <w:numId w:val="1005"/>
        </w:numPr>
        <w:pStyle w:val="Compact"/>
      </w:pPr>
      <w:r>
        <w:rPr>
          <w:bCs/>
          <w:b/>
        </w:rPr>
        <w:t xml:space="preserve">Senior Sustainability Consultant:</w:t>
      </w:r>
      <w:r>
        <w:t xml:space="preserve"> </w:t>
      </w:r>
      <w:r>
        <w:t xml:space="preserve">zruzxtoeml</w:t>
      </w:r>
    </w:p>
    <w:p>
      <w:pPr>
        <w:numPr>
          <w:ilvl w:val="0"/>
          <w:numId w:val="1005"/>
        </w:numPr>
        <w:pStyle w:val="Compact"/>
      </w:pPr>
      <w:r>
        <w:rPr>
          <w:bCs/>
          <w:b/>
        </w:rPr>
        <w:t xml:space="preserve">Functional Unit:</w:t>
      </w:r>
      <w:r>
        <w:t xml:space="preserve"> </w:t>
      </w:r>
      <w:r>
        <w:t xml:space="preserve">1.0 unit</w:t>
      </w:r>
    </w:p>
    <w:p>
      <w:pPr>
        <w:numPr>
          <w:ilvl w:val="0"/>
          <w:numId w:val="1005"/>
        </w:numPr>
        <w:pStyle w:val="Compact"/>
      </w:pPr>
      <w:r>
        <w:rPr>
          <w:bCs/>
          <w:b/>
        </w:rPr>
        <w:t xml:space="preserve">System Boundary:</w:t>
      </w:r>
      <w:r>
        <w:t xml:space="preserve"> </w:t>
      </w:r>
      <w:r>
        <w:t xml:space="preserve">Cradle-to-grave (Factory Gate for Production, extended for Use &amp; EoL)</w:t>
      </w:r>
    </w:p>
    <w:p>
      <w:pPr>
        <w:numPr>
          <w:ilvl w:val="0"/>
          <w:numId w:val="1005"/>
        </w:numPr>
        <w:pStyle w:val="Compact"/>
      </w:pPr>
      <w:r>
        <w:rPr>
          <w:bCs/>
          <w:b/>
        </w:rPr>
        <w:t xml:space="preserve">Geographic Scope:</w:t>
      </w:r>
      <w:r>
        <w:t xml:space="preserve"> </w:t>
      </w:r>
      <w:r>
        <w:t xml:space="preserve">Final Production Country: China, Supply Chain Focus: Europe Focused</w:t>
      </w:r>
    </w:p>
    <w:p>
      <w:pPr>
        <w:numPr>
          <w:ilvl w:val="0"/>
          <w:numId w:val="1005"/>
        </w:numPr>
        <w:pStyle w:val="Compact"/>
      </w:pPr>
      <w:r>
        <w:rPr>
          <w:bCs/>
          <w:b/>
        </w:rPr>
        <w:t xml:space="preserve">Accounting Standard:</w:t>
      </w:r>
      <w:r>
        <w:t xml:space="preserve"> </w:t>
      </w:r>
      <w:r>
        <w:t xml:space="preserve">GHG Protocol</w:t>
      </w:r>
    </w:p>
    <w:p>
      <w:pPr>
        <w:numPr>
          <w:ilvl w:val="0"/>
          <w:numId w:val="1005"/>
        </w:numPr>
        <w:pStyle w:val="Compact"/>
      </w:pPr>
      <w:r>
        <w:rPr>
          <w:bCs/>
          <w:b/>
        </w:rPr>
        <w:t xml:space="preserve">Product Weight (for transport/EoL calculation):</w:t>
      </w:r>
      <w:r>
        <w:t xml:space="preserve"> </w:t>
      </w:r>
      <w:r>
        <w:t xml:space="preserve">1.0 kg (Assumed, including non-BOM components and packaging)</w:t>
      </w:r>
    </w:p>
    <w:bookmarkEnd w:id="30"/>
    <w:bookmarkStart w:id="31" w:name="Xd8fbdd44575e63afdbd0783a2eb07c55a89c196"/>
    <w:p>
      <w:pPr>
        <w:pStyle w:val="Heading3"/>
      </w:pPr>
      <w:r>
        <w:t xml:space="preserve">Materials Input (Detailed Bill of Materials - BOM)</w:t>
      </w:r>
    </w:p>
    <w:p>
      <w:pPr>
        <w:pStyle w:val="FirstParagraph"/>
      </w:pPr>
      <w:r>
        <w:t xml:space="preserve">The provided Detailed Bill of Materials (BOM) was used directly for calculating material impacts. The \'Total Carbon\' values represent the</w:t>
      </w:r>
      <w:r>
        <w:t xml:space="preserve"> </w:t>
      </w:r>
      <w:r>
        <w:t xml:space="preserve">cradle-to-gate emissions for each material item.</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(kgCO2e/unit_qty)</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Chassis</w:t>
            </w:r>
          </w:p>
        </w:tc>
        <w:tc>
          <w:tcPr/>
          <w:p>
            <w:pPr>
              <w:pStyle w:val="Compact"/>
              <w:jc w:val="left"/>
            </w:pPr>
            <w:r>
              <w:t xml:space="preserve">Metal</w:t>
            </w:r>
          </w:p>
        </w:tc>
        <w:tc>
          <w:tcPr/>
          <w:p>
            <w:pPr>
              <w:pStyle w:val="Compact"/>
              <w:jc w:val="left"/>
            </w:pPr>
            <w:r>
              <w:t xml:space="preserve">Die Casting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7.5</w:t>
            </w:r>
          </w:p>
        </w:tc>
        <w:tc>
          <w:tcPr/>
          <w:p>
            <w:pPr>
              <w:pStyle w:val="Compact"/>
              <w:jc w:val="left"/>
            </w:pPr>
            <w:r>
              <w:t xml:space="preserve">2.25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3.2</w:t>
            </w:r>
          </w:p>
        </w:tc>
        <w:tc>
          <w:tcPr/>
          <w:p>
            <w:pPr>
              <w:pStyle w:val="Compact"/>
              <w:jc w:val="left"/>
            </w:pPr>
            <w:r>
              <w:t xml:space="preserve">0.48</w:t>
            </w:r>
          </w:p>
        </w:tc>
      </w:tr>
      <w:tr>
        <w:tc>
          <w:tcPr/>
          <w:p>
            <w:pPr>
              <w:pStyle w:val="Compact"/>
              <w:jc w:val="left"/>
            </w:pPr>
            <w:r>
              <w:t xml:space="preserve">3</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18.0</w:t>
            </w:r>
          </w:p>
        </w:tc>
        <w:tc>
          <w:tcPr/>
          <w:p>
            <w:pPr>
              <w:pStyle w:val="Compact"/>
              <w:jc w:val="left"/>
            </w:pPr>
            <w:r>
              <w:t xml:space="preserve">1.44</w:t>
            </w:r>
          </w:p>
        </w:tc>
      </w:tr>
      <w:tr>
        <w:tc>
          <w:tcPr/>
          <w:p>
            <w:pPr>
              <w:pStyle w:val="Compact"/>
              <w:jc w:val="left"/>
            </w:pPr>
            <w:r>
              <w:t xml:space="preserve">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w:t>
            </w:r>
          </w:p>
        </w:tc>
        <w:tc>
          <w:tcPr/>
          <w:p>
            <w:pPr>
              <w:pStyle w:val="Compact"/>
              <w:jc w:val="left"/>
            </w:pPr>
            <w:r>
              <w:t xml:space="preserve">1.50</w:t>
            </w:r>
          </w:p>
        </w:tc>
      </w:tr>
      <w:tr>
        <w:tc>
          <w:tcPr/>
          <w:p>
            <w:pPr>
              <w:pStyle w:val="Compact"/>
              <w:jc w:val="left"/>
            </w:pPr>
            <w:r>
              <w:t xml:space="preserve">5</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120.0</w:t>
            </w:r>
          </w:p>
        </w:tc>
        <w:tc>
          <w:tcPr/>
          <w:p>
            <w:pPr>
              <w:pStyle w:val="Compact"/>
              <w:jc w:val="left"/>
            </w:pPr>
            <w:r>
              <w:t xml:space="preserve">2.40</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Production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bl>
    <w:p>
      <w:pPr>
        <w:pStyle w:val="BodyText"/>
      </w:pPr>
      <w:r>
        <w:rPr>
          <w:bCs/>
          <w:b/>
        </w:rPr>
        <w:t xml:space="preserve">Total Material Emissions (Sum of BOM Total Carbon): 8.17 kgCO2e</w:t>
      </w:r>
    </w:p>
    <w:bookmarkEnd w:id="31"/>
    <w:bookmarkStart w:id="32" w:name="energy-inputs-production-phase"/>
    <w:p>
      <w:pPr>
        <w:pStyle w:val="Heading3"/>
      </w:pPr>
      <w:r>
        <w:t xml:space="preserve">Energy Inputs (Production Phase)</w:t>
      </w:r>
    </w:p>
    <w:p>
      <w:pPr>
        <w:numPr>
          <w:ilvl w:val="0"/>
          <w:numId w:val="1006"/>
        </w:numPr>
        <w:pStyle w:val="Compact"/>
      </w:pPr>
      <w:r>
        <w:rPr>
          <w:bCs/>
          <w:b/>
        </w:rPr>
        <w:t xml:space="preserve">Energy Intensity (kWh/unit):</w:t>
      </w:r>
      <w:r>
        <w:t xml:space="preserve"> </w:t>
      </w:r>
      <w:r>
        <w:t xml:space="preserve">15 kWh/unit</w:t>
      </w:r>
    </w:p>
    <w:p>
      <w:pPr>
        <w:numPr>
          <w:ilvl w:val="0"/>
          <w:numId w:val="1006"/>
        </w:numPr>
        <w:pStyle w:val="Compact"/>
      </w:pPr>
      <w:r>
        <w:rPr>
          <w:bCs/>
          <w:b/>
        </w:rPr>
        <w:t xml:space="preserve">Renewable Energy Usage:</w:t>
      </w:r>
      <w:r>
        <w:t xml:space="preserve"> </w:t>
      </w:r>
      <w:r>
        <w:t xml:space="preserve">70%</w:t>
      </w:r>
    </w:p>
    <w:p>
      <w:pPr>
        <w:numPr>
          <w:ilvl w:val="0"/>
          <w:numId w:val="1006"/>
        </w:numPr>
        <w:pStyle w:val="Compact"/>
      </w:pPr>
      <w:r>
        <w:rPr>
          <w:bCs/>
          <w:b/>
        </w:rPr>
        <w:t xml:space="preserve">Assumed Grid Electricity Emission Factor (China):</w:t>
      </w:r>
      <w:r>
        <w:t xml:space="preserve"> </w:t>
      </w:r>
      <w:r>
        <w:t xml:space="preserve">0.70 kgCO2e/kWh</w:t>
      </w:r>
    </w:p>
    <w:p>
      <w:pPr>
        <w:numPr>
          <w:ilvl w:val="0"/>
          <w:numId w:val="1006"/>
        </w:numPr>
        <w:pStyle w:val="Compact"/>
      </w:pPr>
      <w:r>
        <w:rPr>
          <w:bCs/>
          <w:b/>
        </w:rPr>
        <w:t xml:space="preserve">Assumed Renewable Electricity Emission Factor:</w:t>
      </w:r>
      <w:r>
        <w:t xml:space="preserve"> </w:t>
      </w:r>
      <w:r>
        <w:t xml:space="preserve">0.01 kgCO2e/kWh</w:t>
      </w:r>
    </w:p>
    <w:bookmarkEnd w:id="32"/>
    <w:bookmarkStart w:id="33" w:name="logistics-data"/>
    <w:p>
      <w:pPr>
        <w:pStyle w:val="Heading3"/>
      </w:pPr>
      <w:r>
        <w:t xml:space="preserve">Logistics Data</w:t>
      </w:r>
    </w:p>
    <w:p>
      <w:pPr>
        <w:numPr>
          <w:ilvl w:val="0"/>
          <w:numId w:val="1007"/>
        </w:numPr>
        <w:pStyle w:val="Compact"/>
      </w:pPr>
      <w:r>
        <w:rPr>
          <w:bCs/>
          <w:b/>
        </w:rPr>
        <w:t xml:space="preserve">Transport Mode (Main):</w:t>
      </w:r>
      <w:r>
        <w:t xml:space="preserve"> </w:t>
      </w:r>
      <w:r>
        <w:t xml:space="preserve">Road Freight (Heavy Goods Vehicle)</w:t>
      </w:r>
    </w:p>
    <w:p>
      <w:pPr>
        <w:numPr>
          <w:ilvl w:val="0"/>
          <w:numId w:val="1007"/>
        </w:numPr>
        <w:pStyle w:val="Compact"/>
      </w:pPr>
      <w:r>
        <w:rPr>
          <w:bCs/>
          <w:b/>
        </w:rPr>
        <w:t xml:space="preserve">Transport Distance (Total Average for Supply Chain):</w:t>
      </w:r>
      <w:r>
        <w:t xml:space="preserve"> </w:t>
      </w:r>
      <w:r>
        <w:t xml:space="preserve">5000 km (for primary components inbound to China factory and finished product outbound to Europe)</w:t>
      </w:r>
    </w:p>
    <w:p>
      <w:pPr>
        <w:numPr>
          <w:ilvl w:val="0"/>
          <w:numId w:val="1007"/>
        </w:numPr>
        <w:pStyle w:val="Compact"/>
      </w:pPr>
      <w:r>
        <w:rPr>
          <w:bCs/>
          <w:b/>
        </w:rPr>
        <w:t xml:space="preserve">Assumed Road Freight Emission Factor:</w:t>
      </w:r>
      <w:r>
        <w:t xml:space="preserve"> </w:t>
      </w:r>
      <w:r>
        <w:t xml:space="preserve">0.08 kgCO2e/tonne-km</w:t>
      </w:r>
    </w:p>
    <w:p>
      <w:pPr>
        <w:numPr>
          <w:ilvl w:val="0"/>
          <w:numId w:val="1007"/>
        </w:numPr>
        <w:pStyle w:val="Compact"/>
      </w:pPr>
      <w:r>
        <w:rPr>
          <w:bCs/>
          <w:b/>
        </w:rPr>
        <w:t xml:space="preserve">Last-Mile Delivery Channel:</w:t>
      </w:r>
      <w:r>
        <w:t xml:space="preserve"> </w:t>
      </w:r>
      <w:r>
        <w:t xml:space="preserve">Light Commercial Van</w:t>
      </w:r>
    </w:p>
    <w:p>
      <w:pPr>
        <w:numPr>
          <w:ilvl w:val="0"/>
          <w:numId w:val="1007"/>
        </w:numPr>
        <w:pStyle w:val="Compact"/>
      </w:pPr>
      <w:r>
        <w:rPr>
          <w:bCs/>
          <w:b/>
        </w:rPr>
        <w:t xml:space="preserve">Assumed Last-Mile Delivery Emission Factor (per unit):</w:t>
      </w:r>
      <w:r>
        <w:t xml:space="preserve"> </w:t>
      </w:r>
      <w:r>
        <w:t xml:space="preserve">0.50 kgCO2e/unit (simplified average for short-haul delivery)</w:t>
      </w:r>
    </w:p>
    <w:bookmarkEnd w:id="33"/>
    <w:bookmarkStart w:id="34" w:name="use-phase-data"/>
    <w:p>
      <w:pPr>
        <w:pStyle w:val="Heading3"/>
      </w:pPr>
      <w:r>
        <w:t xml:space="preserve">Use Phase Data</w:t>
      </w:r>
    </w:p>
    <w:p>
      <w:pPr>
        <w:numPr>
          <w:ilvl w:val="0"/>
          <w:numId w:val="1008"/>
        </w:numPr>
        <w:pStyle w:val="Compact"/>
      </w:pPr>
      <w:r>
        <w:rPr>
          <w:bCs/>
          <w:b/>
        </w:rPr>
        <w:t xml:space="preserve">Product Lifespan:</w:t>
      </w:r>
      <w:r>
        <w:t xml:space="preserve"> </w:t>
      </w:r>
      <w:r>
        <w:t xml:space="preserve">4 years</w:t>
      </w:r>
    </w:p>
    <w:p>
      <w:pPr>
        <w:numPr>
          <w:ilvl w:val="0"/>
          <w:numId w:val="1008"/>
        </w:numPr>
        <w:pStyle w:val="Compact"/>
      </w:pPr>
      <w:r>
        <w:rPr>
          <w:bCs/>
          <w:b/>
        </w:rPr>
        <w:t xml:space="preserve">Energy Consumption in Use:</w:t>
      </w:r>
      <w:r>
        <w:t xml:space="preserve"> </w:t>
      </w:r>
      <w:r>
        <w:t xml:space="preserve">20 kWh/year</w:t>
      </w:r>
    </w:p>
    <w:p>
      <w:pPr>
        <w:numPr>
          <w:ilvl w:val="0"/>
          <w:numId w:val="1008"/>
        </w:numPr>
        <w:pStyle w:val="Compact"/>
      </w:pPr>
      <w:r>
        <w:rPr>
          <w:bCs/>
          <w:b/>
        </w:rPr>
        <w:t xml:space="preserve">Assumed User Electricity Emission Factor (Global Average):</w:t>
      </w:r>
      <w:r>
        <w:t xml:space="preserve"> </w:t>
      </w:r>
      <w:r>
        <w:t xml:space="preserve">0.70 kgCO2e/kWh (assuming typical grid mix for end-user, similar to China production for consistency)</w:t>
      </w:r>
    </w:p>
    <w:bookmarkEnd w:id="34"/>
    <w:bookmarkStart w:id="35" w:name="end-of-life-eol-scenarios"/>
    <w:p>
      <w:pPr>
        <w:pStyle w:val="Heading3"/>
      </w:pPr>
      <w:r>
        <w:t xml:space="preserve">End-of-Life (EoL) Scenarios</w:t>
      </w:r>
    </w:p>
    <w:p>
      <w:pPr>
        <w:numPr>
          <w:ilvl w:val="0"/>
          <w:numId w:val="1009"/>
        </w:numPr>
        <w:pStyle w:val="Compact"/>
      </w:pPr>
      <w:r>
        <w:rPr>
          <w:bCs/>
          <w:b/>
        </w:rPr>
        <w:t xml:space="preserve">Recyclability Percentage:</w:t>
      </w:r>
      <w:r>
        <w:t xml:space="preserve"> </w:t>
      </w:r>
      <w:r>
        <w:t xml:space="preserve">80%</w:t>
      </w:r>
    </w:p>
    <w:p>
      <w:pPr>
        <w:numPr>
          <w:ilvl w:val="0"/>
          <w:numId w:val="1009"/>
        </w:numPr>
        <w:pStyle w:val="Compact"/>
      </w:pPr>
      <w:r>
        <w:rPr>
          <w:bCs/>
          <w:b/>
        </w:rPr>
        <w:t xml:space="preserve">Circular/Take-back Programs:</w:t>
      </w:r>
      <w:r>
        <w:t xml:space="preserve"> </w:t>
      </w:r>
      <w:r>
        <w:t xml:space="preserve">Yes, established take-back and refurbishment program in Europe</w:t>
      </w:r>
    </w:p>
    <w:p>
      <w:pPr>
        <w:numPr>
          <w:ilvl w:val="0"/>
          <w:numId w:val="1009"/>
        </w:numPr>
        <w:pStyle w:val="Compact"/>
      </w:pPr>
      <w:r>
        <w:rPr>
          <w:bCs/>
          <w:b/>
        </w:rPr>
        <w:t xml:space="preserve">Assumed Waste Treatment Emission Factor (Non-recycled):</w:t>
      </w:r>
      <w:r>
        <w:t xml:space="preserve"> </w:t>
      </w:r>
      <w:r>
        <w:t xml:space="preserve">0.35 kgCO2e/kg (for landfill/incineration of mixed waste)</w:t>
      </w:r>
    </w:p>
    <w:p>
      <w:pPr>
        <w:numPr>
          <w:ilvl w:val="0"/>
          <w:numId w:val="1009"/>
        </w:numPr>
        <w:pStyle w:val="Compact"/>
      </w:pPr>
      <w:r>
        <w:rPr>
          <w:bCs/>
          <w:b/>
        </w:rPr>
        <w:t xml:space="preserve">Assumed Recycling Credit (for Recycled Materials):</w:t>
      </w:r>
      <w:r>
        <w:t xml:space="preserve"> </w:t>
      </w:r>
      <w:r>
        <w:t xml:space="preserve">-1.50 kgCO2e/kg (average credit for avoided virgin material production)</w:t>
      </w:r>
    </w:p>
    <w:bookmarkEnd w:id="35"/>
    <w:bookmarkEnd w:id="36"/>
    <w:p>
      <w:r>
        <w:pict>
          <v:rect style="width:0;height:1.5pt" o:hralign="center" o:hrstd="t" o:hr="t"/>
        </w:pict>
      </w:r>
    </w:p>
    <w:bookmarkStart w:id="44" w:name="emissions-calculation-step-4"/>
    <w:p>
      <w:pPr>
        <w:pStyle w:val="Heading2"/>
      </w:pPr>
      <w:r>
        <w:t xml:space="preserve">Emissions Calculation (Step 4)</w:t>
      </w:r>
    </w:p>
    <w:bookmarkStart w:id="37" w:name="X0efa5d39fd2e3f3f8540ad85f038441544f6d4c"/>
    <w:p>
      <w:pPr>
        <w:pStyle w:val="Heading3"/>
      </w:pPr>
      <w:r>
        <w:t xml:space="preserve">1. Material Emissions (Scope 3 - Upstream, Purchased Goods &amp; Services)</w:t>
      </w:r>
    </w:p>
    <w:p>
      <w:pPr>
        <w:pStyle w:val="FirstParagraph"/>
      </w:pPr>
      <w:r>
        <w:t xml:space="preserve">Based on the provided BOM, the sum of \'Total Carbon\' for all components represents the upstream emissions for raw material acquisition and pre-processing.</w:t>
      </w:r>
    </w:p>
    <w:p>
      <w:pPr>
        <w:pStyle w:val="BodyText"/>
      </w:pPr>
      <w:r>
        <w:rPr>
          <w:bCs/>
          <w:b/>
        </w:rPr>
        <w:t xml:space="preserve">Total Material Emissions = 8.17 kgCO2e</w:t>
      </w:r>
    </w:p>
    <w:bookmarkEnd w:id="37"/>
    <w:bookmarkStart w:id="38" w:name="production-energy-emissions-scope-2"/>
    <w:p>
      <w:pPr>
        <w:pStyle w:val="Heading3"/>
      </w:pPr>
      <w:r>
        <w:t xml:space="preserve">2. Production Energy Emissions (Scope 2)</w:t>
      </w:r>
    </w:p>
    <w:p>
      <w:pPr>
        <w:pStyle w:val="FirstParagraph"/>
      </w:pPr>
      <w:r>
        <w:t xml:space="preserve">The manufacturing process at the nirgfkglyh facility utilizes electricity, with a portion sourced from renewable energy.</w:t>
      </w:r>
    </w:p>
    <w:p>
      <w:pPr>
        <w:numPr>
          <w:ilvl w:val="0"/>
          <w:numId w:val="1010"/>
        </w:numPr>
        <w:pStyle w:val="Compact"/>
      </w:pPr>
      <w:r>
        <w:t xml:space="preserve">Total Energy Consumed: 15 kWh/unit</w:t>
      </w:r>
    </w:p>
    <w:p>
      <w:pPr>
        <w:numPr>
          <w:ilvl w:val="0"/>
          <w:numId w:val="1010"/>
        </w:numPr>
        <w:pStyle w:val="Compact"/>
      </w:pPr>
      <w:r>
        <w:t xml:space="preserve">Renewable Energy Portion: 15 kWh * 70% = 10.5 kWh</w:t>
      </w:r>
    </w:p>
    <w:p>
      <w:pPr>
        <w:numPr>
          <w:ilvl w:val="0"/>
          <w:numId w:val="1010"/>
        </w:numPr>
        <w:pStyle w:val="Compact"/>
      </w:pPr>
      <w:r>
        <w:t xml:space="preserve">Grid Energy Portion: 15 kWh * (1 - 70%) = 4.5 kWh</w:t>
      </w:r>
    </w:p>
    <w:p>
      <w:pPr>
        <w:numPr>
          <w:ilvl w:val="0"/>
          <w:numId w:val="1010"/>
        </w:numPr>
        <w:pStyle w:val="Compact"/>
      </w:pPr>
      <w:r>
        <w:t xml:space="preserve">Emissions from Renewable Energy: 10.5 kWh * 0.01 kgCO2e/kWh = 0.105 kgCO2e</w:t>
      </w:r>
    </w:p>
    <w:p>
      <w:pPr>
        <w:numPr>
          <w:ilvl w:val="0"/>
          <w:numId w:val="1010"/>
        </w:numPr>
        <w:pStyle w:val="Compact"/>
      </w:pPr>
      <w:r>
        <w:t xml:space="preserve">Emissions from Grid Energy (China): 4.5 kWh * 0.70 kgCO2e/kWh = 3.15 kgCO2e</w:t>
      </w:r>
    </w:p>
    <w:p>
      <w:pPr>
        <w:pStyle w:val="FirstParagraph"/>
      </w:pPr>
      <w:r>
        <w:rPr>
          <w:bCs/>
          <w:b/>
        </w:rPr>
        <w:t xml:space="preserve">Total Production Energy Emissions = 0.105 + 3.15 = 3.255 kgCO2e</w:t>
      </w:r>
    </w:p>
    <w:p>
      <w:pPr>
        <w:pStyle w:val="BodyText"/>
      </w:pPr>
      <w:r>
        <w:rPr>
          <w:iCs/>
          <w:i/>
        </w:rPr>
        <w:t xml:space="preserve">(Note: For GHG Protocol Scope 2 reporting, the 3.15 kgCO2e from grid energy would typically be the location-based Scope 2. The renewable energy portion might be accounted for differently depending on the market-based approach or specific energy contracts. For this PCF, the total effective emissions from production energy are presented.)</w:t>
      </w:r>
    </w:p>
    <w:bookmarkEnd w:id="38"/>
    <w:bookmarkStart w:id="39" w:name="X20efc89ca55650b531605dcd0d6a285ce77dbfd"/>
    <w:p>
      <w:pPr>
        <w:pStyle w:val="Heading3"/>
      </w:pPr>
      <w:r>
        <w:t xml:space="preserve">3. Transport Emissions (Scope 3 - Upstream &amp; Downstream)</w:t>
      </w:r>
    </w:p>
    <w:p>
      <w:pPr>
        <w:pStyle w:val="FirstParagraph"/>
      </w:pPr>
      <w:r>
        <w:t xml:space="preserve">Transportation includes both the inbound movement of materials/components to the manufacturing plant and the outbound distribution of the finished product to the customer.</w:t>
      </w:r>
    </w:p>
    <w:p>
      <w:pPr>
        <w:numPr>
          <w:ilvl w:val="0"/>
          <w:numId w:val="1011"/>
        </w:numPr>
        <w:pStyle w:val="Compact"/>
      </w:pPr>
      <w:r>
        <w:t xml:space="preserve">Product Weight for Transport: 1.0 kg = 0.001 tonne</w:t>
      </w:r>
    </w:p>
    <w:p>
      <w:pPr>
        <w:numPr>
          <w:ilvl w:val="0"/>
          <w:numId w:val="1011"/>
        </w:numPr>
        <w:pStyle w:val="Compact"/>
      </w:pPr>
      <w:r>
        <w:t xml:space="preserve">Total Primary Transport Distance: 5000 km</w:t>
      </w:r>
    </w:p>
    <w:p>
      <w:pPr>
        <w:numPr>
          <w:ilvl w:val="0"/>
          <w:numId w:val="1011"/>
        </w:numPr>
        <w:pStyle w:val="Compact"/>
      </w:pPr>
      <w:r>
        <w:t xml:space="preserve">Primary Transport Emissions (Road Freight): 5000 km * 0.001 tonne * 0.08 kgCO2e/tonne-km = 0.40 kgCO2e</w:t>
      </w:r>
    </w:p>
    <w:p>
      <w:pPr>
        <w:numPr>
          <w:ilvl w:val="0"/>
          <w:numId w:val="1011"/>
        </w:numPr>
        <w:pStyle w:val="Compact"/>
      </w:pPr>
      <w:r>
        <w:t xml:space="preserve">Last-Mile Delivery Emissions (Light Commercial Van): 0.50 kgCO2e/unit</w:t>
      </w:r>
    </w:p>
    <w:p>
      <w:pPr>
        <w:pStyle w:val="FirstParagraph"/>
      </w:pPr>
      <w:r>
        <w:rPr>
          <w:bCs/>
          <w:b/>
        </w:rPr>
        <w:t xml:space="preserve">Total Transport Emissions = 0.40 + 0.50 = 0.90 kgCO2e</w:t>
      </w:r>
    </w:p>
    <w:bookmarkEnd w:id="39"/>
    <w:bookmarkStart w:id="40" w:name="X01fbaaeeab00396483b908cf92cf27d65483265"/>
    <w:p>
      <w:pPr>
        <w:pStyle w:val="Heading3"/>
      </w:pPr>
      <w:r>
        <w:t xml:space="preserve">4. Use Phase Emissions (Scope 3 - Downstream, Use of Sold Products)</w:t>
      </w:r>
    </w:p>
    <w:p>
      <w:pPr>
        <w:pStyle w:val="FirstParagraph"/>
      </w:pPr>
      <w:r>
        <w:t xml:space="preserve">The use phase emissions are calculated based on the product\'s annual energy consumption over its estimated lifespan.</w:t>
      </w:r>
    </w:p>
    <w:p>
      <w:pPr>
        <w:numPr>
          <w:ilvl w:val="0"/>
          <w:numId w:val="1012"/>
        </w:numPr>
        <w:pStyle w:val="Compact"/>
      </w:pPr>
      <w:r>
        <w:t xml:space="preserve">Annual Energy Consumption: 20 kWh/year</w:t>
      </w:r>
    </w:p>
    <w:p>
      <w:pPr>
        <w:numPr>
          <w:ilvl w:val="0"/>
          <w:numId w:val="1012"/>
        </w:numPr>
        <w:pStyle w:val="Compact"/>
      </w:pPr>
      <w:r>
        <w:t xml:space="preserve">Product Lifespan: 4 years</w:t>
      </w:r>
    </w:p>
    <w:p>
      <w:pPr>
        <w:numPr>
          <w:ilvl w:val="0"/>
          <w:numId w:val="1012"/>
        </w:numPr>
        <w:pStyle w:val="Compact"/>
      </w:pPr>
      <w:r>
        <w:t xml:space="preserve">Total Energy Consumption over Lifespan: 20 kWh/year * 4 years = 80 kWh</w:t>
      </w:r>
    </w:p>
    <w:p>
      <w:pPr>
        <w:numPr>
          <w:ilvl w:val="0"/>
          <w:numId w:val="1012"/>
        </w:numPr>
        <w:pStyle w:val="Compact"/>
      </w:pPr>
      <w:r>
        <w:t xml:space="preserve">Emissions: 80 kWh * 0.70 kgCO2e/kWh (Assumed user grid mix) = 56.0 kgCO2e</w:t>
      </w:r>
    </w:p>
    <w:p>
      <w:pPr>
        <w:pStyle w:val="FirstParagraph"/>
      </w:pPr>
      <w:r>
        <w:rPr>
          <w:bCs/>
          <w:b/>
        </w:rPr>
        <w:t xml:space="preserve">Total Use Phase Emissions = 56.0 kgCO2e</w:t>
      </w:r>
    </w:p>
    <w:bookmarkEnd w:id="40"/>
    <w:bookmarkStart w:id="41" w:name="Xf54b3a270c81c91b4d7325e0703c5df0f63d466"/>
    <w:p>
      <w:pPr>
        <w:pStyle w:val="Heading3"/>
      </w:pPr>
      <w:r>
        <w:t xml:space="preserve">5. End-of-Life (EoL) Emissions (Scope 3 - Downstream, End-of-Life Treatment of Sold Products)</w:t>
      </w:r>
    </w:p>
    <w:p>
      <w:pPr>
        <w:pStyle w:val="FirstParagraph"/>
      </w:pPr>
      <w:r>
        <w:t xml:space="preserve">The EoL scenario considers both the portion of the product that is recycled and the portion that goes to waste treatment. The presence of circular/take-back programs is factored into the recyclability.</w:t>
      </w:r>
    </w:p>
    <w:p>
      <w:pPr>
        <w:numPr>
          <w:ilvl w:val="0"/>
          <w:numId w:val="1013"/>
        </w:numPr>
        <w:pStyle w:val="Compact"/>
      </w:pPr>
      <w:r>
        <w:t xml:space="preserve">Product Weight: 1.0 kg</w:t>
      </w:r>
    </w:p>
    <w:p>
      <w:pPr>
        <w:numPr>
          <w:ilvl w:val="0"/>
          <w:numId w:val="1013"/>
        </w:numPr>
        <w:pStyle w:val="Compact"/>
      </w:pPr>
      <w:r>
        <w:t xml:space="preserve">Recyclability: 80%</w:t>
      </w:r>
    </w:p>
    <w:p>
      <w:pPr>
        <w:numPr>
          <w:ilvl w:val="0"/>
          <w:numId w:val="1013"/>
        </w:numPr>
        <w:pStyle w:val="Compact"/>
      </w:pPr>
      <w:r>
        <w:t xml:space="preserve">Non-recycled Portion: 1.0 kg * (1 - 0.80) = 0.2 kg</w:t>
      </w:r>
    </w:p>
    <w:p>
      <w:pPr>
        <w:numPr>
          <w:ilvl w:val="0"/>
          <w:numId w:val="1013"/>
        </w:numPr>
        <w:pStyle w:val="Compact"/>
      </w:pPr>
      <w:r>
        <w:t xml:space="preserve">Recycled Portion: 1.0 kg * 0.80 = 0.8 kg</w:t>
      </w:r>
    </w:p>
    <w:p>
      <w:pPr>
        <w:numPr>
          <w:ilvl w:val="0"/>
          <w:numId w:val="1013"/>
        </w:numPr>
        <w:pStyle w:val="Compact"/>
      </w:pPr>
      <w:r>
        <w:t xml:space="preserve">Emissions from Non-recycled (waste treatment): 0.2 kg * 0.35 kgCO2e/kg = 0.07 kgCO2e</w:t>
      </w:r>
    </w:p>
    <w:p>
      <w:pPr>
        <w:numPr>
          <w:ilvl w:val="0"/>
          <w:numId w:val="1013"/>
        </w:numPr>
        <w:pStyle w:val="Compact"/>
      </w:pPr>
      <w:r>
        <w:t xml:space="preserve">Credit from Recycled Materials: 0.8 kg * -1.50 kgCO2e/kg = -1.20 kgCO2e</w:t>
      </w:r>
    </w:p>
    <w:p>
      <w:pPr>
        <w:pStyle w:val="FirstParagraph"/>
      </w:pPr>
      <w:r>
        <w:rPr>
          <w:bCs/>
          <w:b/>
        </w:rPr>
        <w:t xml:space="preserve">Total End-of-Life Emissions = 0.07 - 1.20 = -1.13 kgCO2e</w:t>
      </w:r>
    </w:p>
    <w:p>
      <w:pPr>
        <w:pStyle w:val="BodyText"/>
      </w:pPr>
      <w:r>
        <w:rPr>
          <w:iCs/>
          <w:i/>
        </w:rPr>
        <w:t xml:space="preserve">(The negative value indicates a net carbon saving due to high recyclability and the avoided emissions from virgin material production.)</w:t>
      </w:r>
    </w:p>
    <w:bookmarkEnd w:id="41"/>
    <w:bookmarkStart w:id="42" w:name="total-product-carbon-footprint-pcf"/>
    <w:p>
      <w:pPr>
        <w:pStyle w:val="Heading3"/>
      </w:pPr>
      <w:r>
        <w:t xml:space="preserve">Total Product Carbon Footprint (PCF)</w:t>
      </w:r>
    </w:p>
    <w:p>
      <w:pPr>
        <w:pStyle w:val="FirstParagraph"/>
      </w:pPr>
      <w:r>
        <w:t xml:space="preserve">Summing up the emissions from each lifecycle stage:</w:t>
      </w:r>
    </w:p>
    <w:p>
      <w:pPr>
        <w:numPr>
          <w:ilvl w:val="0"/>
          <w:numId w:val="1014"/>
        </w:numPr>
        <w:pStyle w:val="Compact"/>
      </w:pPr>
      <w:r>
        <w:t xml:space="preserve">Material Emissions: 8.17 kgCO2e</w:t>
      </w:r>
    </w:p>
    <w:p>
      <w:pPr>
        <w:numPr>
          <w:ilvl w:val="0"/>
          <w:numId w:val="1014"/>
        </w:numPr>
        <w:pStyle w:val="Compact"/>
      </w:pPr>
      <w:r>
        <w:t xml:space="preserve">Production Energy Emissions: 3.255 kgCO2e</w:t>
      </w:r>
    </w:p>
    <w:p>
      <w:pPr>
        <w:numPr>
          <w:ilvl w:val="0"/>
          <w:numId w:val="1014"/>
        </w:numPr>
        <w:pStyle w:val="Compact"/>
      </w:pPr>
      <w:r>
        <w:t xml:space="preserve">Transport Emissions: 0.90 kgCO2e</w:t>
      </w:r>
    </w:p>
    <w:p>
      <w:pPr>
        <w:numPr>
          <w:ilvl w:val="0"/>
          <w:numId w:val="1014"/>
        </w:numPr>
        <w:pStyle w:val="Compact"/>
      </w:pPr>
      <w:r>
        <w:t xml:space="preserve">Use Phase Emissions: 56.0 kgCO2e</w:t>
      </w:r>
    </w:p>
    <w:p>
      <w:pPr>
        <w:numPr>
          <w:ilvl w:val="0"/>
          <w:numId w:val="1014"/>
        </w:numPr>
        <w:pStyle w:val="Compact"/>
      </w:pPr>
      <w:r>
        <w:t xml:space="preserve">End-of-Life Emissions: -1.13 kgCO2e</w:t>
      </w:r>
    </w:p>
    <w:p>
      <w:pPr>
        <w:pStyle w:val="FirstParagraph"/>
      </w:pPr>
      <w:r>
        <w:rPr>
          <w:bCs/>
          <w:b/>
        </w:rPr>
        <w:t xml:space="preserve">Total PCF = 8.17 + 3.255 + 0.90 + 56.0 - 1.13 = 67.195 kgCO2e</w:t>
      </w:r>
    </w:p>
    <w:p>
      <w:pPr>
        <w:pStyle w:val="BodyText"/>
      </w:pPr>
      <w:r>
        <w:rPr>
          <w:bCs/>
          <w:b/>
        </w:rPr>
        <w:t xml:space="preserve">Rounded Total PCF: 67.20 kgCO2e per unit of hwvmprtxml</w:t>
      </w:r>
    </w:p>
    <w:bookmarkEnd w:id="42"/>
    <w:bookmarkStart w:id="43" w:name="X46853a1f8172270e9f00252ab619f406734bbd6"/>
    <w:p>
      <w:pPr>
        <w:pStyle w:val="Heading3"/>
      </w:pPr>
      <w:r>
        <w:t xml:space="preserve">Emissions Categorization by GHG Protocol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(kgCO2e)</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for Production (Location-based)</w:t>
            </w:r>
          </w:p>
        </w:tc>
        <w:tc>
          <w:tcPr/>
          <w:p>
            <w:pPr>
              <w:pStyle w:val="Compact"/>
              <w:jc w:val="left"/>
            </w:pPr>
            <w:r>
              <w:t xml:space="preserve">3.26</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8.17</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0.40</w:t>
            </w:r>
          </w:p>
        </w:tc>
      </w:tr>
      <w:tr>
        <w:tc>
          <w:tcPr>
            <w:gridSpan w:val="1"/>
            <w:vMerge w:val="continue"/>
          </w:tcPr>
          <w:p>
            <w:pPr/>
          </w:p>
        </w:tc>
        <w:tc>
          <w:tcPr/>
          <w:p>
            <w:pPr>
              <w:pStyle w:val="Compact"/>
              <w:jc w:val="left"/>
            </w:pPr>
            <w:r>
              <w:t xml:space="preserve">Category 9: Downstream Transportation and Distribution (Last-Mile)</w:t>
            </w:r>
          </w:p>
        </w:tc>
        <w:tc>
          <w:tcPr/>
          <w:p>
            <w:pPr>
              <w:pStyle w:val="Compact"/>
              <w:jc w:val="left"/>
            </w:pPr>
            <w:r>
              <w:t xml:space="preserve">0.50</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56.00</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-1.13</w:t>
            </w:r>
          </w:p>
        </w:tc>
      </w:tr>
      <w:tr>
        <w:tc>
          <w:tcPr>
            <w:gridSpan w:val="2"/>
          </w:tcPr>
          <w:p>
            <w:pPr>
              <w:pStyle w:val="Compact"/>
              <w:jc w:val="left"/>
            </w:pPr>
            <w:r>
              <w:t xml:space="preserve">Total PCF</w:t>
            </w:r>
          </w:p>
        </w:tc>
        <w:tc>
          <w:tcPr/>
          <w:p>
            <w:pPr>
              <w:pStyle w:val="Compact"/>
              <w:jc w:val="left"/>
            </w:pPr>
            <w:r>
              <w:t xml:space="preserve">67.20</w:t>
            </w:r>
          </w:p>
        </w:tc>
      </w:tr>
    </w:tbl>
    <w:p>
      <w:pPr>
        <w:pStyle w:val="BodyText"/>
      </w:pPr>
      <w:r>
        <w:rPr>
          <w:iCs/>
          <w:i/>
        </w:rPr>
        <w:t xml:space="preserve">(Note: Scope 1 emissions are assumed to be zero as no direct fuel combustion at the manufacturing site specifically for this product\'s process was identified within the parameters.</w:t>
      </w:r>
      <w:r>
        <w:rPr>
          <w:iCs/>
          <w:i/>
        </w:rPr>
        <w:t xml:space="preserve"> </w:t>
      </w:r>
      <w:r>
        <w:rPr>
          <w:iCs/>
          <w:i/>
        </w:rPr>
        <w:t xml:space="preserve">The renewable energy usage for production is reflected in the lower effective emission factor for electricity, contributing to the Scope 2 total.)</w:t>
      </w:r>
    </w:p>
    <w:bookmarkEnd w:id="43"/>
    <w:bookmarkEnd w:id="44"/>
    <w:p>
      <w:r>
        <w:pict>
          <v:rect style="width:0;height:1.5pt" o:hralign="center" o:hrstd="t" o:hr="t"/>
        </w:pict>
      </w:r>
    </w:p>
    <w:bookmarkStart w:id="48" w:name="review-reporting-step-5"/>
    <w:p>
      <w:pPr>
        <w:pStyle w:val="Heading2"/>
      </w:pPr>
      <w:r>
        <w:t xml:space="preserve">Review &amp; Reporting (Step 5)</w:t>
      </w:r>
    </w:p>
    <w:bookmarkStart w:id="45" w:name="emission-hotspots"/>
    <w:p>
      <w:pPr>
        <w:pStyle w:val="Heading3"/>
      </w:pPr>
      <w:r>
        <w:t xml:space="preserve">Emission Hotspots</w:t>
      </w:r>
    </w:p>
    <w:p>
      <w:pPr>
        <w:pStyle w:val="FirstParagraph"/>
      </w:pPr>
      <w:r>
        <w:t xml:space="preserve">The analysis clearly identifies the following emission hotspots for hwvmprtxml:</w:t>
      </w:r>
    </w:p>
    <w:p>
      <w:pPr>
        <w:numPr>
          <w:ilvl w:val="0"/>
          <w:numId w:val="1015"/>
        </w:numPr>
        <w:pStyle w:val="Compact"/>
      </w:pPr>
      <w:r>
        <w:rPr>
          <w:bCs/>
          <w:b/>
        </w:rPr>
        <w:t xml:space="preserve">Use Phase (56.0 kgCO2e):</w:t>
      </w:r>
      <w:r>
        <w:t xml:space="preserve"> </w:t>
      </w:r>
      <w:r>
        <w:t xml:space="preserve">This stage accounts for approximately 83.3% of the total product carbon footprint, primarily due to the electricity consumed by the end-user over the product\'s lifespan. This is the most critical area for reduction efforts.</w:t>
      </w:r>
    </w:p>
    <w:p>
      <w:pPr>
        <w:numPr>
          <w:ilvl w:val="0"/>
          <w:numId w:val="1015"/>
        </w:numPr>
        <w:pStyle w:val="Compact"/>
      </w:pPr>
      <w:r>
        <w:rPr>
          <w:bCs/>
          <w:b/>
        </w:rPr>
        <w:t xml:space="preserve">Materials (8.17 kgCO2e):</w:t>
      </w:r>
      <w:r>
        <w:t xml:space="preserve"> </w:t>
      </w:r>
      <w:r>
        <w:t xml:space="preserve">Constituting about 12.2% of the total footprint, the raw material acquisition and manufacturing, particularly for energy-intensive components like aluminum, batteries, and electronics, represent the second largest hotspot.</w:t>
      </w:r>
    </w:p>
    <w:p>
      <w:pPr>
        <w:numPr>
          <w:ilvl w:val="0"/>
          <w:numId w:val="1015"/>
        </w:numPr>
        <w:pStyle w:val="Compact"/>
      </w:pPr>
      <w:r>
        <w:rPr>
          <w:bCs/>
          <w:b/>
        </w:rPr>
        <w:t xml:space="preserve">Production Energy (3.26 kgCO2e):</w:t>
      </w:r>
      <w:r>
        <w:t xml:space="preserve"> </w:t>
      </w:r>
      <w:r>
        <w:t xml:space="preserve">The energy consumed during the manufacturing process, even with significant renewable energy usage (70%), still contributes a notable portion (4.8%) to the footprint.</w:t>
      </w:r>
    </w:p>
    <w:bookmarkEnd w:id="45"/>
    <w:bookmarkStart w:id="46" w:name="reliability-and-limitations"/>
    <w:p>
      <w:pPr>
        <w:pStyle w:val="Heading3"/>
      </w:pPr>
      <w:r>
        <w:t xml:space="preserve">Reliability and Limitations</w:t>
      </w:r>
    </w:p>
    <w:p>
      <w:pPr>
        <w:numPr>
          <w:ilvl w:val="0"/>
          <w:numId w:val="1016"/>
        </w:numPr>
        <w:pStyle w:val="Compact"/>
      </w:pPr>
      <w:r>
        <w:rPr>
          <w:bCs/>
          <w:b/>
        </w:rPr>
        <w:t xml:space="preserve">Data Availability:</w:t>
      </w:r>
      <w:r>
        <w:t xml:space="preserve"> </w:t>
      </w:r>
      <w:r>
        <w:t xml:space="preserve">The report utilizes a combination of provided primary data (BOM, specific parameters) and secondary, industry-average emission factors. The accuracy of the PCF is directly dependent on the quality and representativeness of these emission factors.</w:t>
      </w:r>
    </w:p>
    <w:p>
      <w:pPr>
        <w:numPr>
          <w:ilvl w:val="0"/>
          <w:numId w:val="1016"/>
        </w:numPr>
        <w:pStyle w:val="Compact"/>
      </w:pPr>
      <w:r>
        <w:rPr>
          <w:bCs/>
          <w:b/>
        </w:rPr>
        <w:t xml:space="preserve">Parameter Assumptions:</w:t>
      </w:r>
      <w:r>
        <w:t xml:space="preserve"> </w:t>
      </w:r>
      <w:r>
        <w:t xml:space="preserve">Where placeholder parameters were provided (e.g., for transport distance, last-mile impact, and general EoL factors), realistic but generalized assumptions were made. More specific primary data for these parameters would enhance accuracy.</w:t>
      </w:r>
    </w:p>
    <w:p>
      <w:pPr>
        <w:numPr>
          <w:ilvl w:val="0"/>
          <w:numId w:val="1016"/>
        </w:numPr>
        <w:pStyle w:val="Compact"/>
      </w:pPr>
      <w:r>
        <w:rPr>
          <w:bCs/>
          <w:b/>
        </w:rPr>
        <w:t xml:space="preserve">LSR Standard:</w:t>
      </w:r>
      <w:r>
        <w:t xml:space="preserve"> </w:t>
      </w:r>
      <w:r>
        <w:t xml:space="preserve">While acknowledged, specific land-use change data required for a full application of the 2026 LSR Standard was not available. This analysis therefore primarily focuses on direct and indirect GHG emissions from energy and materials.</w:t>
      </w:r>
    </w:p>
    <w:p>
      <w:pPr>
        <w:numPr>
          <w:ilvl w:val="0"/>
          <w:numId w:val="1016"/>
        </w:numPr>
        <w:pStyle w:val="Compact"/>
      </w:pPr>
      <w:r>
        <w:rPr>
          <w:bCs/>
          <w:b/>
        </w:rPr>
        <w:t xml:space="preserve">Geographic Specificity:</w:t>
      </w:r>
      <w:r>
        <w:t xml:space="preserve"> </w:t>
      </w:r>
      <w:r>
        <w:t xml:space="preserve">General emission factors for China\'s grid mix were used; however, provincial grid mixes can vary significantly.</w:t>
      </w:r>
    </w:p>
    <w:p>
      <w:pPr>
        <w:numPr>
          <w:ilvl w:val="0"/>
          <w:numId w:val="1016"/>
        </w:numPr>
        <w:pStyle w:val="Compact"/>
      </w:pPr>
      <w:r>
        <w:rPr>
          <w:bCs/>
          <w:b/>
        </w:rPr>
        <w:t xml:space="preserve">Dynamic Nature:</w:t>
      </w:r>
      <w:r>
        <w:t xml:space="preserve"> </w:t>
      </w:r>
      <w:r>
        <w:t xml:space="preserve">Emission factors, especially for electricity grids, are constantly evolving. This report is based on current best available estimates for the specified parameters and methodologies.</w:t>
      </w:r>
    </w:p>
    <w:bookmarkEnd w:id="46"/>
    <w:bookmarkStart w:id="47" w:name="recommendations"/>
    <w:p>
      <w:pPr>
        <w:pStyle w:val="Heading3"/>
      </w:pPr>
      <w:r>
        <w:t xml:space="preserve">Recommendations</w:t>
      </w:r>
    </w:p>
    <w:p>
      <w:pPr>
        <w:pStyle w:val="FirstParagraph"/>
      </w:pPr>
      <w:r>
        <w:t xml:space="preserve">Based on this PCF analysis, nirgfkglyh should consider the following strategies to reduce the carbon footprint of hwvmprtxml:</w:t>
      </w:r>
    </w:p>
    <w:p>
      <w:pPr>
        <w:numPr>
          <w:ilvl w:val="0"/>
          <w:numId w:val="1017"/>
        </w:numPr>
        <w:pStyle w:val="Compact"/>
      </w:pPr>
      <w:r>
        <w:rPr>
          <w:bCs/>
          <w:b/>
        </w:rPr>
        <w:t xml:space="preserve">Optimize Use Phase Energy Efficiency:</w:t>
      </w:r>
      <w:r>
        <w:t xml:space="preserve"> </w:t>
      </w:r>
      <w:r>
        <w:t xml:space="preserve">Focus on product design innovations that significantly reduce energy consumption during the product\'s operational lifespan. This could involve more energy-efficient components, smart power management features, or encouraging energy-saving habits through user interfaces.</w:t>
      </w:r>
    </w:p>
    <w:p>
      <w:pPr>
        <w:numPr>
          <w:ilvl w:val="0"/>
          <w:numId w:val="1017"/>
        </w:numPr>
        <w:pStyle w:val="Compact"/>
      </w:pPr>
      <w:r>
        <w:rPr>
          <w:bCs/>
          <w:b/>
        </w:rPr>
        <w:t xml:space="preserve">Enhance Material Circularity:</w:t>
      </w:r>
      <w:r>
        <w:t xml:space="preserve"> </w:t>
      </w:r>
      <w:r>
        <w:t xml:space="preserve">Invest in R&amp;D for lighter, lower-impact materials or components with higher recycled content. Explore advanced recycling technologies and design for disassembly to maximize material recovery.</w:t>
      </w:r>
    </w:p>
    <w:p>
      <w:pPr>
        <w:numPr>
          <w:ilvl w:val="0"/>
          <w:numId w:val="1017"/>
        </w:numPr>
        <w:pStyle w:val="Compact"/>
      </w:pPr>
      <w:r>
        <w:rPr>
          <w:bCs/>
          <w:b/>
        </w:rPr>
        <w:t xml:space="preserve">Strengthen Renewable Energy Sourcing:</w:t>
      </w:r>
      <w:r>
        <w:t xml:space="preserve"> </w:t>
      </w:r>
      <w:r>
        <w:t xml:space="preserve">Continue to increase the proportion of renewable energy used in manufacturing facilities, and where possible, encourage suppliers to do the same. This directly addresses Scope 2 emissions.</w:t>
      </w:r>
    </w:p>
    <w:p>
      <w:pPr>
        <w:numPr>
          <w:ilvl w:val="0"/>
          <w:numId w:val="1017"/>
        </w:numPr>
        <w:pStyle w:val="Compact"/>
      </w:pPr>
      <w:r>
        <w:rPr>
          <w:bCs/>
          <w:b/>
        </w:rPr>
        <w:t xml:space="preserve">Supply Chain Optimization:</w:t>
      </w:r>
      <w:r>
        <w:t xml:space="preserve"> </w:t>
      </w:r>
      <w:r>
        <w:t xml:space="preserve">Investigate opportunities to optimize transport logistics, potentially by sourcing materials closer to the manufacturing facility or exploring lower-emission transport modes for high-volume routes.</w:t>
      </w:r>
    </w:p>
    <w:p>
      <w:pPr>
        <w:numPr>
          <w:ilvl w:val="0"/>
          <w:numId w:val="1017"/>
        </w:numPr>
        <w:pStyle w:val="Compact"/>
      </w:pPr>
      <w:r>
        <w:rPr>
          <w:bCs/>
          <w:b/>
        </w:rPr>
        <w:t xml:space="preserve">Promote Circular Economy Programs:</w:t>
      </w:r>
      <w:r>
        <w:t xml:space="preserve"> </w:t>
      </w:r>
      <w:r>
        <w:t xml:space="preserve">Continue to expand and promote the existing take-back and refurbishment programs to maximize product lifespan and material recovery, enhancing the positive impact of the end-of-life stage.</w:t>
      </w:r>
    </w:p>
    <w:bookmarkEnd w:id="47"/>
    <w:bookmarkEnd w:id="48"/>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hwvmprtxml</dc:title>
  <dc:creator/>
  <dc:description>Detailed Product Carbon Footprint (PCF) analysis report for product hwvmprtxml by nirgfkglyh, adhering to GHG Protocol and 2026 LSR Update requirements.</dc:description>
  <dc:language>en</dc:language>
  <cp:keywords/>
  <dcterms:created xsi:type="dcterms:W3CDTF">2026-07-15T04:42:52Z</dcterms:created>
  <dcterms:modified xsi:type="dcterms:W3CDTF">2026-07-15T04:42:52Z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