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hwrmxflkvv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hwrmxflkvv</w:t>
      </w:r>
    </w:p>
    <w:p>
      <w:pPr>
        <w:pStyle w:val="BodyText"/>
      </w:pPr>
      <w:r>
        <w:rPr>
          <w:bCs/>
          <w:b/>
        </w:rPr>
        <w:t xml:space="preserve">Company Name:</w:t>
      </w:r>
      <w:r>
        <w:t xml:space="preserve"> </w:t>
      </w:r>
      <w:r>
        <w:t xml:space="preserve">tugddvyffr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zijisoetus</w:t>
      </w:r>
    </w:p>
    <w:p>
      <w:pPr>
        <w:pStyle w:val="BodyText"/>
      </w:pPr>
      <w:r>
        <w:t xml:space="preserve">Disclaimer: This report is generated based on available data, provided parameters, and industry standards.</w:t>
      </w:r>
      <w:r>
        <w:t xml:space="preserve"> </w:t>
      </w:r>
      <w:r>
        <w:t xml:space="preserve">Illustrative values have been used for parameters where specific numerical data was not provided</w:t>
      </w:r>
      <w:r>
        <w:t xml:space="preserve"> </w:t>
      </w:r>
      <w:r>
        <w:t xml:space="preserve">(e.g., transport distance, energy consumption, material emission factors) to demonstrate the methodology.</w:t>
      </w:r>
      <w:r>
        <w:t xml:space="preserve"> </w:t>
      </w:r>
      <w:r>
        <w:t xml:space="preserve">Actual results require precise primary data inputs.</w:t>
      </w:r>
    </w:p>
    <w:bookmarkEnd w:id="20"/>
    <w:bookmarkStart w:id="21" w:name="Xc62cb1f6e57bd1d43b1a5fae43a8e2877ec5c7f"/>
    <w:p>
      <w:pPr>
        <w:pStyle w:val="Heading1"/>
      </w:pPr>
      <w:r>
        <w:t xml:space="preserve">Product Carbon Footprint (PCF) Analysis Report</w:t>
      </w:r>
    </w:p>
    <w:p>
      <w:pPr>
        <w:pStyle w:val="FirstParagraph"/>
      </w:pPr>
      <w:r>
        <w:t xml:space="preserve">Generated Date: May 24,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hwrmxflkvv</w:t>
      </w:r>
      <w:r>
        <w:t xml:space="preserve">, manufactured by</w:t>
      </w:r>
      <w:r>
        <w:t xml:space="preserve"> </w:t>
      </w:r>
      <w:r>
        <w:rPr>
          <w:bCs/>
          <w:b/>
        </w:rPr>
        <w:t xml:space="preserve">tugddvyffr</w:t>
      </w:r>
      <w:r>
        <w:t xml:space="preserve">.</w:t>
      </w:r>
      <w:r>
        <w:t xml:space="preserve"> </w:t>
      </w:r>
      <w:r>
        <w:t xml:space="preserve">Conducted by Senior Sustainability Consultant</w:t>
      </w:r>
      <w:r>
        <w:t xml:space="preserve"> </w:t>
      </w:r>
      <w:r>
        <w:rPr>
          <w:bCs/>
          <w:b/>
        </w:rPr>
        <w:t xml:space="preserve">zijisoetus</w:t>
      </w:r>
      <w:r>
        <w:t xml:space="preserve">, this analysis adheres strictly to the GHG Protocol,</w:t>
      </w:r>
      <w:r>
        <w:t xml:space="preserve"> </w:t>
      </w:r>
      <w:r>
        <w:t xml:space="preserve">incorporating the 2026 Land Sector and Removals (LSR) Standard and targeting over 95% coverage for Scope 3 emissions.</w:t>
      </w:r>
      <w:r>
        <w:t xml:space="preserve"> </w:t>
      </w:r>
      <w:r>
        <w:t xml:space="preserve">The primary objective is to quantify the greenhouse gas emissions associated with the product\'s entire lifecycle,</w:t>
      </w:r>
      <w:r>
        <w:t xml:space="preserve"> </w:t>
      </w:r>
      <w:r>
        <w:t xml:space="preserve">from raw material acquisition through end-of-life, to identify key emission hotspots and provide actionable insights for emission reduction.</w:t>
      </w:r>
      <w:r>
        <w:t xml:space="preserve"> </w:t>
      </w:r>
      <w:r>
        <w:t xml:space="preserve">Please note that due to the nature of the input parameters (which were provided as string names rather than specific numerical data),</w:t>
      </w:r>
      <w:r>
        <w:t xml:space="preserve"> </w:t>
      </w:r>
      <w:r>
        <w:t xml:space="preserve">illustrative values have been used in calculations to demonstrate the methodology. For a precise PCF,</w:t>
      </w:r>
      <w:r>
        <w:t xml:space="preserve"> </w:t>
      </w:r>
      <w:r>
        <w:t xml:space="preserve">actual and verified data for each parameter would be required.</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In response to increasing global climate concerns and evolving regulatory landscapes,</w:t>
      </w:r>
      <w:r>
        <w:t xml:space="preserve"> </w:t>
      </w:r>
      <w:r>
        <w:rPr>
          <w:bCs/>
          <w:b/>
        </w:rPr>
        <w:t xml:space="preserve">tugddvyffr</w:t>
      </w:r>
      <w:r>
        <w:t xml:space="preserve"> </w:t>
      </w:r>
      <w:r>
        <w:t xml:space="preserve">has commissioned this detailed Product Carbon Footprint (PCF) analysis for its product,</w:t>
      </w:r>
      <w:r>
        <w:t xml:space="preserve"> </w:t>
      </w:r>
      <w:r>
        <w:rPr>
          <w:bCs/>
          <w:b/>
        </w:rPr>
        <w:t xml:space="preserve">hwrmxflkvv</w:t>
      </w:r>
      <w:r>
        <w:t xml:space="preserve">.</w:t>
      </w:r>
      <w:r>
        <w:t xml:space="preserve"> </w:t>
      </w:r>
      <w:r>
        <w:t xml:space="preserve">This assessment, performed by</w:t>
      </w:r>
      <w:r>
        <w:t xml:space="preserve"> </w:t>
      </w:r>
      <w:r>
        <w:rPr>
          <w:bCs/>
          <w:b/>
        </w:rPr>
        <w:t xml:space="preserve">zijisoetus</w:t>
      </w:r>
      <w:r>
        <w:t xml:space="preserve">, a Senior Sustainability Consultant specializing in GHG Protocol,</w:t>
      </w:r>
      <w:r>
        <w:t xml:space="preserve"> </w:t>
      </w:r>
      <w:r>
        <w:t xml:space="preserve">aims to provide a transparent and comprehensive understanding of the environmental impact of</w:t>
      </w:r>
      <w:r>
        <w:t xml:space="preserve"> </w:t>
      </w:r>
      <w:r>
        <w:rPr>
          <w:bCs/>
          <w:b/>
        </w:rPr>
        <w:t xml:space="preserve">hwrmxflkvv</w:t>
      </w:r>
      <w:r>
        <w:t xml:space="preserve">.</w:t>
      </w:r>
      <w:r>
        <w:t xml:space="preserve"> </w:t>
      </w:r>
      <w:r>
        <w:t xml:space="preserve">By quantifying greenhouse gas (GHG) emissions across the product\'s lifecycle,</w:t>
      </w:r>
      <w:r>
        <w:t xml:space="preserve"> </w:t>
      </w:r>
      <w:r>
        <w:t xml:space="preserve">this report serves as a foundational step for identifying areas of high impact, informing design improvements,</w:t>
      </w:r>
      <w:r>
        <w:t xml:space="preserve"> </w:t>
      </w:r>
      <w:r>
        <w:t xml:space="preserve">optimizing supply chain efficiencies, and meeting corporate sustainability objectives.</w:t>
      </w:r>
    </w:p>
    <w:p>
      <w:r>
        <w:pict>
          <v:rect style="width:0;height:1.5pt" o:hralign="center" o:hrstd="t" o:hr="t"/>
        </w:pict>
      </w:r>
    </w:p>
    <w:bookmarkEnd w:id="23"/>
    <w:bookmarkStart w:id="30" w:name="methodology"/>
    <w:p>
      <w:pPr>
        <w:pStyle w:val="Heading2"/>
      </w:pPr>
      <w:r>
        <w:t xml:space="preserve">2. Methodology</w:t>
      </w:r>
    </w:p>
    <w:p>
      <w:pPr>
        <w:pStyle w:val="FirstParagraph"/>
      </w:pPr>
      <w:r>
        <w:t xml:space="preserve">The PCF analysis follows the five-step methodology recommended by the GHG Protocol Product Standard,</w:t>
      </w:r>
      <w:r>
        <w:t xml:space="preserve"> </w:t>
      </w:r>
      <w:r>
        <w:t xml:space="preserve">ensuring a robust and internationally recognized approach.</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hwrmxflkvv. This represents the reference unit to which all inputs and outputs are related.</w:t>
      </w:r>
    </w:p>
    <w:p>
      <w:pPr>
        <w:numPr>
          <w:ilvl w:val="0"/>
          <w:numId w:val="1001"/>
        </w:numPr>
        <w:pStyle w:val="Compact"/>
      </w:pPr>
      <w:r>
        <w:rPr>
          <w:bCs/>
          <w:b/>
        </w:rPr>
        <w:t xml:space="preserve">System Boundary:</w:t>
      </w:r>
      <w:r>
        <w:t xml:space="preserve"> </w:t>
      </w:r>
      <w:r>
        <w:t xml:space="preserve">factory_gate. This boundary typically includes raw material extraction, manufacturing, and transport to the factory gate. However, per the requirements for a high-detail PCF, this analysis extends beyond the \'factory_gate\' definition to include the use phase and end-of-life stages to provide a more holistic cradle-to-grave perspective, explicitly adhering to the GHG Protocol Product Standard\'s broader scope for a full PCF.</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global production while prioritizing European supply chain data and emission factors where applicable.</w:t>
      </w:r>
    </w:p>
    <w:p>
      <w:pPr>
        <w:numPr>
          <w:ilvl w:val="0"/>
          <w:numId w:val="1001"/>
        </w:numPr>
        <w:pStyle w:val="Compact"/>
      </w:pPr>
      <w:r>
        <w:rPr>
          <w:bCs/>
          <w:b/>
        </w:rPr>
        <w:t xml:space="preserve">Allocation:</w:t>
      </w:r>
      <w:r>
        <w:t xml:space="preserve"> </w:t>
      </w:r>
      <w:r>
        <w:t xml:space="preserve">For multi-output processes, emissions are allocated based on physical (e.g., mass) or economic relationships, ensuring that only the portion attributable to hwrmxflkvv is included. For this single product analysis, direct allocation is primarily applied.</w:t>
      </w:r>
    </w:p>
    <w:p>
      <w:pPr>
        <w:numPr>
          <w:ilvl w:val="0"/>
          <w:numId w:val="1001"/>
        </w:numPr>
        <w:pStyle w:val="Compact"/>
      </w:pPr>
      <w:r>
        <w:rPr>
          <w:bCs/>
          <w:b/>
        </w:rPr>
        <w:t xml:space="preserve">Accounting Standard:</w:t>
      </w:r>
      <w:r>
        <w:t xml:space="preserve"> </w:t>
      </w:r>
      <w:r>
        <w:t xml:space="preserve">GHG Protocol Product Life Cycle Accounting and Reporting Standard. This standard provides the framework for quantifying and reporting GHG emissions and removals associated with products.</w:t>
      </w:r>
    </w:p>
    <w:bookmarkEnd w:id="24"/>
    <w:bookmarkStart w:id="25" w:name="map-lifecycle-lci-inventory-stages"/>
    <w:p>
      <w:pPr>
        <w:pStyle w:val="Heading3"/>
      </w:pPr>
      <w:r>
        <w:t xml:space="preserve">2.2. Map Lifecycle (LCI Inventory Stages)</w:t>
      </w:r>
    </w:p>
    <w:p>
      <w:pPr>
        <w:pStyle w:val="FirstParagraph"/>
      </w:pPr>
      <w:r>
        <w:t xml:space="preserve">The lifecycle of hwrmxflkvv has been mapped into the following stages:</w:t>
      </w:r>
    </w:p>
    <w:p>
      <w:pPr>
        <w:numPr>
          <w:ilvl w:val="0"/>
          <w:numId w:val="1002"/>
        </w:numPr>
        <w:pStyle w:val="Compact"/>
      </w:pPr>
      <w:r>
        <w:rPr>
          <w:bCs/>
          <w:b/>
        </w:rPr>
        <w:t xml:space="preserve">Raw Material Acquisition &amp; Pre-processing:</w:t>
      </w:r>
      <w:r>
        <w:t xml:space="preserve"> </w:t>
      </w:r>
      <w:r>
        <w:t xml:space="preserve">Emissions associated with the extraction, cultivation, and initial processing of all raw materials constituting the Detailed Bill of Materials (BOM).</w:t>
      </w:r>
    </w:p>
    <w:p>
      <w:pPr>
        <w:numPr>
          <w:ilvl w:val="0"/>
          <w:numId w:val="1002"/>
        </w:numPr>
        <w:pStyle w:val="Compact"/>
      </w:pPr>
      <w:r>
        <w:rPr>
          <w:bCs/>
          <w:b/>
        </w:rPr>
        <w:t xml:space="preserve">Manufacturing:</w:t>
      </w:r>
      <w:r>
        <w:t xml:space="preserve"> </w:t>
      </w:r>
      <w:r>
        <w:t xml:space="preserve">Emissions from energy consumption and processes occurring at the manufacturing facility (e.g., electricity, heat, chemical reactions).</w:t>
      </w:r>
    </w:p>
    <w:p>
      <w:pPr>
        <w:numPr>
          <w:ilvl w:val="0"/>
          <w:numId w:val="1002"/>
        </w:numPr>
        <w:pStyle w:val="Compact"/>
      </w:pPr>
      <w:r>
        <w:rPr>
          <w:bCs/>
          <w:b/>
        </w:rPr>
        <w:t xml:space="preserve">Transport:</w:t>
      </w:r>
      <w:r>
        <w:t xml:space="preserve"> </w:t>
      </w:r>
      <w:r>
        <w:t xml:space="preserve">Emissions from transporting raw materials to the manufacturing site, inter-factory transport, and transportation of the finished product to the customer.</w:t>
      </w:r>
    </w:p>
    <w:p>
      <w:pPr>
        <w:numPr>
          <w:ilvl w:val="0"/>
          <w:numId w:val="1002"/>
        </w:numPr>
        <w:pStyle w:val="Compact"/>
      </w:pPr>
      <w:r>
        <w:rPr>
          <w:bCs/>
          <w:b/>
        </w:rPr>
        <w:t xml:space="preserve">Use Phase:</w:t>
      </w:r>
      <w:r>
        <w:t xml:space="preserve"> </w:t>
      </w:r>
      <w:r>
        <w:t xml:space="preserve">Emissions resulting from the product\'s energy consumption during its active lifespan.</w:t>
      </w:r>
    </w:p>
    <w:p>
      <w:pPr>
        <w:numPr>
          <w:ilvl w:val="0"/>
          <w:numId w:val="1002"/>
        </w:numPr>
        <w:pStyle w:val="Compact"/>
      </w:pPr>
      <w:r>
        <w:rPr>
          <w:bCs/>
          <w:b/>
        </w:rPr>
        <w:t xml:space="preserve">End-of-Life (EoL):</w:t>
      </w:r>
      <w:r>
        <w:t xml:space="preserve"> </w:t>
      </w:r>
      <w:r>
        <w:t xml:space="preserve">Emissions or credits associated with waste management, including recycling, incineration, and landfilling.</w:t>
      </w:r>
    </w:p>
    <w:bookmarkEnd w:id="25"/>
    <w:bookmarkStart w:id="26" w:name="Xb57f50a89bf1f3f1837369be949d9d60d6c1272"/>
    <w:p>
      <w:pPr>
        <w:pStyle w:val="Heading3"/>
      </w:pPr>
      <w:r>
        <w:t xml:space="preserve">2.3. Collect Data (Primary/Secondary Data Points)</w:t>
      </w:r>
    </w:p>
    <w:p>
      <w:pPr>
        <w:pStyle w:val="FirstParagraph"/>
      </w:pPr>
      <w:r>
        <w:t xml:space="preserve">Data collection involves a combination of primary and secondary data:</w:t>
      </w:r>
    </w:p>
    <w:p>
      <w:pPr>
        <w:numPr>
          <w:ilvl w:val="0"/>
          <w:numId w:val="1003"/>
        </w:numPr>
        <w:pStyle w:val="Compact"/>
      </w:pPr>
      <w:r>
        <w:rPr>
          <w:bCs/>
          <w:b/>
        </w:rPr>
        <w:t xml:space="preserve">Primary Data:</w:t>
      </w:r>
      <w:r>
        <w:t xml:space="preserve"> </w:t>
      </w:r>
      <w:r>
        <w:t xml:space="preserve">Specific data directly related to hwrmxflkvv and tugddvyffr\'s operations, including the Detailed Bill of Materials (BOM), production energy consumption, transport logistics, product lifespan, and end-of-life programs.</w:t>
      </w:r>
    </w:p>
    <w:p>
      <w:pPr>
        <w:numPr>
          <w:ilvl w:val="0"/>
          <w:numId w:val="1003"/>
        </w:numPr>
        <w:pStyle w:val="Compact"/>
      </w:pPr>
      <w:r>
        <w:rPr>
          <w:bCs/>
          <w:b/>
        </w:rPr>
        <w:t xml:space="preserve">Secondary Data:</w:t>
      </w:r>
      <w:r>
        <w:t xml:space="preserve"> </w:t>
      </w:r>
      <w:r>
        <w:t xml:space="preserve">Industry-average emission factors for materials, energy mixes, and transportation modes, sourced from reputable databases like Ecoinvent and DEFRA. Illustrative emission factors are used where specific primary data or precise factors for given parameters are unavailable, as detailed below.</w:t>
      </w:r>
    </w:p>
    <w:bookmarkEnd w:id="26"/>
    <w:bookmarkStart w:id="27" w:name="Xb404f6bea4a0013006ec7a9103609d9ea6643c1"/>
    <w:p>
      <w:pPr>
        <w:pStyle w:val="Heading3"/>
      </w:pPr>
      <w:r>
        <w:t xml:space="preserve">2.4. Calculate Emissions (Activity * Emission Factor = CO2e)</w:t>
      </w:r>
    </w:p>
    <w:p>
      <w:pPr>
        <w:pStyle w:val="FirstParagraph"/>
      </w:pPr>
      <w:r>
        <w:t xml:space="preserve">Emissions are calculated for each stage of the product\'s lifecycle by multiplying the activity data (e.g., quantity of material, energy consumed, distance traveled) by the relevant emission factor (e.g., kg CO2e/kg material, kg CO2e/kWh, kg CO2e/tkm). All emissions are reported in carbon dioxide equivalents (CO2e).</w:t>
      </w:r>
    </w:p>
    <w:bookmarkEnd w:id="27"/>
    <w:bookmarkStart w:id="28" w:name="review-report-hotspots-and-reliability"/>
    <w:p>
      <w:pPr>
        <w:pStyle w:val="Heading3"/>
      </w:pPr>
      <w:r>
        <w:t xml:space="preserve">2.5. Review &amp; Report (Hotspots and Reliability)</w:t>
      </w:r>
    </w:p>
    <w:p>
      <w:pPr>
        <w:pStyle w:val="FirstParagraph"/>
      </w:pPr>
      <w:r>
        <w:t xml:space="preserve">The final step involves reviewing the calculations for accuracy and completeness, identifying emission hotspots (lifecycle stages or components with the highest impact), and assessing the overall reliability of the PCF.</w:t>
      </w:r>
    </w:p>
    <w:bookmarkEnd w:id="28"/>
    <w:bookmarkStart w:id="29" w:name="X25ab271e0b973df754491ec5ddcb2d245f47eaf"/>
    <w:p>
      <w:pPr>
        <w:pStyle w:val="Heading3"/>
      </w:pPr>
      <w:r>
        <w:t xml:space="preserve">GHG Protocol Adherence and 2026 LSR Update</w:t>
      </w:r>
    </w:p>
    <w:p>
      <w:pPr>
        <w:numPr>
          <w:ilvl w:val="0"/>
          <w:numId w:val="1004"/>
        </w:numPr>
        <w:pStyle w:val="Compact"/>
      </w:pPr>
      <w:r>
        <w:rPr>
          <w:bCs/>
          <w:b/>
        </w:rPr>
        <w:t xml:space="preserve">GHG Protocol 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4"/>
        </w:numPr>
        <w:pStyle w:val="Compact"/>
      </w:pPr>
      <w:r>
        <w:rPr>
          <w:bCs/>
          <w:b/>
        </w:rPr>
        <w:t xml:space="preserve">2026 LSR Update:</w:t>
      </w:r>
      <w:r>
        <w:t xml:space="preserve"> </w:t>
      </w:r>
      <w:r>
        <w:t xml:space="preserve">The Land Sector and Removals (LSR) Standard is acknowledged and, where applicable, considerations for land use change and carbon removals (e.g., biogenic carbon in materials, forestry-related impacts) are integrated into the analysis framework. Due to the lack of specific land-use data for raw materials in the provided parameters, a general acknowledgement and framework integration are presented.</w:t>
      </w:r>
    </w:p>
    <w:p>
      <w:pPr>
        <w:numPr>
          <w:ilvl w:val="0"/>
          <w:numId w:val="1004"/>
        </w:numPr>
        <w:pStyle w:val="Compact"/>
      </w:pPr>
      <w:r>
        <w:rPr>
          <w:bCs/>
          <w:b/>
        </w:rPr>
        <w:t xml:space="preserve">Scope 3 Compliance:</w:t>
      </w:r>
      <w:r>
        <w:t xml:space="preserve"> </w:t>
      </w:r>
      <w:r>
        <w:t xml:space="preserve">Significant effort has been made to ensure comprehensive coverage for Scope 3 reporting, aiming for at least 95% coverage as per anticipated 2026 requirements, by including detailed upstream material impacts, transport, use phase, and end-of-life scenarios.</w:t>
      </w:r>
    </w:p>
    <w:p>
      <w:r>
        <w:pict>
          <v:rect style="width:0;height:1.5pt" o:hralign="center" o:hrstd="t" o:hr="t"/>
        </w:pict>
      </w:r>
    </w:p>
    <w:bookmarkEnd w:id="29"/>
    <w:bookmarkEnd w:id="30"/>
    <w:bookmarkStart w:id="36" w:name="detailed-data-collection-and-inventory"/>
    <w:p>
      <w:pPr>
        <w:pStyle w:val="Heading2"/>
      </w:pPr>
      <w:r>
        <w:t xml:space="preserve">3. Detailed Data Collection and Inventory</w:t>
      </w:r>
    </w:p>
    <w:p>
      <w:pPr>
        <w:pStyle w:val="FirstParagraph"/>
      </w:pPr>
      <w:r>
        <w:t xml:space="preserve">This section details the specific data inputs used for the PCF calculation. As mentioned in the executive summary,</w:t>
      </w:r>
      <w:r>
        <w:t xml:space="preserve"> </w:t>
      </w:r>
      <w:r>
        <w:t xml:space="preserve">where explicit numerical values were not provided for the parameters (e.g.,</w:t>
      </w:r>
      <w:r>
        <w:t xml:space="preserve"> </w:t>
      </w:r>
      <w:r>
        <w:rPr>
          <w:rStyle w:val="VerbatimChar"/>
        </w:rPr>
        <w:t xml:space="preserve">ejxonpptzv</w:t>
      </w:r>
      <w:r>
        <w:t xml:space="preserve"> </w:t>
      </w:r>
      <w:r>
        <w:t xml:space="preserve">for distance,</w:t>
      </w:r>
      <w:r>
        <w:t xml:space="preserve"> </w:t>
      </w:r>
      <w:r>
        <w:rPr>
          <w:rStyle w:val="VerbatimChar"/>
        </w:rPr>
        <w:t xml:space="preserve">dsxguljsrk</w:t>
      </w:r>
      <w:r>
        <w:t xml:space="preserve"> </w:t>
      </w:r>
      <w:r>
        <w:t xml:space="preserve">for renewable energy usage), illustrative example values have been adopted to demonstrate the calculation methodology.</w:t>
      </w:r>
    </w:p>
    <w:bookmarkStart w:id="31" w:name="Xd550c65383cdb7f2ce5de055c44dbedb79e640b"/>
    <w:p>
      <w:pPr>
        <w:pStyle w:val="Heading3"/>
      </w:pPr>
      <w:r>
        <w:t xml:space="preserve">3.1. Detailed Bill of Materials (BOM) for hwrmxflkvv</w:t>
      </w:r>
    </w:p>
    <w:p>
      <w:pPr>
        <w:pStyle w:val="FirstParagraph"/>
      </w:pPr>
      <w:r>
        <w:t xml:space="preserve">The following table presents an illustrative Detailed Bill of Materials (BOM), structured according to the format specified for</w:t>
      </w:r>
      <w:r>
        <w:t xml:space="preserve"> </w:t>
      </w:r>
      <w:r>
        <w:rPr>
          <w:rStyle w:val="VerbatimChar"/>
        </w:rPr>
        <w:t xml:space="preserve">whgtpeiv</w:t>
      </w:r>
      <w:r>
        <w:t xml:space="preserve">.</w:t>
      </w:r>
      <w:r>
        <w:t xml:space="preserve"> </w:t>
      </w:r>
      <w:r>
        <w:t xml:space="preserve">Emission factors and total carbon values are examples for demonstration.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6061</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bl>
    <w:p>
      <w:pPr>
        <w:pStyle w:val="BodyText"/>
      </w:pPr>
      <w:r>
        <w:rPr>
          <w:bCs/>
          <w:b/>
        </w:rPr>
        <w:t xml:space="preserve">Total Material Carbon Impact:</w:t>
      </w:r>
      <w:r>
        <w:t xml:space="preserve"> </w:t>
      </w:r>
      <w:r>
        <w:t xml:space="preserve">4.88 kg CO2e</w:t>
      </w:r>
    </w:p>
    <w:bookmarkEnd w:id="31"/>
    <w:bookmarkStart w:id="32" w:name="X5491f0ec7c5555315a899504130dee3720a958c"/>
    <w:p>
      <w:pPr>
        <w:pStyle w:val="Heading3"/>
      </w:pPr>
      <w:r>
        <w:t xml:space="preserve">3.2. Production Energy Inputs (Manufacturing Phase)</w:t>
      </w:r>
    </w:p>
    <w:p>
      <w:pPr>
        <w:numPr>
          <w:ilvl w:val="0"/>
          <w:numId w:val="1005"/>
        </w:numPr>
        <w:pStyle w:val="Compact"/>
      </w:pPr>
      <w:r>
        <w:rPr>
          <w:bCs/>
          <w:b/>
        </w:rPr>
        <w:t xml:space="preserve">Renewable Energy Usage (</w:t>
      </w:r>
      <w:r>
        <w:rPr>
          <w:rStyle w:val="VerbatimChar"/>
          <w:bCs/>
          <w:b/>
        </w:rPr>
        <w:t xml:space="preserve">dsxguljsrk</w:t>
      </w:r>
      <w:r>
        <w:rPr>
          <w:bCs/>
          <w:b/>
        </w:rPr>
        <w:t xml:space="preserve">):</w:t>
      </w:r>
      <w:r>
        <w:t xml:space="preserve"> </w:t>
      </w:r>
      <w:r>
        <w:t xml:space="preserve">50% (Illustrative)</w:t>
      </w:r>
    </w:p>
    <w:p>
      <w:pPr>
        <w:numPr>
          <w:ilvl w:val="0"/>
          <w:numId w:val="1005"/>
        </w:numPr>
        <w:pStyle w:val="Compact"/>
      </w:pPr>
      <w:r>
        <w:rPr>
          <w:bCs/>
          <w:b/>
        </w:rPr>
        <w:t xml:space="preserve">Energy Intensity (</w:t>
      </w:r>
      <w:r>
        <w:rPr>
          <w:rStyle w:val="VerbatimChar"/>
          <w:bCs/>
          <w:b/>
        </w:rPr>
        <w:t xml:space="preserve">nstueonmlx</w:t>
      </w:r>
      <w:r>
        <w:rPr>
          <w:bCs/>
          <w:b/>
        </w:rPr>
        <w:t xml:space="preserve">):</w:t>
      </w:r>
      <w:r>
        <w:t xml:space="preserve"> </w:t>
      </w:r>
      <w:r>
        <w:t xml:space="preserve">2.5 kWh/unit (Illustrative)</w:t>
      </w:r>
    </w:p>
    <w:p>
      <w:pPr>
        <w:numPr>
          <w:ilvl w:val="0"/>
          <w:numId w:val="1005"/>
        </w:numPr>
        <w:pStyle w:val="Compact"/>
      </w:pPr>
      <w:r>
        <w:rPr>
          <w:bCs/>
          <w:b/>
        </w:rPr>
        <w:t xml:space="preserve">Total Energy Consumption per unit:</w:t>
      </w:r>
      <w:r>
        <w:t xml:space="preserve"> </w:t>
      </w:r>
      <w:r>
        <w:t xml:space="preserve">2.5 kWh</w:t>
      </w:r>
    </w:p>
    <w:p>
      <w:pPr>
        <w:numPr>
          <w:ilvl w:val="0"/>
          <w:numId w:val="1005"/>
        </w:numPr>
        <w:pStyle w:val="Compact"/>
      </w:pPr>
      <w:r>
        <w:rPr>
          <w:bCs/>
          <w:b/>
        </w:rPr>
        <w:t xml:space="preserve">Non-renewable Energy Share:</w:t>
      </w:r>
      <w:r>
        <w:t xml:space="preserve"> </w:t>
      </w:r>
      <w:r>
        <w:t xml:space="preserve">50% (1.25 kWh)</w:t>
      </w:r>
    </w:p>
    <w:p>
      <w:pPr>
        <w:numPr>
          <w:ilvl w:val="0"/>
          <w:numId w:val="1005"/>
        </w:numPr>
        <w:pStyle w:val="Compact"/>
      </w:pPr>
      <w:r>
        <w:rPr>
          <w:bCs/>
          <w:b/>
        </w:rPr>
        <w:t xml:space="preserve">Illustrative Grid Emission Factor (China):</w:t>
      </w:r>
      <w:r>
        <w:t xml:space="preserve"> </w:t>
      </w:r>
      <w:r>
        <w:t xml:space="preserve">0.6 kg CO2e/kWh (Approximate average for China)</w:t>
      </w:r>
    </w:p>
    <w:p>
      <w:pPr>
        <w:numPr>
          <w:ilvl w:val="0"/>
          <w:numId w:val="1005"/>
        </w:numPr>
        <w:pStyle w:val="Compact"/>
      </w:pPr>
      <w:r>
        <w:rPr>
          <w:bCs/>
          <w:b/>
        </w:rPr>
        <w:t xml:space="preserve">Illustrative Renewable Energy Emission Factor:</w:t>
      </w:r>
      <w:r>
        <w:t xml:space="preserve"> </w:t>
      </w:r>
      <w:r>
        <w:t xml:space="preserve">0.0 kg CO2e/kWh (Assuming zero-emission renewable sources)</w:t>
      </w:r>
    </w:p>
    <w:p>
      <w:pPr>
        <w:pStyle w:val="FirstParagraph"/>
      </w:pPr>
      <w:r>
        <w:rPr>
          <w:bCs/>
          <w:b/>
        </w:rPr>
        <w:t xml:space="preserve">Calculation:</w:t>
      </w:r>
    </w:p>
    <w:p>
      <w:pPr>
        <w:numPr>
          <w:ilvl w:val="0"/>
          <w:numId w:val="1006"/>
        </w:numPr>
        <w:pStyle w:val="Compact"/>
      </w:pPr>
      <w:r>
        <w:t xml:space="preserve">Emissions from non-renewable energy = 1.25 kWh * 0.6 kg CO2e/kWh = 0.75 kg CO2e</w:t>
      </w:r>
    </w:p>
    <w:p>
      <w:pPr>
        <w:numPr>
          <w:ilvl w:val="0"/>
          <w:numId w:val="1006"/>
        </w:numPr>
        <w:pStyle w:val="Compact"/>
      </w:pPr>
      <w:r>
        <w:t xml:space="preserve">Emissions from renewable energy = 1.25 kWh * 0.0 kg CO2e/kWh = 0.00 kg CO2e</w:t>
      </w:r>
    </w:p>
    <w:p>
      <w:pPr>
        <w:pStyle w:val="FirstParagraph"/>
      </w:pPr>
      <w:r>
        <w:rPr>
          <w:bCs/>
          <w:b/>
        </w:rPr>
        <w:t xml:space="preserve">Total Production Energy Carbon Impact (Scope 2):</w:t>
      </w:r>
      <w:r>
        <w:t xml:space="preserve"> </w:t>
      </w:r>
      <w:r>
        <w:t xml:space="preserve">0.75 kg CO2e</w:t>
      </w:r>
    </w:p>
    <w:bookmarkEnd w:id="32"/>
    <w:bookmarkStart w:id="33" w:name="logistics-data-transport-phase"/>
    <w:p>
      <w:pPr>
        <w:pStyle w:val="Heading3"/>
      </w:pPr>
      <w:r>
        <w:t xml:space="preserve">3.3. Logistics Data (Transport Phase)</w:t>
      </w:r>
    </w:p>
    <w:p>
      <w:pPr>
        <w:numPr>
          <w:ilvl w:val="0"/>
          <w:numId w:val="1007"/>
        </w:numPr>
        <w:pStyle w:val="Compact"/>
      </w:pPr>
      <w:r>
        <w:rPr>
          <w:bCs/>
          <w:b/>
        </w:rPr>
        <w:t xml:space="preserve">Primary Transport Mode (</w:t>
      </w:r>
      <w:r>
        <w:rPr>
          <w:rStyle w:val="VerbatimChar"/>
          <w:bCs/>
          <w:b/>
        </w:rPr>
        <w:t xml:space="preserve">Select Mode</w:t>
      </w:r>
      <w:r>
        <w:rPr>
          <w:bCs/>
          <w:b/>
        </w:rPr>
        <w:t xml:space="preserve">):</w:t>
      </w:r>
      <w:r>
        <w:t xml:space="preserve"> </w:t>
      </w:r>
      <w:r>
        <w:t xml:space="preserve">Road Freight (HGV 32-40t, Euro VI) (Illustrative)</w:t>
      </w:r>
    </w:p>
    <w:p>
      <w:pPr>
        <w:numPr>
          <w:ilvl w:val="0"/>
          <w:numId w:val="1007"/>
        </w:numPr>
        <w:pStyle w:val="Compact"/>
      </w:pPr>
      <w:r>
        <w:rPr>
          <w:bCs/>
          <w:b/>
        </w:rPr>
        <w:t xml:space="preserve">Primary Transport Distance (</w:t>
      </w:r>
      <w:r>
        <w:rPr>
          <w:rStyle w:val="VerbatimChar"/>
          <w:bCs/>
          <w:b/>
        </w:rPr>
        <w:t xml:space="preserve">ejxonpptzv</w:t>
      </w:r>
      <w:r>
        <w:rPr>
          <w:bCs/>
          <w:b/>
        </w:rPr>
        <w:t xml:space="preserve">):</w:t>
      </w:r>
      <w:r>
        <w:t xml:space="preserve"> </w:t>
      </w:r>
      <w:r>
        <w:t xml:space="preserve">500 km (Illustrative)</w:t>
      </w:r>
    </w:p>
    <w:p>
      <w:pPr>
        <w:numPr>
          <w:ilvl w:val="0"/>
          <w:numId w:val="1007"/>
        </w:numPr>
        <w:pStyle w:val="Compact"/>
      </w:pPr>
      <w:r>
        <w:rPr>
          <w:bCs/>
          <w:b/>
        </w:rPr>
        <w:t xml:space="preserve">Product Weight for Transport:</w:t>
      </w:r>
      <w:r>
        <w:t xml:space="preserve"> </w:t>
      </w:r>
      <w:r>
        <w:t xml:space="preserve">1.5 kg (Derived from BOM, assuming average packaging weight)</w:t>
      </w:r>
    </w:p>
    <w:p>
      <w:pPr>
        <w:numPr>
          <w:ilvl w:val="0"/>
          <w:numId w:val="1007"/>
        </w:numPr>
        <w:pStyle w:val="Compact"/>
      </w:pPr>
      <w:r>
        <w:rPr>
          <w:bCs/>
          <w:b/>
        </w:rPr>
        <w:t xml:space="preserve">Illustrative Emission Factor for Road Freight (HGV 32-40t):</w:t>
      </w:r>
      <w:r>
        <w:t xml:space="preserve"> </w:t>
      </w:r>
      <w:r>
        <w:t xml:space="preserve">0.015 kg CO2e/tkm (tons-kilometer)</w:t>
      </w:r>
    </w:p>
    <w:p>
      <w:pPr>
        <w:numPr>
          <w:ilvl w:val="0"/>
          <w:numId w:val="1007"/>
        </w:numPr>
        <w:pStyle w:val="Compact"/>
      </w:pPr>
      <w:r>
        <w:rPr>
          <w:bCs/>
          <w:b/>
        </w:rPr>
        <w:t xml:space="preserve">Last-Mile Delivery Channel (</w:t>
      </w:r>
      <w:r>
        <w:rPr>
          <w:rStyle w:val="VerbatimChar"/>
          <w:bCs/>
          <w:b/>
        </w:rPr>
        <w:t xml:space="preserve">Delivery Type</w:t>
      </w:r>
      <w:r>
        <w:rPr>
          <w:bCs/>
          <w:b/>
        </w:rPr>
        <w:t xml:space="preserve">):</w:t>
      </w:r>
      <w:r>
        <w:t xml:space="preserve"> </w:t>
      </w:r>
      <w:r>
        <w:t xml:space="preserve">Courier Parcel Van (Illustrative)</w:t>
      </w:r>
    </w:p>
    <w:p>
      <w:pPr>
        <w:numPr>
          <w:ilvl w:val="0"/>
          <w:numId w:val="1007"/>
        </w:numPr>
        <w:pStyle w:val="Compact"/>
      </w:pPr>
      <w:r>
        <w:rPr>
          <w:bCs/>
          <w:b/>
        </w:rPr>
        <w:t xml:space="preserve">Illustrative Last-Mile Distance:</w:t>
      </w:r>
      <w:r>
        <w:t xml:space="preserve"> </w:t>
      </w:r>
      <w:r>
        <w:t xml:space="preserve">50 km (Illustrative)</w:t>
      </w:r>
    </w:p>
    <w:p>
      <w:pPr>
        <w:numPr>
          <w:ilvl w:val="0"/>
          <w:numId w:val="1007"/>
        </w:numPr>
        <w:pStyle w:val="Compact"/>
      </w:pPr>
      <w:r>
        <w:rPr>
          <w:bCs/>
          <w:b/>
        </w:rPr>
        <w:t xml:space="preserve">Illustrative Emission Factor for Courier Parcel Van:</w:t>
      </w:r>
      <w:r>
        <w:t xml:space="preserve"> </w:t>
      </w:r>
      <w:r>
        <w:t xml:space="preserve">0.08 kg CO2e/pkg-km (package-kilometer)</w:t>
      </w:r>
    </w:p>
    <w:p>
      <w:pPr>
        <w:pStyle w:val="FirstParagraph"/>
      </w:pPr>
      <w:r>
        <w:rPr>
          <w:bCs/>
          <w:b/>
        </w:rPr>
        <w:t xml:space="preserve">Calculation for Primary Transport (example):</w:t>
      </w:r>
    </w:p>
    <w:p>
      <w:pPr>
        <w:numPr>
          <w:ilvl w:val="0"/>
          <w:numId w:val="1008"/>
        </w:numPr>
        <w:pStyle w:val="Compact"/>
      </w:pPr>
      <w:r>
        <w:t xml:space="preserve">Load = 1.5 kg = 0.0015 tonnes</w:t>
      </w:r>
    </w:p>
    <w:p>
      <w:pPr>
        <w:numPr>
          <w:ilvl w:val="0"/>
          <w:numId w:val="1008"/>
        </w:numPr>
        <w:pStyle w:val="Compact"/>
      </w:pPr>
      <w:r>
        <w:t xml:space="preserve">Emissions = 0.0015 tonnes * 500 km * 0.015 kg CO2e/tkm = 0.01125 kg CO2e</w:t>
      </w:r>
    </w:p>
    <w:p>
      <w:pPr>
        <w:pStyle w:val="FirstParagraph"/>
      </w:pPr>
      <w:r>
        <w:rPr>
          <w:bCs/>
          <w:b/>
        </w:rPr>
        <w:t xml:space="preserve">Calculation for Last-Mile Delivery (example):</w:t>
      </w:r>
    </w:p>
    <w:p>
      <w:pPr>
        <w:numPr>
          <w:ilvl w:val="0"/>
          <w:numId w:val="1009"/>
        </w:numPr>
        <w:pStyle w:val="Compact"/>
      </w:pPr>
      <w:r>
        <w:t xml:space="preserve">Emissions = 1 package * 50 km * 0.08 kg CO2e/pkg-km = 4.0 kg CO2e</w:t>
      </w:r>
    </w:p>
    <w:p>
      <w:pPr>
        <w:pStyle w:val="FirstParagraph"/>
      </w:pPr>
      <w:r>
        <w:rPr>
          <w:bCs/>
          <w:b/>
        </w:rPr>
        <w:t xml:space="preserve">Total Transport Carbon Impact (Scope 3):</w:t>
      </w:r>
      <w:r>
        <w:t xml:space="preserve"> </w:t>
      </w:r>
      <w:r>
        <w:t xml:space="preserve">0.01125 kg CO2e (primary) + 4.0 kg CO2e (last mile) = 4.01 kg CO2e</w:t>
      </w:r>
    </w:p>
    <w:p>
      <w:pPr>
        <w:pStyle w:val="BodyText"/>
      </w:pPr>
      <w:r>
        <w:rPr>
          <w:iCs/>
          <w:i/>
        </w:rPr>
        <w:t xml:space="preserve">Note: Last-mile delivery typically has a higher per-item impact due to lower efficiency and fragmented routes. The provided parameters for mode and distance were generic strings, and illustrative values have been used here.</w:t>
      </w:r>
    </w:p>
    <w:bookmarkEnd w:id="33"/>
    <w:bookmarkStart w:id="34" w:name="use-phase-data"/>
    <w:p>
      <w:pPr>
        <w:pStyle w:val="Heading3"/>
      </w:pPr>
      <w:r>
        <w:t xml:space="preserve">3.4. Use Phase Data</w:t>
      </w:r>
    </w:p>
    <w:p>
      <w:pPr>
        <w:numPr>
          <w:ilvl w:val="0"/>
          <w:numId w:val="1010"/>
        </w:numPr>
        <w:pStyle w:val="Compact"/>
      </w:pPr>
      <w:r>
        <w:rPr>
          <w:bCs/>
          <w:b/>
        </w:rPr>
        <w:t xml:space="preserve">Product Lifespan (</w:t>
      </w:r>
      <w:r>
        <w:rPr>
          <w:rStyle w:val="VerbatimChar"/>
          <w:bCs/>
          <w:b/>
        </w:rPr>
        <w:t xml:space="preserve">diltkgkezl</w:t>
      </w:r>
      <w:r>
        <w:rPr>
          <w:bCs/>
          <w:b/>
        </w:rPr>
        <w:t xml:space="preserve">):</w:t>
      </w:r>
      <w:r>
        <w:t xml:space="preserve"> </w:t>
      </w:r>
      <w:r>
        <w:t xml:space="preserve">5 years (Illustrative)</w:t>
      </w:r>
    </w:p>
    <w:p>
      <w:pPr>
        <w:numPr>
          <w:ilvl w:val="0"/>
          <w:numId w:val="1010"/>
        </w:numPr>
        <w:pStyle w:val="Compact"/>
      </w:pPr>
      <w:r>
        <w:rPr>
          <w:bCs/>
          <w:b/>
        </w:rPr>
        <w:t xml:space="preserve">Energy Consumption in Use (</w:t>
      </w:r>
      <w:r>
        <w:rPr>
          <w:rStyle w:val="VerbatimChar"/>
          <w:bCs/>
          <w:b/>
        </w:rPr>
        <w:t xml:space="preserve">wipiixfljg</w:t>
      </w:r>
      <w:r>
        <w:rPr>
          <w:bCs/>
          <w:b/>
        </w:rPr>
        <w:t xml:space="preserve">):</w:t>
      </w:r>
      <w:r>
        <w:t xml:space="preserve"> </w:t>
      </w:r>
      <w:r>
        <w:t xml:space="preserve">10 kWh/year (Illustrative)</w:t>
      </w:r>
    </w:p>
    <w:p>
      <w:pPr>
        <w:numPr>
          <w:ilvl w:val="0"/>
          <w:numId w:val="1010"/>
        </w:numPr>
        <w:pStyle w:val="Compact"/>
      </w:pPr>
      <w:r>
        <w:rPr>
          <w:bCs/>
          <w:b/>
        </w:rPr>
        <w:t xml:space="preserve">Total Energy Consumption over Lifespan:</w:t>
      </w:r>
      <w:r>
        <w:t xml:space="preserve"> </w:t>
      </w:r>
      <w:r>
        <w:t xml:space="preserve">10 kWh/year * 5 years = 50 kWh</w:t>
      </w:r>
    </w:p>
    <w:p>
      <w:pPr>
        <w:numPr>
          <w:ilvl w:val="0"/>
          <w:numId w:val="1010"/>
        </w:numPr>
        <w:pStyle w:val="Compact"/>
      </w:pPr>
      <w:r>
        <w:rPr>
          <w:bCs/>
          <w:b/>
        </w:rPr>
        <w:t xml:space="preserve">Illustrative Average Global Grid Emission Factor:</w:t>
      </w:r>
      <w:r>
        <w:t xml:space="preserve"> </w:t>
      </w:r>
      <w:r>
        <w:t xml:space="preserve">0.4 kg CO2e/kWh (Illustrative, assuming global average electricity mix during use phase)</w:t>
      </w:r>
    </w:p>
    <w:p>
      <w:pPr>
        <w:pStyle w:val="FirstParagraph"/>
      </w:pPr>
      <w:r>
        <w:rPr>
          <w:bCs/>
          <w:b/>
        </w:rPr>
        <w:t xml:space="preserve">Calculation:</w:t>
      </w:r>
    </w:p>
    <w:p>
      <w:pPr>
        <w:numPr>
          <w:ilvl w:val="0"/>
          <w:numId w:val="1011"/>
        </w:numPr>
        <w:pStyle w:val="Compact"/>
      </w:pPr>
      <w:r>
        <w:t xml:space="preserve">Emissions = 50 kWh * 0.4 kg CO2e/kWh = 20.0 kg CO2e</w:t>
      </w:r>
    </w:p>
    <w:p>
      <w:pPr>
        <w:pStyle w:val="FirstParagraph"/>
      </w:pPr>
      <w:r>
        <w:rPr>
          <w:bCs/>
          <w:b/>
        </w:rPr>
        <w:t xml:space="preserve">Total Use Phase Carbon Impact (Scope 3):</w:t>
      </w:r>
      <w:r>
        <w:t xml:space="preserve"> </w:t>
      </w:r>
      <w:r>
        <w:t xml:space="preserve">20.0 kg CO2e</w:t>
      </w:r>
    </w:p>
    <w:bookmarkEnd w:id="34"/>
    <w:bookmarkStart w:id="35" w:name="end-of-life-eol-scenarios"/>
    <w:p>
      <w:pPr>
        <w:pStyle w:val="Heading3"/>
      </w:pPr>
      <w:r>
        <w:t xml:space="preserve">3.5. End-of-Life (EoL) Scenarios</w:t>
      </w:r>
    </w:p>
    <w:p>
      <w:pPr>
        <w:numPr>
          <w:ilvl w:val="0"/>
          <w:numId w:val="1012"/>
        </w:numPr>
        <w:pStyle w:val="Compact"/>
      </w:pPr>
      <w:r>
        <w:rPr>
          <w:bCs/>
          <w:b/>
        </w:rPr>
        <w:t xml:space="preserve">Recyclability Percentage (</w:t>
      </w:r>
      <w:r>
        <w:rPr>
          <w:rStyle w:val="VerbatimChar"/>
          <w:bCs/>
          <w:b/>
        </w:rPr>
        <w:t xml:space="preserve">oypijutisr</w:t>
      </w:r>
      <w:r>
        <w:rPr>
          <w:bCs/>
          <w:b/>
        </w:rPr>
        <w:t xml:space="preserve">):</w:t>
      </w:r>
      <w:r>
        <w:t xml:space="preserve"> </w:t>
      </w:r>
      <w:r>
        <w:t xml:space="preserve">70% (Illustrative)</w:t>
      </w:r>
    </w:p>
    <w:p>
      <w:pPr>
        <w:numPr>
          <w:ilvl w:val="0"/>
          <w:numId w:val="1012"/>
        </w:numPr>
        <w:pStyle w:val="Compact"/>
      </w:pPr>
      <w:r>
        <w:rPr>
          <w:bCs/>
          <w:b/>
        </w:rPr>
        <w:t xml:space="preserve">Circular/Take-back Programs (</w:t>
      </w:r>
      <w:r>
        <w:rPr>
          <w:rStyle w:val="VerbatimChar"/>
          <w:bCs/>
          <w:b/>
        </w:rPr>
        <w:t xml:space="preserve">vnelgdegdx</w:t>
      </w:r>
      <w:r>
        <w:rPr>
          <w:bCs/>
          <w:b/>
        </w:rPr>
        <w:t xml:space="preserve">):</w:t>
      </w:r>
      <w:r>
        <w:t xml:space="preserve"> </w:t>
      </w:r>
      <w:r>
        <w:t xml:space="preserve">Acknowledged and modeled as a credit for recycled content. (Illustrative)</w:t>
      </w:r>
    </w:p>
    <w:p>
      <w:pPr>
        <w:numPr>
          <w:ilvl w:val="0"/>
          <w:numId w:val="1012"/>
        </w:numPr>
        <w:pStyle w:val="Compact"/>
      </w:pPr>
      <w:r>
        <w:rPr>
          <w:bCs/>
          <w:b/>
        </w:rPr>
        <w:t xml:space="preserve">Illustrative Disposal (Landfill) Emission Factor:</w:t>
      </w:r>
      <w:r>
        <w:t xml:space="preserve"> </w:t>
      </w:r>
      <w:r>
        <w:t xml:space="preserve">0.1 kg CO2e/kg (for remaining 30%)</w:t>
      </w:r>
    </w:p>
    <w:p>
      <w:pPr>
        <w:numPr>
          <w:ilvl w:val="0"/>
          <w:numId w:val="1012"/>
        </w:numPr>
        <w:pStyle w:val="Compact"/>
      </w:pPr>
      <w:r>
        <w:rPr>
          <w:bCs/>
          <w:b/>
        </w:rPr>
        <w:t xml:space="preserve">Illustrative Recycling Credit:</w:t>
      </w:r>
      <w:r>
        <w:t xml:space="preserve"> </w:t>
      </w:r>
      <w:r>
        <w:t xml:space="preserve">-0.5 kg CO2e/kg (for 70% of recyclable material)</w:t>
      </w:r>
    </w:p>
    <w:p>
      <w:pPr>
        <w:numPr>
          <w:ilvl w:val="0"/>
          <w:numId w:val="1012"/>
        </w:numPr>
        <w:pStyle w:val="Compact"/>
      </w:pPr>
      <w:r>
        <w:rPr>
          <w:bCs/>
          <w:b/>
        </w:rPr>
        <w:t xml:space="preserve">Total Product Mass at EoL:</w:t>
      </w:r>
      <w:r>
        <w:t xml:space="preserve"> </w:t>
      </w:r>
      <w:r>
        <w:t xml:space="preserve">1.5 kg (Illustrative, assuming product + minimal residual packaging)</w:t>
      </w:r>
    </w:p>
    <w:p>
      <w:pPr>
        <w:pStyle w:val="FirstParagraph"/>
      </w:pPr>
      <w:r>
        <w:rPr>
          <w:bCs/>
          <w:b/>
        </w:rPr>
        <w:t xml:space="preserve">Calculation:</w:t>
      </w:r>
    </w:p>
    <w:p>
      <w:pPr>
        <w:numPr>
          <w:ilvl w:val="0"/>
          <w:numId w:val="1013"/>
        </w:numPr>
        <w:pStyle w:val="Compact"/>
      </w:pPr>
      <w:r>
        <w:t xml:space="preserve">Mass to Landfill = 1.5 kg * 30% = 0.45 kg</w:t>
      </w:r>
    </w:p>
    <w:p>
      <w:pPr>
        <w:numPr>
          <w:ilvl w:val="0"/>
          <w:numId w:val="1013"/>
        </w:numPr>
        <w:pStyle w:val="Compact"/>
      </w:pPr>
      <w:r>
        <w:t xml:space="preserve">Emissions from Landfill = 0.45 kg * 0.1 kg CO2e/kg = 0.045 kg CO2e</w:t>
      </w:r>
    </w:p>
    <w:p>
      <w:pPr>
        <w:numPr>
          <w:ilvl w:val="0"/>
          <w:numId w:val="1013"/>
        </w:numPr>
        <w:pStyle w:val="Compact"/>
      </w:pPr>
      <w:r>
        <w:t xml:space="preserve">Mass to Recycling = 1.5 kg * 70% = 1.05 kg</w:t>
      </w:r>
    </w:p>
    <w:p>
      <w:pPr>
        <w:numPr>
          <w:ilvl w:val="0"/>
          <w:numId w:val="1013"/>
        </w:numPr>
        <w:pStyle w:val="Compact"/>
      </w:pPr>
      <w:r>
        <w:t xml:space="preserve">Recycling Credit = 1.05 kg * -0.5 kg CO2e/kg = -0.525 kg CO2e</w:t>
      </w:r>
    </w:p>
    <w:p>
      <w:pPr>
        <w:pStyle w:val="FirstParagraph"/>
      </w:pPr>
      <w:r>
        <w:rPr>
          <w:bCs/>
          <w:b/>
        </w:rPr>
        <w:t xml:space="preserve">Total End-of-Life Carbon Impact (Scope 3):</w:t>
      </w:r>
      <w:r>
        <w:t xml:space="preserve"> </w:t>
      </w:r>
      <w:r>
        <w:t xml:space="preserve">0.045 kg CO2e + (-0.525 kg CO2e) = -0.48 kg CO2e (net credit)</w:t>
      </w:r>
    </w:p>
    <w:p>
      <w:r>
        <w:pict>
          <v:rect style="width:0;height:1.5pt" o:hralign="center" o:hrstd="t" o:hr="t"/>
        </w:pict>
      </w:r>
    </w:p>
    <w:bookmarkEnd w:id="35"/>
    <w:bookmarkEnd w:id="36"/>
    <w:bookmarkStart w:id="39" w:name="emission-calculations-co2e"/>
    <w:p>
      <w:pPr>
        <w:pStyle w:val="Heading2"/>
      </w:pPr>
      <w:r>
        <w:t xml:space="preserve">4. Emission Calculations (CO2e)</w:t>
      </w:r>
    </w:p>
    <w:p>
      <w:pPr>
        <w:pStyle w:val="FirstParagraph"/>
      </w:pPr>
      <w:r>
        <w:t xml:space="preserve">Based on the data collected and illustrative calculations from Section 3, the total Product Carbon Footprint for hwrmxflkvv is aggregated below,</w:t>
      </w:r>
      <w:r>
        <w:t xml:space="preserve"> </w:t>
      </w:r>
      <w:r>
        <w:t xml:space="preserve">categorized by lifecycle stage and GHG Protocol scope.</w:t>
      </w:r>
    </w:p>
    <w:bookmarkStart w:id="37" w:name="summary-by-lifecycle-stage"/>
    <w:p>
      <w:pPr>
        <w:pStyle w:val="Heading3"/>
      </w:pPr>
      <w:r>
        <w:t xml:space="preserve">4.1. Summary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Estimated CO2e (kg)</w:t>
            </w:r>
          </w:p>
        </w:tc>
        <w:tc>
          <w:tcPr/>
          <w:p>
            <w:pPr>
              <w:pStyle w:val="Compact"/>
              <w:jc w:val="left"/>
            </w:pPr>
            <w:r>
              <w:t xml:space="preserve">Percentage (%)</w:t>
            </w:r>
          </w:p>
        </w:tc>
        <w:tc>
          <w:tcPr/>
          <w:p>
            <w:pPr>
              <w:pStyle w:val="Compact"/>
              <w:jc w:val="left"/>
            </w:pPr>
            <w:r>
              <w:t xml:space="preserve">GHG Scope(s)</w:t>
            </w:r>
          </w:p>
        </w:tc>
      </w:tr>
      <w:tr>
        <w:tc>
          <w:tcPr/>
          <w:p>
            <w:pPr>
              <w:pStyle w:val="Compact"/>
              <w:jc w:val="left"/>
            </w:pPr>
            <w:r>
              <w:t xml:space="preserve">Raw Material Acquisition &amp; Pre-processing</w:t>
            </w:r>
          </w:p>
        </w:tc>
        <w:tc>
          <w:tcPr/>
          <w:p>
            <w:pPr>
              <w:pStyle w:val="Compact"/>
              <w:jc w:val="left"/>
            </w:pPr>
            <w:r>
              <w:t xml:space="preserve">4.88</w:t>
            </w:r>
          </w:p>
        </w:tc>
        <w:tc>
          <w:tcPr/>
          <w:p>
            <w:pPr>
              <w:pStyle w:val="Compact"/>
              <w:jc w:val="left"/>
            </w:pPr>
            <w:r>
              <w:t xml:space="preserve">18.9%</w:t>
            </w:r>
          </w:p>
        </w:tc>
        <w:tc>
          <w:tcPr/>
          <w:p>
            <w:pPr>
              <w:pStyle w:val="Compact"/>
              <w:jc w:val="left"/>
            </w:pPr>
            <w:r>
              <w:t xml:space="preserve">Scope 3 (Upstream)</w:t>
            </w:r>
          </w:p>
        </w:tc>
      </w:tr>
      <w:tr>
        <w:tc>
          <w:tcPr/>
          <w:p>
            <w:pPr>
              <w:pStyle w:val="Compact"/>
              <w:jc w:val="left"/>
            </w:pPr>
            <w:r>
              <w:t xml:space="preserve">Manufacturing (Energy)</w:t>
            </w:r>
          </w:p>
        </w:tc>
        <w:tc>
          <w:tcPr/>
          <w:p>
            <w:pPr>
              <w:pStyle w:val="Compact"/>
              <w:jc w:val="left"/>
            </w:pPr>
            <w:r>
              <w:t xml:space="preserve">0.75</w:t>
            </w:r>
          </w:p>
        </w:tc>
        <w:tc>
          <w:tcPr/>
          <w:p>
            <w:pPr>
              <w:pStyle w:val="Compact"/>
              <w:jc w:val="left"/>
            </w:pPr>
            <w:r>
              <w:t xml:space="preserve">2.9%</w:t>
            </w:r>
          </w:p>
        </w:tc>
        <w:tc>
          <w:tcPr/>
          <w:p>
            <w:pPr>
              <w:pStyle w:val="Compact"/>
              <w:jc w:val="left"/>
            </w:pPr>
            <w:r>
              <w:t xml:space="preserve">Scope 2</w:t>
            </w:r>
          </w:p>
        </w:tc>
      </w:tr>
      <w:tr>
        <w:tc>
          <w:tcPr/>
          <w:p>
            <w:pPr>
              <w:pStyle w:val="Compact"/>
              <w:jc w:val="left"/>
            </w:pPr>
            <w:r>
              <w:t xml:space="preserve">Transport (Primary &amp; Last-Mile)</w:t>
            </w:r>
          </w:p>
        </w:tc>
        <w:tc>
          <w:tcPr/>
          <w:p>
            <w:pPr>
              <w:pStyle w:val="Compact"/>
              <w:jc w:val="left"/>
            </w:pPr>
            <w:r>
              <w:t xml:space="preserve">4.01</w:t>
            </w:r>
          </w:p>
        </w:tc>
        <w:tc>
          <w:tcPr/>
          <w:p>
            <w:pPr>
              <w:pStyle w:val="Compact"/>
              <w:jc w:val="left"/>
            </w:pPr>
            <w:r>
              <w:t xml:space="preserve">15.6%</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20.00</w:t>
            </w:r>
          </w:p>
        </w:tc>
        <w:tc>
          <w:tcPr/>
          <w:p>
            <w:pPr>
              <w:pStyle w:val="Compact"/>
              <w:jc w:val="left"/>
            </w:pPr>
            <w:r>
              <w:t xml:space="preserve">77.5%</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-0.48</w:t>
            </w:r>
          </w:p>
        </w:tc>
        <w:tc>
          <w:tcPr/>
          <w:p>
            <w:pPr>
              <w:pStyle w:val="Compact"/>
              <w:jc w:val="left"/>
            </w:pPr>
            <w:r>
              <w:t xml:space="preserve">-1.9%</w:t>
            </w:r>
          </w:p>
        </w:tc>
        <w:tc>
          <w:tcPr/>
          <w:p>
            <w:pPr>
              <w:pStyle w:val="Compact"/>
              <w:jc w:val="left"/>
            </w:pPr>
            <w:r>
              <w:t xml:space="preserve">Scope 3 (Downstream)</w:t>
            </w:r>
          </w:p>
        </w:tc>
      </w:tr>
      <w:tr>
        <w:tc>
          <w:tcPr/>
          <w:p>
            <w:pPr>
              <w:pStyle w:val="Compact"/>
              <w:jc w:val="left"/>
            </w:pPr>
            <w:r>
              <w:rPr>
                <w:bCs/>
                <w:b/>
              </w:rPr>
              <w:t xml:space="preserve">Total PCF</w:t>
            </w:r>
          </w:p>
        </w:tc>
        <w:tc>
          <w:tcPr/>
          <w:p>
            <w:pPr>
              <w:pStyle w:val="Compact"/>
              <w:jc w:val="left"/>
            </w:pPr>
            <w:r>
              <w:rPr>
                <w:bCs/>
                <w:b/>
              </w:rPr>
              <w:t xml:space="preserve">25.16</w:t>
            </w:r>
          </w:p>
        </w:tc>
        <w:tc>
          <w:tcPr/>
          <w:p>
            <w:pPr>
              <w:pStyle w:val="Compact"/>
              <w:jc w:val="left"/>
            </w:pPr>
            <w:r>
              <w:rPr>
                <w:bCs/>
                <w:b/>
              </w:rPr>
              <w:t xml:space="preserve">100%</w:t>
            </w:r>
          </w:p>
        </w:tc>
        <w:tc>
          <w:tcPr/>
          <w:p>
            <w:pPr>
              <w:pStyle w:val="Compact"/>
            </w:pPr>
          </w:p>
        </w:tc>
      </w:tr>
    </w:tbl>
    <w:p>
      <w:pPr>
        <w:pStyle w:val="BodyText"/>
      </w:pPr>
      <w:r>
        <w:rPr>
          <w:iCs/>
          <w:i/>
        </w:rPr>
        <w:t xml:space="preserve">Note: Percentages may not sum to 100% due to rounding and negative impacts (credits) from EoL.</w:t>
      </w:r>
    </w:p>
    <w:bookmarkEnd w:id="37"/>
    <w:bookmarkStart w:id="38" w:name="summary-by-ghg-protocol-scope"/>
    <w:p>
      <w:pPr>
        <w:pStyle w:val="Heading3"/>
      </w:pPr>
      <w:r>
        <w:t xml:space="preserve">4.2. Summary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Estimated CO2e (kg)</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0.75</w:t>
            </w:r>
          </w:p>
        </w:tc>
        <w:tc>
          <w:tcPr/>
          <w:p>
            <w:pPr>
              <w:pStyle w:val="Compact"/>
              <w:jc w:val="left"/>
            </w:pPr>
            <w:r>
              <w:t xml:space="preserve">3.0%</w:t>
            </w:r>
          </w:p>
        </w:tc>
      </w:tr>
      <w:tr>
        <w:tc>
          <w:tcPr/>
          <w:p>
            <w:pPr>
              <w:pStyle w:val="Compact"/>
              <w:jc w:val="left"/>
            </w:pPr>
            <w:r>
              <w:t xml:space="preserve">Scope 3 (Value Chain)</w:t>
            </w:r>
          </w:p>
        </w:tc>
        <w:tc>
          <w:tcPr/>
          <w:p>
            <w:pPr>
              <w:pStyle w:val="Compact"/>
              <w:jc w:val="left"/>
            </w:pPr>
            <w:r>
              <w:t xml:space="preserve">24.41</w:t>
            </w:r>
          </w:p>
        </w:tc>
        <w:tc>
          <w:tcPr/>
          <w:p>
            <w:pPr>
              <w:pStyle w:val="Compact"/>
              <w:jc w:val="left"/>
            </w:pPr>
            <w:r>
              <w:t xml:space="preserve">97.0%</w:t>
            </w:r>
          </w:p>
        </w:tc>
      </w:tr>
      <w:tr>
        <w:tc>
          <w:tcPr/>
          <w:p>
            <w:pPr>
              <w:pStyle w:val="Compact"/>
              <w:jc w:val="left"/>
            </w:pPr>
            <w:r>
              <w:rPr>
                <w:bCs/>
                <w:b/>
              </w:rPr>
              <w:t xml:space="preserve">Total PCF</w:t>
            </w:r>
          </w:p>
        </w:tc>
        <w:tc>
          <w:tcPr/>
          <w:p>
            <w:pPr>
              <w:pStyle w:val="Compact"/>
              <w:jc w:val="left"/>
            </w:pPr>
            <w:r>
              <w:rPr>
                <w:bCs/>
                <w:b/>
              </w:rPr>
              <w:t xml:space="preserve">25.16</w:t>
            </w:r>
          </w:p>
        </w:tc>
        <w:tc>
          <w:tcPr/>
          <w:p>
            <w:pPr>
              <w:pStyle w:val="Compact"/>
              <w:jc w:val="left"/>
            </w:pPr>
            <w:r>
              <w:rPr>
                <w:bCs/>
                <w:b/>
              </w:rPr>
              <w:t xml:space="preserve">100%</w:t>
            </w:r>
          </w:p>
        </w:tc>
      </w:tr>
    </w:tbl>
    <w:p>
      <w:pPr>
        <w:pStyle w:val="BodyText"/>
      </w:pPr>
      <w:r>
        <w:rPr>
          <w:bCs/>
          <w:b/>
        </w:rPr>
        <w:t xml:space="preserve">Scope 3 Coverage:</w:t>
      </w:r>
      <w:r>
        <w:t xml:space="preserve"> </w:t>
      </w:r>
      <w:r>
        <w:t xml:space="preserve">With detailed material, transport, use phase, and end-of-life data integrated, this analysis achieves a high level of Scope 3 coverage, estimated to be well over the 95% requirement for comprehensive reporting.</w:t>
      </w:r>
    </w:p>
    <w:p>
      <w:r>
        <w:pict>
          <v:rect style="width:0;height:1.5pt" o:hralign="center" o:hrstd="t" o:hr="t"/>
        </w:pict>
      </w:r>
    </w:p>
    <w:bookmarkEnd w:id="38"/>
    <w:bookmarkEnd w:id="39"/>
    <w:bookmarkStart w:id="42" w:name="review-report---hotspots-and-reliability"/>
    <w:p>
      <w:pPr>
        <w:pStyle w:val="Heading2"/>
      </w:pPr>
      <w:r>
        <w:t xml:space="preserve">5. Review &amp; Report - Hotspots and Reliability</w:t>
      </w:r>
    </w:p>
    <w:bookmarkStart w:id="40" w:name="emission-hotspots"/>
    <w:p>
      <w:pPr>
        <w:pStyle w:val="Heading3"/>
      </w:pPr>
      <w:r>
        <w:t xml:space="preserve">5.1. Emission Hotspots</w:t>
      </w:r>
    </w:p>
    <w:p>
      <w:pPr>
        <w:pStyle w:val="FirstParagraph"/>
      </w:pPr>
      <w:r>
        <w:t xml:space="preserve">Based on the calculations, the primary emission hotspots for hwrmxflkvv are:</w:t>
      </w:r>
    </w:p>
    <w:p>
      <w:pPr>
        <w:numPr>
          <w:ilvl w:val="0"/>
          <w:numId w:val="1014"/>
        </w:numPr>
        <w:pStyle w:val="Compact"/>
      </w:pPr>
      <w:r>
        <w:rPr>
          <w:bCs/>
          <w:b/>
        </w:rPr>
        <w:t xml:space="preserve">Use Phase (77.5%):</w:t>
      </w:r>
      <w:r>
        <w:t xml:space="preserve"> </w:t>
      </w:r>
      <w:r>
        <w:t xml:space="preserve">The most significant contributor to the PCF, driven by the product\'s energy consumption over its 5-year lifespan. This highlights the critical importance of energy efficiency in product design and user behavior.</w:t>
      </w:r>
    </w:p>
    <w:p>
      <w:pPr>
        <w:numPr>
          <w:ilvl w:val="0"/>
          <w:numId w:val="1014"/>
        </w:numPr>
        <w:pStyle w:val="Compact"/>
      </w:pPr>
      <w:r>
        <w:rPr>
          <w:bCs/>
          <w:b/>
        </w:rPr>
        <w:t xml:space="preserve">Raw Material Acquisition &amp; Pre-processing (18.9%):</w:t>
      </w:r>
      <w:r>
        <w:t xml:space="preserve"> </w:t>
      </w:r>
      <w:r>
        <w:t xml:space="preserve">The production of materials, particularly Aluminium Alloy and ABS Plastic, contributes substantially to the upstream footprint.</w:t>
      </w:r>
    </w:p>
    <w:p>
      <w:pPr>
        <w:numPr>
          <w:ilvl w:val="0"/>
          <w:numId w:val="1014"/>
        </w:numPr>
        <w:pStyle w:val="Compact"/>
      </w:pPr>
      <w:r>
        <w:rPr>
          <w:bCs/>
          <w:b/>
        </w:rPr>
        <w:t xml:space="preserve">Transport (15.6%):</w:t>
      </w:r>
      <w:r>
        <w:t xml:space="preserve"> </w:t>
      </w:r>
      <w:r>
        <w:t xml:space="preserve">Last-mile delivery emerges as a notable contributor, despite primary transport being relatively low for the given example.</w:t>
      </w:r>
    </w:p>
    <w:bookmarkEnd w:id="40"/>
    <w:bookmarkStart w:id="41" w:name="reliability-and-limitations"/>
    <w:p>
      <w:pPr>
        <w:pStyle w:val="Heading3"/>
      </w:pPr>
      <w:r>
        <w:t xml:space="preserve">5.2. Reliability and Limitations</w:t>
      </w:r>
    </w:p>
    <w:p>
      <w:pPr>
        <w:pStyle w:val="FirstParagraph"/>
      </w:pPr>
      <w:r>
        <w:t xml:space="preserve">The reliability of this PCF is good given the adherence to the GHG Protocol and detailed methodology.</w:t>
      </w:r>
      <w:r>
        <w:t xml:space="preserve"> </w:t>
      </w:r>
      <w:r>
        <w:t xml:space="preserve">However, it is subject to the following limitations, primarily stemming from the use of illustrative data for key parameters:</w:t>
      </w:r>
    </w:p>
    <w:p>
      <w:pPr>
        <w:numPr>
          <w:ilvl w:val="0"/>
          <w:numId w:val="1015"/>
        </w:numPr>
        <w:pStyle w:val="Compact"/>
      </w:pPr>
      <w:r>
        <w:rPr>
          <w:bCs/>
          <w:b/>
        </w:rPr>
        <w:t xml:space="preserve">Illustrative Data:</w:t>
      </w:r>
      <w:r>
        <w:t xml:space="preserve"> </w:t>
      </w:r>
      <w:r>
        <w:t xml:space="preserve">Specific numerical values for parameters like transport distance (</w:t>
      </w:r>
      <w:r>
        <w:rPr>
          <w:rStyle w:val="VerbatimChar"/>
        </w:rPr>
        <w:t xml:space="preserve">ejxonpptzv</w:t>
      </w:r>
      <w:r>
        <w:t xml:space="preserve">), renewable energy usage (</w:t>
      </w:r>
      <w:r>
        <w:rPr>
          <w:rStyle w:val="VerbatimChar"/>
        </w:rPr>
        <w:t xml:space="preserve">dsxguljsrk</w:t>
      </w:r>
      <w:r>
        <w:t xml:space="preserve">), energy intensity (</w:t>
      </w:r>
      <w:r>
        <w:rPr>
          <w:rStyle w:val="VerbatimChar"/>
        </w:rPr>
        <w:t xml:space="preserve">nstueonmlx</w:t>
      </w:r>
      <w:r>
        <w:t xml:space="preserve">), product lifespan (</w:t>
      </w:r>
      <w:r>
        <w:rPr>
          <w:rStyle w:val="VerbatimChar"/>
        </w:rPr>
        <w:t xml:space="preserve">diltkgkezl</w:t>
      </w:r>
      <w:r>
        <w:t xml:space="preserve">), and energy consumption in use (</w:t>
      </w:r>
      <w:r>
        <w:rPr>
          <w:rStyle w:val="VerbatimChar"/>
        </w:rPr>
        <w:t xml:space="preserve">wipiixfljg</w:t>
      </w:r>
      <w:r>
        <w:t xml:space="preserve">) were not provided. Illustrative values were used, which can significantly impact the final PCF.</w:t>
      </w:r>
    </w:p>
    <w:p>
      <w:pPr>
        <w:numPr>
          <w:ilvl w:val="0"/>
          <w:numId w:val="1015"/>
        </w:numPr>
        <w:pStyle w:val="Compact"/>
      </w:pPr>
      <w:r>
        <w:rPr>
          <w:bCs/>
          <w:b/>
        </w:rPr>
        <w:t xml:space="preserve">Emission Factors:</w:t>
      </w:r>
      <w:r>
        <w:t xml:space="preserve"> </w:t>
      </w:r>
      <w:r>
        <w:t xml:space="preserve">While industry-standard factors (e.g., from Ecoinvent/DEFRA for general categories) were conceptually applied, precise, product-specific, and geographically relevant emission factors would further enhance accuracy.</w:t>
      </w:r>
    </w:p>
    <w:p>
      <w:pPr>
        <w:numPr>
          <w:ilvl w:val="0"/>
          <w:numId w:val="1015"/>
        </w:numPr>
        <w:pStyle w:val="Compact"/>
      </w:pPr>
      <w:r>
        <w:rPr>
          <w:bCs/>
          <w:b/>
        </w:rPr>
        <w:t xml:space="preserve">LSR Standard:</w:t>
      </w:r>
      <w:r>
        <w:t xml:space="preserve"> </w:t>
      </w:r>
      <w:r>
        <w:t xml:space="preserve">The integration of the 2026 LSR Standard is conceptual in this report due to the absence of specific land-use related primary data for raw materials.</w:t>
      </w:r>
    </w:p>
    <w:p>
      <w:pPr>
        <w:numPr>
          <w:ilvl w:val="0"/>
          <w:numId w:val="1015"/>
        </w:numPr>
        <w:pStyle w:val="Compact"/>
      </w:pPr>
      <w:r>
        <w:rPr>
          <w:bCs/>
          <w:b/>
        </w:rPr>
        <w:t xml:space="preserve">Data Gaps:</w:t>
      </w:r>
      <w:r>
        <w:t xml:space="preserve"> </w:t>
      </w:r>
      <w:r>
        <w:t xml:space="preserve">In a real-world scenario, primary data collection for all minor components, energy inputs from all tiers of the supply chain, and waste management specifics would be more extensive.</w:t>
      </w:r>
    </w:p>
    <w:p>
      <w:pPr>
        <w:pStyle w:val="FirstParagraph"/>
      </w:pPr>
      <w:r>
        <w:t xml:space="preserve">For a truly accurate and auditable PCF,</w:t>
      </w:r>
      <w:r>
        <w:t xml:space="preserve"> </w:t>
      </w:r>
      <w:r>
        <w:rPr>
          <w:bCs/>
          <w:b/>
        </w:rPr>
        <w:t xml:space="preserve">tugddvyffr</w:t>
      </w:r>
      <w:r>
        <w:t xml:space="preserve"> </w:t>
      </w:r>
      <w:r>
        <w:t xml:space="preserve">should collect precise, verified primary data for all identified parameters.</w:t>
      </w:r>
    </w:p>
    <w:p>
      <w:r>
        <w:pict>
          <v:rect style="width:0;height:1.5pt" o:hralign="center" o:hrstd="t" o:hr="t"/>
        </w:pict>
      </w:r>
    </w:p>
    <w:bookmarkEnd w:id="41"/>
    <w:bookmarkEnd w:id="42"/>
    <w:bookmarkStart w:id="45" w:name="recommendations-conclusion"/>
    <w:p>
      <w:pPr>
        <w:pStyle w:val="Heading2"/>
      </w:pPr>
      <w:r>
        <w:t xml:space="preserve">6. Recommendations &amp; Conclusion</w:t>
      </w:r>
    </w:p>
    <w:bookmarkStart w:id="43" w:name="recommendations-for-emission-reduction"/>
    <w:p>
      <w:pPr>
        <w:pStyle w:val="Heading3"/>
      </w:pPr>
      <w:r>
        <w:t xml:space="preserve">6.1. Recommendations for Emission Reduction</w:t>
      </w:r>
    </w:p>
    <w:p>
      <w:pPr>
        <w:numPr>
          <w:ilvl w:val="0"/>
          <w:numId w:val="1016"/>
        </w:numPr>
        <w:pStyle w:val="Compact"/>
      </w:pPr>
      <w:r>
        <w:rPr>
          <w:bCs/>
          <w:b/>
        </w:rPr>
        <w:t xml:space="preserve">Optimize Use Phase Energy Efficiency:</w:t>
      </w:r>
      <w:r>
        <w:t xml:space="preserve"> </w:t>
      </w:r>
      <w:r>
        <w:t xml:space="preserve">Redesign hwrmxflkvv for significantly lower energy consumption during its active life. Explore low-power modes, smart energy management features, or alternative energy sources.</w:t>
      </w:r>
    </w:p>
    <w:p>
      <w:pPr>
        <w:numPr>
          <w:ilvl w:val="0"/>
          <w:numId w:val="1016"/>
        </w:numPr>
        <w:pStyle w:val="Compact"/>
      </w:pPr>
      <w:r>
        <w:rPr>
          <w:bCs/>
          <w:b/>
        </w:rPr>
        <w:t xml:space="preserve">Sustainable Material Sourcing:</w:t>
      </w:r>
      <w:r>
        <w:t xml:space="preserve"> </w:t>
      </w:r>
      <w:r>
        <w:t xml:space="preserve">Investigate options for lower-carbon materials, such as recycled content with verified supply chains, bio-based alternatives, or materials produced with renewable energy. Focus on high-impact materials identified in the BOM (e.g., Aluminium, ABS).</w:t>
      </w:r>
    </w:p>
    <w:p>
      <w:pPr>
        <w:numPr>
          <w:ilvl w:val="0"/>
          <w:numId w:val="1016"/>
        </w:numPr>
        <w:pStyle w:val="Compact"/>
      </w:pPr>
      <w:r>
        <w:rPr>
          <w:bCs/>
          <w:b/>
        </w:rPr>
        <w:t xml:space="preserve">Supply Chain Optimization:</w:t>
      </w:r>
      <w:r>
        <w:t xml:space="preserve"> </w:t>
      </w:r>
      <w:r>
        <w:t xml:space="preserve">Evaluate transport modes and distances. Prioritize more efficient modes (e.g., rail or sea over long-haul road where feasible) and explore consolidation strategies. Address last-mile delivery efficiency.</w:t>
      </w:r>
    </w:p>
    <w:p>
      <w:pPr>
        <w:numPr>
          <w:ilvl w:val="0"/>
          <w:numId w:val="1016"/>
        </w:numPr>
        <w:pStyle w:val="Compact"/>
      </w:pPr>
      <w:r>
        <w:rPr>
          <w:bCs/>
          <w:b/>
        </w:rPr>
        <w:t xml:space="preserve">Enhance Circularity:</w:t>
      </w:r>
      <w:r>
        <w:t xml:space="preserve"> </w:t>
      </w:r>
      <w:r>
        <w:t xml:space="preserve">Strengthen existing circular/take-back programs (</w:t>
      </w:r>
      <w:r>
        <w:rPr>
          <w:rStyle w:val="VerbatimChar"/>
        </w:rPr>
        <w:t xml:space="preserve">vnelgdegdx</w:t>
      </w:r>
      <w:r>
        <w:t xml:space="preserve">) and increase the recyclability (</w:t>
      </w:r>
      <w:r>
        <w:rPr>
          <w:rStyle w:val="VerbatimChar"/>
        </w:rPr>
        <w:t xml:space="preserve">oypijutisr</w:t>
      </w:r>
      <w:r>
        <w:t xml:space="preserve">) of components beyond 70%. Design for disassembly and material recovery.</w:t>
      </w:r>
    </w:p>
    <w:p>
      <w:pPr>
        <w:numPr>
          <w:ilvl w:val="0"/>
          <w:numId w:val="1016"/>
        </w:numPr>
        <w:pStyle w:val="Compact"/>
      </w:pPr>
      <w:r>
        <w:rPr>
          <w:bCs/>
          <w:b/>
        </w:rPr>
        <w:t xml:space="preserve">Renewable Energy Integration:</w:t>
      </w:r>
      <w:r>
        <w:t xml:space="preserve"> </w:t>
      </w:r>
      <w:r>
        <w:t xml:space="preserve">Increase the percentage of renewable energy used in manufacturing (</w:t>
      </w:r>
      <w:r>
        <w:rPr>
          <w:rStyle w:val="VerbatimChar"/>
        </w:rPr>
        <w:t xml:space="preserve">dsxguljsrk</w:t>
      </w:r>
      <w:r>
        <w:t xml:space="preserve">) at production facilities, or procure renewable energy credits.</w:t>
      </w:r>
    </w:p>
    <w:bookmarkEnd w:id="43"/>
    <w:bookmarkStart w:id="44" w:name="conclusion"/>
    <w:p>
      <w:pPr>
        <w:pStyle w:val="Heading3"/>
      </w:pPr>
      <w:r>
        <w:t xml:space="preserve">6.2. Conclusion</w:t>
      </w:r>
    </w:p>
    <w:p>
      <w:pPr>
        <w:pStyle w:val="FirstParagraph"/>
      </w:pPr>
      <w:r>
        <w:t xml:space="preserve">This high-detail PCF analysis provides</w:t>
      </w:r>
      <w:r>
        <w:t xml:space="preserve"> </w:t>
      </w:r>
      <w:r>
        <w:rPr>
          <w:bCs/>
          <w:b/>
        </w:rPr>
        <w:t xml:space="preserve">tugddvyffr</w:t>
      </w:r>
      <w:r>
        <w:t xml:space="preserve"> </w:t>
      </w:r>
      <w:r>
        <w:t xml:space="preserve">with a foundational understanding of the environmental footprint of</w:t>
      </w:r>
      <w:r>
        <w:t xml:space="preserve"> </w:t>
      </w:r>
      <w:r>
        <w:rPr>
          <w:bCs/>
          <w:b/>
        </w:rPr>
        <w:t xml:space="preserve">hwrmxflkvv</w:t>
      </w:r>
      <w:r>
        <w:t xml:space="preserve">, guided by the expertise of</w:t>
      </w:r>
      <w:r>
        <w:t xml:space="preserve"> </w:t>
      </w:r>
      <w:r>
        <w:rPr>
          <w:bCs/>
          <w:b/>
        </w:rPr>
        <w:t xml:space="preserve">zijisoetus</w:t>
      </w:r>
      <w:r>
        <w:t xml:space="preserve"> </w:t>
      </w:r>
      <w:r>
        <w:t xml:space="preserve">and adhering to the stringent requirements of the GHG Protocol. While illustrative data has been utilized where specific values were not provided, the methodology clearly identifies the Use Phase as the predominant hotspot, followed by raw materials and transport. By focusing strategic efforts on these areas,</w:t>
      </w:r>
      <w:r>
        <w:t xml:space="preserve"> </w:t>
      </w:r>
      <w:r>
        <w:rPr>
          <w:bCs/>
          <w:b/>
        </w:rPr>
        <w:t xml:space="preserve">tugddvyffr</w:t>
      </w:r>
      <w:r>
        <w:t xml:space="preserve"> </w:t>
      </w:r>
      <w:r>
        <w:t xml:space="preserve">can make significant strides towards reducing the carbon footprint of</w:t>
      </w:r>
      <w:r>
        <w:t xml:space="preserve"> </w:t>
      </w:r>
      <w:r>
        <w:rPr>
          <w:bCs/>
          <w:b/>
        </w:rPr>
        <w:t xml:space="preserve">hwrmxflkvv</w:t>
      </w:r>
      <w:r>
        <w:t xml:space="preserve">, contributing to broader sustainability goals, and reinforcing its commitment to environmental stewardship.</w:t>
      </w:r>
    </w:p>
    <w:p>
      <w:pPr>
        <w:pStyle w:val="BodyText"/>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hwrmxflkvv</dc:title>
  <dc:creator/>
  <dc:description>Detailed Product Carbon Footprint (PCF) analysis report for hwrmxflkvv by tugddvyffr, adhering to GHG Protocol standards and 2026 LSR updates.</dc:description>
  <dc:language>en</dc:language>
  <cp:keywords/>
  <dcterms:created xsi:type="dcterms:W3CDTF">2026-05-30T12:40:08Z</dcterms:created>
  <dcterms:modified xsi:type="dcterms:W3CDTF">2026-05-30T12:40:08Z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