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hvmgwqinqh</w:t>
      </w:r>
    </w:p>
    <w:p>
      <w:pPr>
        <w:pStyle w:val="FirstParagraph"/>
      </w:pPr>
      <w:r>
        <w:t xml:space="preserve">The current date is Wednesday, May 20, 2026. I will use this date for the report generation.</w:t>
      </w:r>
    </w:p>
    <w:p>
      <w:pPr>
        <w:pStyle w:val="BodyText"/>
      </w:pPr>
      <w:r>
        <w:t xml:space="preserve">carboncalcpcf.com</w:t>
      </w:r>
    </w:p>
    <w:bookmarkStart w:id="21" w:name="Xf2e6ab5be446359d80f42f50d41e46314dfe19d"/>
    <w:p>
      <w:pPr>
        <w:pStyle w:val="Heading1"/>
      </w:pPr>
      <w:r>
        <w:t xml:space="preserve">Product Carbon Footprint (PCF) Analysis Report</w:t>
      </w:r>
    </w:p>
    <w:bookmarkStart w:id="20" w:name="for-hvmgwqinqh"/>
    <w:p>
      <w:pPr>
        <w:pStyle w:val="Heading2"/>
      </w:pPr>
      <w:r>
        <w:t xml:space="preserve">for hvmgwqinqh</w:t>
      </w:r>
    </w:p>
    <w:p>
      <w:pPr>
        <w:pStyle w:val="FirstParagraph"/>
      </w:pPr>
      <w:r>
        <w:rPr>
          <w:bCs/>
          <w:b/>
        </w:rPr>
        <w:t xml:space="preserve">Company Name:</w:t>
      </w:r>
      <w:r>
        <w:t xml:space="preserve"> </w:t>
      </w:r>
      <w:r>
        <w:t xml:space="preserve">vsgvtxmufg</w:t>
      </w:r>
    </w:p>
    <w:p>
      <w:pPr>
        <w:pStyle w:val="BodyText"/>
      </w:pPr>
      <w:r>
        <w:rPr>
          <w:bCs/>
          <w:b/>
        </w:rPr>
        <w:t xml:space="preserve">Senior Sustainability Consultant:</w:t>
      </w:r>
      <w:r>
        <w:t xml:space="preserve"> </w:t>
      </w:r>
      <w:r>
        <w:t xml:space="preserve">lwovijsgou</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w:t>
      </w:r>
      <w:r>
        <w:t xml:space="preserve"> </w:t>
      </w:r>
      <w:r>
        <w:t xml:space="preserve">the calculations and conclusions are based on the provided parameters and illustrative data where specific values were not available.</w:t>
      </w:r>
    </w:p>
    <w:p>
      <w:pPr>
        <w:pStyle w:val="BodyText"/>
      </w:pPr>
      <w:r>
        <w:t xml:space="preserve">Generated Date: May 20, 2026</w:t>
      </w:r>
    </w:p>
    <w:bookmarkEnd w:id="20"/>
    <w:bookmarkEnd w:id="21"/>
    <w:bookmarkStart w:id="22" w:name="X9d99b96089c396e0dc5dc0a5f50f516ec941f38"/>
    <w:p>
      <w:pPr>
        <w:pStyle w:val="Heading1"/>
      </w:pPr>
      <w:r>
        <w:t xml:space="preserve">Product Carbon Footprint Analysis for hvmgwqinqh</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lwovijsgou</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hvmgwqinqh</w:t>
      </w:r>
      <w:r>
        <w:t xml:space="preserve">, manufactured by</w:t>
      </w:r>
      <w:r>
        <w:t xml:space="preserve"> </w:t>
      </w:r>
      <w:r>
        <w:rPr>
          <w:bCs/>
          <w:b/>
        </w:rPr>
        <w:t xml:space="preserve">vsgvtxmufg</w:t>
      </w:r>
      <w:r>
        <w:t xml:space="preserve">. The analysis adheres to the GHG Protocol and incorporates the latest 2026 Land Sector and Removals (LSR) Standard updates, ensuring a comprehensive assessment across the product\'s life cycle. The PCF quantifies the total greenhouse gas emissions associated with the product from raw material acquisition to its end-of-life, with a focus on delivering at least 95% coverage for Scope 3 emissions. Key hotspots are identified, and recommendations for emission reduction are provided.</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initial step in conducting a Product Carbon Footprint analysis is to clearly define the scope of the assessment, setting the boundaries and parameters for data collection and emission calculation.</w:t>
      </w:r>
    </w:p>
    <w:p>
      <w:pPr>
        <w:numPr>
          <w:ilvl w:val="0"/>
          <w:numId w:val="1001"/>
        </w:numPr>
        <w:pStyle w:val="Compact"/>
      </w:pPr>
      <w:r>
        <w:rPr>
          <w:bCs/>
          <w:b/>
        </w:rPr>
        <w:t xml:space="preserve">Functional Unit:</w:t>
      </w:r>
      <w:r>
        <w:t xml:space="preserve"> </w:t>
      </w:r>
      <w:r>
        <w:t xml:space="preserve">1.0 unit of</w:t>
      </w:r>
      <w:r>
        <w:t xml:space="preserve"> </w:t>
      </w:r>
      <w:r>
        <w:rPr>
          <w:bCs/>
          <w:b/>
        </w:rPr>
        <w:t xml:space="preserve">hvmgwqinqh</w:t>
      </w:r>
      <w:r>
        <w:t xml:space="preserve">. This unit serves as the reference basis for all quantified inputs and outputs throughout the product\'s life cycle.</w:t>
      </w:r>
    </w:p>
    <w:p>
      <w:pPr>
        <w:numPr>
          <w:ilvl w:val="0"/>
          <w:numId w:val="1001"/>
        </w:numPr>
        <w:pStyle w:val="Compact"/>
      </w:pPr>
      <w:r>
        <w:rPr>
          <w:bCs/>
          <w:b/>
        </w:rPr>
        <w:t xml:space="preserve">System Boundary:</w:t>
      </w:r>
      <w:r>
        <w:t xml:space="preserve"> </w:t>
      </w:r>
      <w:r>
        <w:t xml:space="preserve">While the specified system boundary for the primary manufacturing phase is \'factory_gate\', a comprehensive Product Carbon Footprint (PCF) analysis, as requested, necessitates a cradle-to-grave assessment. This approach is adopted to incorporate all specified life cycle stages, including the Use Phase and End-of-Life scenarios. Thus, this report covers emissions from raw material extraction, through manufacturing, distribution, product use, and end-of-life. The \'factory_gate\' boundary is a critical checkpoint for emissions directly attributable to</w:t>
      </w:r>
      <w:r>
        <w:t xml:space="preserve"> </w:t>
      </w:r>
      <w:r>
        <w:rPr>
          <w:bCs/>
          <w:b/>
        </w:rPr>
        <w:t xml:space="preserve">vsgvtxmufg</w:t>
      </w:r>
      <w:r>
        <w:t xml:space="preserve">\'s production processes.</w:t>
      </w:r>
    </w:p>
    <w:p>
      <w:pPr>
        <w:numPr>
          <w:ilvl w:val="0"/>
          <w:numId w:val="1001"/>
        </w:numPr>
        <w:pStyle w:val="Compact"/>
      </w:pPr>
      <w:r>
        <w:rPr>
          <w:bCs/>
          <w:b/>
        </w:rPr>
        <w:t xml:space="preserve">Geographic Scope:</w:t>
      </w:r>
      <w:r>
        <w:t xml:space="preserve"> </w:t>
      </w:r>
      <w:r>
        <w:t xml:space="preserve">Final Production Country: China. Supply Chain Focus: Europe Focused (implying primary distribution to the European market).</w:t>
      </w:r>
    </w:p>
    <w:p>
      <w:pPr>
        <w:numPr>
          <w:ilvl w:val="0"/>
          <w:numId w:val="1001"/>
        </w:numPr>
        <w:pStyle w:val="Compact"/>
      </w:pPr>
      <w:r>
        <w:rPr>
          <w:bCs/>
          <w:b/>
        </w:rPr>
        <w:t xml:space="preserve">Accounting Standard:</w:t>
      </w:r>
      <w:r>
        <w:t xml:space="preserve"> </w:t>
      </w:r>
      <w:r>
        <w:t xml:space="preserve">The analysis is conducted in strict accordance with the</w:t>
      </w:r>
      <w:r>
        <w:t xml:space="preserve"> </w:t>
      </w:r>
      <w:r>
        <w:rPr>
          <w:bCs/>
          <w:b/>
        </w:rPr>
        <w:t xml:space="preserve">GHG Protocol</w:t>
      </w:r>
      <w:r>
        <w:t xml:space="preserve"> </w:t>
      </w:r>
      <w:r>
        <w:t xml:space="preserve">Product Standard. Emissions are categorized into Scope 1 (direct emissions), Scope 2 (indirect emissions from purchased energy), and Scope 3 (all other indirect emissions in the value chain). This report also acknowledges and applies the principles of the</w:t>
      </w:r>
      <w:r>
        <w:t xml:space="preserve"> </w:t>
      </w:r>
      <w:r>
        <w:rPr>
          <w:bCs/>
          <w:b/>
        </w:rPr>
        <w:t xml:space="preserve">2026 Land Sector and Removals (LSR) Standard update</w:t>
      </w:r>
      <w:r>
        <w:t xml:space="preserve"> </w:t>
      </w:r>
      <w:r>
        <w:t xml:space="preserve">for any relevant land-use related impacts or carbon removals, though these are typically less significant for manufactured goods unless bio-based materials are prominent.</w:t>
      </w:r>
    </w:p>
    <w:p>
      <w:pPr>
        <w:numPr>
          <w:ilvl w:val="0"/>
          <w:numId w:val="1001"/>
        </w:numPr>
        <w:pStyle w:val="Compact"/>
      </w:pPr>
      <w:r>
        <w:rPr>
          <w:bCs/>
          <w:b/>
        </w:rPr>
        <w:t xml:space="preserve">Allocation:</w:t>
      </w:r>
      <w:r>
        <w:t xml:space="preserve"> </w:t>
      </w:r>
      <w:r>
        <w:t xml:space="preserve">Mass-based allocation is primarily used where co-products or by-products occur in the supply chain to distribute environmental burdens proportionally. For recycled content, the "recycled content" approach (also known as the "cut-off" approach) is generally applied.</w:t>
      </w:r>
    </w:p>
    <w:p>
      <w:r>
        <w:pict>
          <v:rect style="width:0;height:1.5pt" o:hralign="center" o:hrstd="t" o:hr="t"/>
        </w:pict>
      </w:r>
    </w:p>
    <w:bookmarkEnd w:id="24"/>
    <w:bookmarkStart w:id="25" w:name="map-lifecycle-lci-inventory-stages"/>
    <w:p>
      <w:pPr>
        <w:pStyle w:val="Heading2"/>
      </w:pPr>
      <w:r>
        <w:t xml:space="preserve">2. Map Lifecycle (LCI Inventory Stages)</w:t>
      </w:r>
    </w:p>
    <w:p>
      <w:pPr>
        <w:pStyle w:val="FirstParagraph"/>
      </w:pPr>
      <w:r>
        <w:t xml:space="preserve">The life cycle of</w:t>
      </w:r>
      <w:r>
        <w:t xml:space="preserve"> </w:t>
      </w:r>
      <w:r>
        <w:rPr>
          <w:bCs/>
          <w:b/>
        </w:rPr>
        <w:t xml:space="preserve">hvmgwqinqh</w:t>
      </w:r>
      <w:r>
        <w:t xml:space="preserve"> </w:t>
      </w:r>
      <w:r>
        <w:t xml:space="preserve">is mapped into distinct stages to systematically identify all relevant inputs, outputs, and associated greenhouse gas emissions. These stages form the basis of the Life Cycle Inventory (LCI).</w:t>
      </w:r>
    </w:p>
    <w:p>
      <w:pPr>
        <w:numPr>
          <w:ilvl w:val="0"/>
          <w:numId w:val="1002"/>
        </w:numPr>
        <w:pStyle w:val="Compact"/>
      </w:pPr>
      <w:r>
        <w:rPr>
          <w:bCs/>
          <w:b/>
        </w:rPr>
        <w:t xml:space="preserve">Material Acquisition &amp; Pre-processing:</w:t>
      </w:r>
      <w:r>
        <w:t xml:space="preserve"> </w:t>
      </w:r>
      <w:r>
        <w:t xml:space="preserve">This stage includes the extraction of raw materials, their initial processing (e.g., smelting of metals, polymerization of plastics), and their transport to intermediate manufacturers.</w:t>
      </w:r>
    </w:p>
    <w:p>
      <w:pPr>
        <w:numPr>
          <w:ilvl w:val="0"/>
          <w:numId w:val="1002"/>
        </w:numPr>
        <w:pStyle w:val="Compact"/>
      </w:pPr>
      <w:r>
        <w:rPr>
          <w:bCs/>
          <w:b/>
        </w:rPr>
        <w:t xml:space="preserve">Manufacturing/Production:</w:t>
      </w:r>
      <w:r>
        <w:t xml:space="preserve"> </w:t>
      </w:r>
      <w:r>
        <w:t xml:space="preserve">This covers all processes within</w:t>
      </w:r>
      <w:r>
        <w:t xml:space="preserve"> </w:t>
      </w:r>
      <w:r>
        <w:rPr>
          <w:bCs/>
          <w:b/>
        </w:rPr>
        <w:t xml:space="preserve">vsgvtxmufg</w:t>
      </w:r>
      <w:r>
        <w:t xml:space="preserve">\'s factory in China, including component fabrication, assembly, packaging, and associated energy consumption.</w:t>
      </w:r>
    </w:p>
    <w:p>
      <w:pPr>
        <w:numPr>
          <w:ilvl w:val="0"/>
          <w:numId w:val="1002"/>
        </w:numPr>
        <w:pStyle w:val="Compact"/>
      </w:pPr>
      <w:r>
        <w:rPr>
          <w:bCs/>
          <w:b/>
        </w:rPr>
        <w:t xml:space="preserve">Transportation (Upstream &amp; Downstream):</w:t>
      </w:r>
    </w:p>
    <w:p>
      <w:pPr>
        <w:numPr>
          <w:ilvl w:val="1"/>
          <w:numId w:val="1003"/>
        </w:numPr>
        <w:pStyle w:val="Compact"/>
      </w:pPr>
      <w:r>
        <w:rPr>
          <w:bCs/>
          <w:b/>
        </w:rPr>
        <w:t xml:space="preserve">Upstream:</w:t>
      </w:r>
      <w:r>
        <w:t xml:space="preserve"> </w:t>
      </w:r>
      <w:r>
        <w:t xml:space="preserve">Transport of processed materials and components to the manufacturing facility in China.</w:t>
      </w:r>
    </w:p>
    <w:p>
      <w:pPr>
        <w:numPr>
          <w:ilvl w:val="1"/>
          <w:numId w:val="1003"/>
        </w:numPr>
        <w:pStyle w:val="Compact"/>
      </w:pPr>
      <w:r>
        <w:rPr>
          <w:bCs/>
          <w:b/>
        </w:rPr>
        <w:t xml:space="preserve">Downstream:</w:t>
      </w:r>
      <w:r>
        <w:t xml:space="preserve"> </w:t>
      </w:r>
      <w:r>
        <w:t xml:space="preserve">Distribution of the finished product from the factory to the end-consumer in Europe, including main freight and last-mile delivery.</w:t>
      </w:r>
    </w:p>
    <w:p>
      <w:pPr>
        <w:numPr>
          <w:ilvl w:val="0"/>
          <w:numId w:val="1002"/>
        </w:numPr>
        <w:pStyle w:val="Compact"/>
      </w:pPr>
      <w:r>
        <w:rPr>
          <w:bCs/>
          <w:b/>
        </w:rPr>
        <w:t xml:space="preserve">Use Phase:</w:t>
      </w:r>
      <w:r>
        <w:t xml:space="preserve"> </w:t>
      </w:r>
      <w:r>
        <w:t xml:space="preserve">Encompasses the energy consumed by the product during its operational lifespan by the end-user.</w:t>
      </w:r>
    </w:p>
    <w:p>
      <w:pPr>
        <w:numPr>
          <w:ilvl w:val="0"/>
          <w:numId w:val="1002"/>
        </w:numPr>
        <w:pStyle w:val="Compact"/>
      </w:pPr>
      <w:r>
        <w:rPr>
          <w:bCs/>
          <w:b/>
        </w:rPr>
        <w:t xml:space="preserve">End-of-Life (EoL):</w:t>
      </w:r>
      <w:r>
        <w:t xml:space="preserve"> </w:t>
      </w:r>
      <w:r>
        <w:t xml:space="preserve">Addresses the disposal, recycling, or recovery processes for the product and its components at the end of its functional life.</w:t>
      </w:r>
    </w:p>
    <w:p>
      <w:r>
        <w:pict>
          <v:rect style="width:0;height:1.5pt" o:hralign="center" o:hrstd="t" o:hr="t"/>
        </w:pict>
      </w:r>
    </w:p>
    <w:bookmarkEnd w:id="25"/>
    <w:bookmarkStart w:id="31" w:name="Xb57f50a89bf1f3f1837369be949d9d60d6c1272"/>
    <w:p>
      <w:pPr>
        <w:pStyle w:val="Heading2"/>
      </w:pPr>
      <w:r>
        <w:t xml:space="preserve">3. Collect Data (Primary/Secondary Data Points)</w:t>
      </w:r>
    </w:p>
    <w:p>
      <w:pPr>
        <w:pStyle w:val="FirstParagraph"/>
      </w:pPr>
      <w:r>
        <w:t xml:space="preserve">Data collection is crucial for an accurate PCF. This analysis leverages both primary data (where available, based on provided parameters) and secondary, industry-standard data (e.g., from databases like Ecoinvent or DEFRA) for emission factors.</w:t>
      </w:r>
    </w:p>
    <w:bookmarkStart w:id="26" w:name="X4af899584285590189a3c8964042dfc69988ece"/>
    <w:p>
      <w:pPr>
        <w:pStyle w:val="Heading3"/>
      </w:pPr>
      <w:r>
        <w:t xml:space="preserve">Detailed Bill of Materials (BOM) for hvmgwqinqh</w:t>
      </w:r>
    </w:p>
    <w:p>
      <w:pPr>
        <w:pStyle w:val="FirstParagraph"/>
      </w:pPr>
      <w:r>
        <w:t xml:space="preserve">The following Bill of Materials (BOM) for `qrolignl` has been used for material impact calculation. The values below are illustrative, following the specified format, as specific numerical data for `qrolignl` was not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M004</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0.080</w:t>
            </w:r>
          </w:p>
        </w:tc>
      </w:tr>
      <w:tr>
        <w:tc>
          <w:tcPr>
            <w:gridSpan w:val="7"/>
          </w:tcPr>
          <w:p>
            <w:pPr>
              <w:pStyle w:val="Compact"/>
              <w:jc w:val="right"/>
            </w:pPr>
            <w:r>
              <w:t xml:space="preserve">Subtotal Materials (Scope 3, Cat 1):</w:t>
            </w:r>
          </w:p>
        </w:tc>
        <w:tc>
          <w:tcPr/>
          <w:p>
            <w:pPr>
              <w:pStyle w:val="Compact"/>
              <w:jc w:val="left"/>
            </w:pPr>
            <w:r>
              <w:t xml:space="preserve">6.905 kg CO2e</w:t>
            </w:r>
          </w:p>
        </w:tc>
      </w:tr>
    </w:tbl>
    <w:bookmarkEnd w:id="26"/>
    <w:bookmarkStart w:id="27" w:name="energy-inputs-for-production"/>
    <w:p>
      <w:pPr>
        <w:pStyle w:val="Heading3"/>
      </w:pPr>
      <w:r>
        <w:t xml:space="preserve">Energy Inputs for Production</w:t>
      </w:r>
    </w:p>
    <w:p>
      <w:pPr>
        <w:pStyle w:val="FirstParagraph"/>
      </w:pPr>
      <w:r>
        <w:t xml:space="preserve">Customized energy data for the production phase has been incorporated:</w:t>
      </w:r>
    </w:p>
    <w:p>
      <w:pPr>
        <w:numPr>
          <w:ilvl w:val="0"/>
          <w:numId w:val="1004"/>
        </w:numPr>
        <w:pStyle w:val="Compact"/>
      </w:pPr>
      <w:r>
        <w:rPr>
          <w:bCs/>
          <w:b/>
        </w:rPr>
        <w:t xml:space="preserve">Renewable Energy Usage (`npuvtdhfki`):</w:t>
      </w:r>
      <w:r>
        <w:t xml:space="preserve"> </w:t>
      </w:r>
      <w:r>
        <w:t xml:space="preserve">75% (Illustrative value)</w:t>
      </w:r>
    </w:p>
    <w:p>
      <w:pPr>
        <w:numPr>
          <w:ilvl w:val="0"/>
          <w:numId w:val="1004"/>
        </w:numPr>
        <w:pStyle w:val="Compact"/>
      </w:pPr>
      <w:r>
        <w:rPr>
          <w:bCs/>
          <w:b/>
        </w:rPr>
        <w:t xml:space="preserve">Energy Intensity (`lrjkrqjdxn`):</w:t>
      </w:r>
      <w:r>
        <w:t xml:space="preserve"> </w:t>
      </w:r>
      <w:r>
        <w:t xml:space="preserve">15 kWh/unit (Illustrative value)</w:t>
      </w:r>
    </w:p>
    <w:p>
      <w:pPr>
        <w:numPr>
          <w:ilvl w:val="0"/>
          <w:numId w:val="1004"/>
        </w:numPr>
        <w:pStyle w:val="Compact"/>
      </w:pPr>
      <w:r>
        <w:rPr>
          <w:bCs/>
          <w:b/>
        </w:rPr>
        <w:t xml:space="preserve">Non-renewable Electricity Mix (China Grid average):</w:t>
      </w:r>
      <w:r>
        <w:t xml:space="preserve"> </w:t>
      </w:r>
      <w:r>
        <w:t xml:space="preserve">0.6 kg CO2e/kWh (Illustrative, based on recent data for China\'s grid mix)</w:t>
      </w:r>
    </w:p>
    <w:bookmarkEnd w:id="27"/>
    <w:bookmarkStart w:id="28" w:name="logistics-data"/>
    <w:p>
      <w:pPr>
        <w:pStyle w:val="Heading3"/>
      </w:pPr>
      <w:r>
        <w:t xml:space="preserve">Logistics Data</w:t>
      </w:r>
    </w:p>
    <w:p>
      <w:pPr>
        <w:pStyle w:val="FirstParagraph"/>
      </w:pPr>
      <w:r>
        <w:t xml:space="preserve">The following specific logistics data has been integrated into the supply chain analysis:</w:t>
      </w:r>
    </w:p>
    <w:p>
      <w:pPr>
        <w:numPr>
          <w:ilvl w:val="0"/>
          <w:numId w:val="1005"/>
        </w:numPr>
        <w:pStyle w:val="Compact"/>
      </w:pPr>
      <w:r>
        <w:rPr>
          <w:bCs/>
          <w:b/>
        </w:rPr>
        <w:t xml:space="preserve">Primary Transport Mode (`Select Mode`):</w:t>
      </w:r>
      <w:r>
        <w:t xml:space="preserve"> </w:t>
      </w:r>
      <w:r>
        <w:t xml:space="preserve">Ocean Freight (for long-haul distribution from China to Europe).</w:t>
      </w:r>
    </w:p>
    <w:p>
      <w:pPr>
        <w:numPr>
          <w:ilvl w:val="0"/>
          <w:numId w:val="1005"/>
        </w:numPr>
        <w:pStyle w:val="Compact"/>
      </w:pPr>
      <w:r>
        <w:rPr>
          <w:bCs/>
          <w:b/>
        </w:rPr>
        <w:t xml:space="preserve">Primary Transport Distance (`ukullnjvuj`):</w:t>
      </w:r>
      <w:r>
        <w:t xml:space="preserve"> </w:t>
      </w:r>
      <w:r>
        <w:t xml:space="preserve">12,000 km (Illustrative, representing a typical China-Europe shipping route).</w:t>
      </w:r>
    </w:p>
    <w:p>
      <w:pPr>
        <w:numPr>
          <w:ilvl w:val="0"/>
          <w:numId w:val="1005"/>
        </w:numPr>
        <w:pStyle w:val="Compact"/>
      </w:pPr>
      <w:r>
        <w:rPr>
          <w:bCs/>
          <w:b/>
        </w:rPr>
        <w:t xml:space="preserve">Last-Mile Delivery Channel (`Delivery Type`):</w:t>
      </w:r>
      <w:r>
        <w:t xml:space="preserve"> </w:t>
      </w:r>
      <w:r>
        <w:t xml:space="preserve">Road Freight (Van) (Illustrative, for local distribution within Europe).</w:t>
      </w:r>
    </w:p>
    <w:p>
      <w:pPr>
        <w:numPr>
          <w:ilvl w:val="0"/>
          <w:numId w:val="1005"/>
        </w:numPr>
        <w:pStyle w:val="Compact"/>
      </w:pPr>
      <w:r>
        <w:rPr>
          <w:bCs/>
          <w:b/>
        </w:rPr>
        <w:t xml:space="preserve">Last-Mile Delivery Distance (Illustrative):</w:t>
      </w:r>
      <w:r>
        <w:t xml:space="preserve"> </w:t>
      </w:r>
      <w:r>
        <w:t xml:space="preserve">500 km.</w:t>
      </w:r>
    </w:p>
    <w:p>
      <w:pPr>
        <w:pStyle w:val="FirstParagraph"/>
      </w:pPr>
      <w:r>
        <w:rPr>
          <w:iCs/>
          <w:i/>
        </w:rPr>
        <w:t xml:space="preserve">Note: Upstream transport of raw materials to the China factory is assumed to be embedded within the material emission factors provided in the BOM for simplicity, as separate detailed data was not provided.</w:t>
      </w:r>
    </w:p>
    <w:bookmarkEnd w:id="28"/>
    <w:bookmarkStart w:id="29" w:name="use-phase-data"/>
    <w:p>
      <w:pPr>
        <w:pStyle w:val="Heading3"/>
      </w:pPr>
      <w:r>
        <w:t xml:space="preserve">Use Phase Data</w:t>
      </w:r>
    </w:p>
    <w:p>
      <w:pPr>
        <w:pStyle w:val="FirstParagraph"/>
      </w:pPr>
      <w:r>
        <w:t xml:space="preserve">Calculations for the use phase leverage the following specific durability and consumption data:</w:t>
      </w:r>
    </w:p>
    <w:p>
      <w:pPr>
        <w:numPr>
          <w:ilvl w:val="0"/>
          <w:numId w:val="1006"/>
        </w:numPr>
        <w:pStyle w:val="Compact"/>
      </w:pPr>
      <w:r>
        <w:rPr>
          <w:bCs/>
          <w:b/>
        </w:rPr>
        <w:t xml:space="preserve">Product Lifespan (`phfwfthdyg`):</w:t>
      </w:r>
      <w:r>
        <w:t xml:space="preserve"> </w:t>
      </w:r>
      <w:r>
        <w:t xml:space="preserve">5 years (Illustrative value).</w:t>
      </w:r>
    </w:p>
    <w:p>
      <w:pPr>
        <w:numPr>
          <w:ilvl w:val="0"/>
          <w:numId w:val="1006"/>
        </w:numPr>
        <w:pStyle w:val="Compact"/>
      </w:pPr>
      <w:r>
        <w:rPr>
          <w:bCs/>
          <w:b/>
        </w:rPr>
        <w:t xml:space="preserve">Energy Consumption in Use (`hpjffekuiq`):</w:t>
      </w:r>
      <w:r>
        <w:t xml:space="preserve"> </w:t>
      </w:r>
      <w:r>
        <w:t xml:space="preserve">10 kWh/year (Illustrative value).</w:t>
      </w:r>
    </w:p>
    <w:p>
      <w:pPr>
        <w:numPr>
          <w:ilvl w:val="0"/>
          <w:numId w:val="1006"/>
        </w:numPr>
        <w:pStyle w:val="Compact"/>
      </w:pPr>
      <w:r>
        <w:rPr>
          <w:bCs/>
          <w:b/>
        </w:rPr>
        <w:t xml:space="preserve">Electricity Mix (European average grid):</w:t>
      </w:r>
      <w:r>
        <w:t xml:space="preserve"> </w:t>
      </w:r>
      <w:r>
        <w:t xml:space="preserve">0.3 kg CO2e/kWh (Illustrative, for product usage in Europe).</w:t>
      </w:r>
    </w:p>
    <w:bookmarkEnd w:id="29"/>
    <w:bookmarkStart w:id="30" w:name="end-of-life-eol-scenarios"/>
    <w:p>
      <w:pPr>
        <w:pStyle w:val="Heading3"/>
      </w:pPr>
      <w:r>
        <w:t xml:space="preserve">End-of-Life (EoL) Scenarios</w:t>
      </w:r>
    </w:p>
    <w:p>
      <w:pPr>
        <w:pStyle w:val="FirstParagraph"/>
      </w:pPr>
      <w:r>
        <w:t xml:space="preserve">To reflect circular economy impacts, the following EoL scenarios are considered:</w:t>
      </w:r>
    </w:p>
    <w:p>
      <w:pPr>
        <w:numPr>
          <w:ilvl w:val="0"/>
          <w:numId w:val="1007"/>
        </w:numPr>
        <w:pStyle w:val="Compact"/>
      </w:pPr>
      <w:r>
        <w:rPr>
          <w:bCs/>
          <w:b/>
        </w:rPr>
        <w:t xml:space="preserve">Recyclability Percentage (`xdngoygroi`):</w:t>
      </w:r>
      <w:r>
        <w:t xml:space="preserve"> </w:t>
      </w:r>
      <w:r>
        <w:t xml:space="preserve">80% (Illustrative value).</w:t>
      </w:r>
    </w:p>
    <w:p>
      <w:pPr>
        <w:numPr>
          <w:ilvl w:val="0"/>
          <w:numId w:val="1007"/>
        </w:numPr>
        <w:pStyle w:val="Compact"/>
      </w:pPr>
      <w:r>
        <w:rPr>
          <w:bCs/>
          <w:b/>
        </w:rPr>
        <w:t xml:space="preserve">Circular/Take-back Programs (`qnohjjfxsk`):</w:t>
      </w:r>
      <w:r>
        <w:t xml:space="preserve"> </w:t>
      </w:r>
      <w:r>
        <w:rPr>
          <w:bCs/>
          <w:b/>
        </w:rPr>
        <w:t xml:space="preserve">vsgvtxmufg</w:t>
      </w:r>
      <w:r>
        <w:t xml:space="preserve"> </w:t>
      </w:r>
      <w:r>
        <w:t xml:space="preserve">operates a company-led take-back and recycling program for key components, facilitating high recyclability. (Illustrative program based on placeholder).</w:t>
      </w:r>
    </w:p>
    <w:p>
      <w:pPr>
        <w:numPr>
          <w:ilvl w:val="0"/>
          <w:numId w:val="1007"/>
        </w:numPr>
        <w:pStyle w:val="Compact"/>
      </w:pPr>
      <w:r>
        <w:rPr>
          <w:bCs/>
          <w:b/>
        </w:rPr>
        <w:t xml:space="preserve">Product Weight for EoL:</w:t>
      </w:r>
      <w:r>
        <w:t xml:space="preserve"> </w:t>
      </w:r>
      <w:r>
        <w:t xml:space="preserve">1.0 kg (Functional Unit assumed for mass).</w:t>
      </w:r>
    </w:p>
    <w:p>
      <w:r>
        <w:pict>
          <v:rect style="width:0;height:1.5pt" o:hralign="center" o:hrstd="t" o:hr="t"/>
        </w:pict>
      </w:r>
    </w:p>
    <w:bookmarkEnd w:id="30"/>
    <w:bookmarkEnd w:id="31"/>
    <w:bookmarkStart w:id="42" w:name="calculate-emissions"/>
    <w:p>
      <w:pPr>
        <w:pStyle w:val="Heading2"/>
      </w:pPr>
      <w:r>
        <w:t xml:space="preserve">4. Calculate Emissions</w:t>
      </w:r>
    </w:p>
    <w:p>
      <w:pPr>
        <w:pStyle w:val="FirstParagraph"/>
      </w:pPr>
      <w:r>
        <w:t xml:space="preserve">Emissions are calculated by multiplying activity data (e.g., quantity of material, energy consumed, distance travelled) by relevant emission factors (e.g., kg CO2e/kg, kg CO2e/kWh, kg CO2e/tkm). Industry-standard emission factors (e.g., from Ecoinvent, DEFRA, or similar robust databases) are referenced for this analysis. All emissions are reported in kilograms of carbon dioxide equivalent (kg CO2e).</w:t>
      </w:r>
    </w:p>
    <w:bookmarkStart w:id="40" w:name="Xd99fdfa6f7ad32bf72081592682c39249e27e60"/>
    <w:p>
      <w:pPr>
        <w:pStyle w:val="Heading3"/>
      </w:pPr>
      <w:r>
        <w:t xml:space="preserve">GHG Protocol Scope Categorization and Calculations</w:t>
      </w:r>
    </w:p>
    <w:bookmarkStart w:id="32" w:name="scope-1-direct-emissions"/>
    <w:p>
      <w:pPr>
        <w:pStyle w:val="Heading4"/>
      </w:pPr>
      <w:r>
        <w:t xml:space="preserve">Scope 1: Direct Emissions</w:t>
      </w:r>
    </w:p>
    <w:p>
      <w:pPr>
        <w:pStyle w:val="FirstParagraph"/>
      </w:pPr>
      <w:r>
        <w:t xml:space="preserve">For this product-level PCF, direct emissions from on-site fuel combustion (e.g., company-owned vehicles or manufacturing processes not covered by purchased electricity) are assumed to be negligible or covered by upstream process emissions embedded in material factors, as specific data was not provided. If applicable, these would be quantified here.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Emissions (kg CO2e)</w:t>
            </w:r>
          </w:p>
        </w:tc>
      </w:tr>
      <w:tr>
        <w:tc>
          <w:tcPr/>
          <w:p>
            <w:pPr>
              <w:pStyle w:val="Compact"/>
              <w:jc w:val="left"/>
            </w:pPr>
            <w:r>
              <w:t xml:space="preserve">Direct Operations</w:t>
            </w:r>
          </w:p>
        </w:tc>
        <w:tc>
          <w:tcPr/>
          <w:p>
            <w:pPr>
              <w:pStyle w:val="Compact"/>
              <w:jc w:val="left"/>
            </w:pPr>
            <w:r>
              <w:t xml:space="preserve">On-site fuel combustion</w:t>
            </w:r>
          </w:p>
        </w:tc>
        <w:tc>
          <w:tcPr/>
          <w:p>
            <w:pPr>
              <w:pStyle w:val="Compact"/>
              <w:jc w:val="left"/>
            </w:pPr>
            <w:r>
              <w:t xml:space="preserve">N/A (Assumed negligible for PCF)</w:t>
            </w:r>
          </w:p>
        </w:tc>
        <w:tc>
          <w:tcPr/>
          <w:p>
            <w:pPr>
              <w:pStyle w:val="Compact"/>
              <w:jc w:val="left"/>
            </w:pPr>
            <w:r>
              <w:t xml:space="preserve">0.000</w:t>
            </w:r>
          </w:p>
        </w:tc>
      </w:tr>
      <w:tr>
        <w:tc>
          <w:tcPr>
            <w:gridSpan w:val="3"/>
          </w:tcPr>
          <w:p>
            <w:pPr>
              <w:pStyle w:val="Compact"/>
              <w:jc w:val="right"/>
            </w:pPr>
            <w:r>
              <w:t xml:space="preserve">Total Scope 1 Emissions:</w:t>
            </w:r>
          </w:p>
        </w:tc>
        <w:tc>
          <w:tcPr/>
          <w:p>
            <w:pPr>
              <w:pStyle w:val="Compact"/>
              <w:jc w:val="left"/>
            </w:pPr>
            <w:r>
              <w:t xml:space="preserve">0.000 kg CO2e</w:t>
            </w:r>
          </w:p>
        </w:tc>
      </w:tr>
    </w:tbl>
    <w:bookmarkEnd w:id="32"/>
    <w:bookmarkStart w:id="33" w:name="X940f739cc6425d99b84e128f190b13e064c5cd0"/>
    <w:p>
      <w:pPr>
        <w:pStyle w:val="Heading4"/>
      </w:pPr>
      <w:r>
        <w:t xml:space="preserve">Scope 2: Indirect Emissions from Purchased Energy</w:t>
      </w:r>
    </w:p>
    <w:p>
      <w:pPr>
        <w:pStyle w:val="FirstParagraph"/>
      </w:pPr>
      <w:r>
        <w:t xml:space="preserve">Emissions from electricity purchased for manufacturing operations.</w:t>
      </w:r>
    </w:p>
    <w:p>
      <w:pPr>
        <w:numPr>
          <w:ilvl w:val="0"/>
          <w:numId w:val="1008"/>
        </w:numPr>
        <w:pStyle w:val="Compact"/>
      </w:pPr>
      <w:r>
        <w:t xml:space="preserve">Total Energy Intensity: 15 kWh/unit (`lrjkrqjdxn`)</w:t>
      </w:r>
    </w:p>
    <w:p>
      <w:pPr>
        <w:numPr>
          <w:ilvl w:val="0"/>
          <w:numId w:val="1008"/>
        </w:numPr>
        <w:pStyle w:val="Compact"/>
      </w:pPr>
      <w:r>
        <w:t xml:space="preserve">Renewable Energy Usage: 75% (`npuvtdhfki`)</w:t>
      </w:r>
    </w:p>
    <w:p>
      <w:pPr>
        <w:numPr>
          <w:ilvl w:val="0"/>
          <w:numId w:val="1008"/>
        </w:numPr>
        <w:pStyle w:val="Compact"/>
      </w:pPr>
      <w:r>
        <w:t xml:space="preserve">Grid Electricity Consumption: 15 kWh/unit * (1 - 0.75) = 3.75 kWh/unit</w:t>
      </w:r>
    </w:p>
    <w:p>
      <w:pPr>
        <w:numPr>
          <w:ilvl w:val="0"/>
          <w:numId w:val="1008"/>
        </w:numPr>
        <w:pStyle w:val="Compact"/>
      </w:pPr>
      <w:r>
        <w:t xml:space="preserve">China Grid Emission Factor: 0.6 kg CO2e/kWh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Emissions (kg CO2e)</w:t>
            </w:r>
          </w:p>
        </w:tc>
      </w:tr>
      <w:tr>
        <w:tc>
          <w:tcPr/>
          <w:p>
            <w:pPr>
              <w:pStyle w:val="Compact"/>
              <w:jc w:val="left"/>
            </w:pPr>
            <w:r>
              <w:t xml:space="preserve">Purchased Electricity</w:t>
            </w:r>
          </w:p>
        </w:tc>
        <w:tc>
          <w:tcPr/>
          <w:p>
            <w:pPr>
              <w:pStyle w:val="Compact"/>
              <w:jc w:val="left"/>
            </w:pPr>
            <w:r>
              <w:t xml:space="preserve">3.75 kWh/unit</w:t>
            </w:r>
          </w:p>
        </w:tc>
        <w:tc>
          <w:tcPr/>
          <w:p>
            <w:pPr>
              <w:pStyle w:val="Compact"/>
              <w:jc w:val="left"/>
            </w:pPr>
            <w:r>
              <w:t xml:space="preserve">0.6 kg CO2e/kWh</w:t>
            </w:r>
          </w:p>
        </w:tc>
        <w:tc>
          <w:tcPr/>
          <w:p>
            <w:pPr>
              <w:pStyle w:val="Compact"/>
              <w:jc w:val="left"/>
            </w:pPr>
            <w:r>
              <w:t xml:space="preserve">2.250</w:t>
            </w:r>
          </w:p>
        </w:tc>
      </w:tr>
      <w:tr>
        <w:tc>
          <w:tcPr>
            <w:gridSpan w:val="3"/>
          </w:tcPr>
          <w:p>
            <w:pPr>
              <w:pStyle w:val="Compact"/>
              <w:jc w:val="right"/>
            </w:pPr>
            <w:r>
              <w:t xml:space="preserve">Total Scope 2 Emissions:</w:t>
            </w:r>
          </w:p>
        </w:tc>
        <w:tc>
          <w:tcPr/>
          <w:p>
            <w:pPr>
              <w:pStyle w:val="Compact"/>
              <w:jc w:val="left"/>
            </w:pPr>
            <w:r>
              <w:t xml:space="preserve">2.250 kg CO2e</w:t>
            </w:r>
          </w:p>
        </w:tc>
      </w:tr>
    </w:tbl>
    <w:bookmarkEnd w:id="33"/>
    <w:bookmarkStart w:id="39" w:name="Xd1c2b652bc5876514f180a21f002993b8de8e83"/>
    <w:p>
      <w:pPr>
        <w:pStyle w:val="Heading4"/>
      </w:pPr>
      <w:r>
        <w:t xml:space="preserve">Scope 3: Other Indirect Emissions (Value Chain)</w:t>
      </w:r>
    </w:p>
    <w:p>
      <w:pPr>
        <w:pStyle w:val="FirstParagraph"/>
      </w:pPr>
      <w:r>
        <w:t xml:space="preserve">Scope 3 emissions are the most significant for most products and require at least 95% coverage as per 2026 requirements.</w:t>
      </w:r>
    </w:p>
    <w:bookmarkStart w:id="34" w:name="Xab9729a0caae076ca89f2f71668734f92723cf2"/>
    <w:p>
      <w:pPr>
        <w:pStyle w:val="Heading5"/>
      </w:pPr>
      <w:r>
        <w:t xml:space="preserve">Category 1: Purchased Goods and Services (Materials)</w:t>
      </w:r>
    </w:p>
    <w:p>
      <w:pPr>
        <w:pStyle w:val="FirstParagraph"/>
      </w:pPr>
      <w:r>
        <w:t xml:space="preserve">Based on the detailed Bill of Materials.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Steel Casing</w:t>
            </w:r>
          </w:p>
        </w:tc>
        <w:tc>
          <w:tcPr/>
          <w:p>
            <w:pPr>
              <w:pStyle w:val="Compact"/>
              <w:jc w:val="left"/>
            </w:pPr>
            <w:r>
              <w:t xml:space="preserve">1.000</w:t>
            </w:r>
          </w:p>
        </w:tc>
      </w:tr>
      <w:tr>
        <w:tc>
          <w:tcPr/>
          <w:p>
            <w:pPr>
              <w:pStyle w:val="Compact"/>
              <w:jc w:val="left"/>
            </w:pPr>
            <w:r>
              <w:t xml:space="preserve">ABS Plastic Enclosure</w:t>
            </w:r>
          </w:p>
        </w:tc>
        <w:tc>
          <w:tcPr/>
          <w:p>
            <w:pPr>
              <w:pStyle w:val="Compact"/>
              <w:jc w:val="left"/>
            </w:pPr>
            <w:r>
              <w:t xml:space="preserve">0.700</w:t>
            </w:r>
          </w:p>
        </w:tc>
      </w:tr>
      <w:tr>
        <w:tc>
          <w:tcPr/>
          <w:p>
            <w:pPr>
              <w:pStyle w:val="Compact"/>
              <w:jc w:val="left"/>
            </w:pPr>
            <w:r>
              <w:t xml:space="preserve">Copper Wiring</w:t>
            </w:r>
          </w:p>
        </w:tc>
        <w:tc>
          <w:tcPr/>
          <w:p>
            <w:pPr>
              <w:pStyle w:val="Compact"/>
              <w:jc w:val="left"/>
            </w:pPr>
            <w:r>
              <w:t xml:space="preserve">0.125</w:t>
            </w:r>
          </w:p>
        </w:tc>
      </w:tr>
      <w:tr>
        <w:tc>
          <w:tcPr/>
          <w:p>
            <w:pPr>
              <w:pStyle w:val="Compact"/>
              <w:jc w:val="left"/>
            </w:pPr>
            <w:r>
              <w:t xml:space="preserve">Circuit Board (PCBA)</w:t>
            </w:r>
          </w:p>
        </w:tc>
        <w:tc>
          <w:tcPr/>
          <w:p>
            <w:pPr>
              <w:pStyle w:val="Compact"/>
              <w:jc w:val="left"/>
            </w:pPr>
            <w:r>
              <w:t xml:space="preserve">5.000</w:t>
            </w:r>
          </w:p>
        </w:tc>
      </w:tr>
      <w:tr>
        <w:tc>
          <w:tcPr/>
          <w:p>
            <w:pPr>
              <w:pStyle w:val="Compact"/>
              <w:jc w:val="left"/>
            </w:pPr>
            <w:r>
              <w:t xml:space="preserve">Packaging (Cardboard)</w:t>
            </w:r>
          </w:p>
        </w:tc>
        <w:tc>
          <w:tcPr/>
          <w:p>
            <w:pPr>
              <w:pStyle w:val="Compact"/>
              <w:jc w:val="left"/>
            </w:pPr>
            <w:r>
              <w:t xml:space="preserve">0.080</w:t>
            </w:r>
          </w:p>
        </w:tc>
      </w:tr>
      <w:tr>
        <w:tc>
          <w:tcPr/>
          <w:p>
            <w:pPr>
              <w:pStyle w:val="Compact"/>
              <w:jc w:val="right"/>
            </w:pPr>
            <w:r>
              <w:t xml:space="preserve">Subtotal Scope 3, Cat 1 Emissions:</w:t>
            </w:r>
          </w:p>
        </w:tc>
        <w:tc>
          <w:tcPr/>
          <w:p>
            <w:pPr>
              <w:pStyle w:val="Compact"/>
              <w:jc w:val="left"/>
            </w:pPr>
            <w:r>
              <w:t xml:space="preserve">6.905 kg CO2e</w:t>
            </w:r>
          </w:p>
        </w:tc>
      </w:tr>
    </w:tbl>
    <w:bookmarkEnd w:id="34"/>
    <w:bookmarkStart w:id="35" w:name="X6669a43143349c25ec93e775eebde43de53a73c"/>
    <w:p>
      <w:pPr>
        <w:pStyle w:val="Heading5"/>
      </w:pPr>
      <w:r>
        <w:t xml:space="preserve">Category 4: Upstream Transportation and Distribution</w:t>
      </w:r>
    </w:p>
    <w:p>
      <w:pPr>
        <w:pStyle w:val="FirstParagraph"/>
      </w:pPr>
      <w:r>
        <w:t xml:space="preserve">As noted earlier, upstream transport of raw materials to the China factory is assumed to be embedded in the material emission factors. If separately calculated, this would be included here.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Activity</w:t>
            </w:r>
          </w:p>
        </w:tc>
        <w:tc>
          <w:tcPr/>
          <w:p>
            <w:pPr>
              <w:pStyle w:val="Compact"/>
              <w:jc w:val="left"/>
            </w:pPr>
            <w:r>
              <w:t xml:space="preserve">Emissions (kg CO2e)</w:t>
            </w:r>
          </w:p>
        </w:tc>
      </w:tr>
      <w:tr>
        <w:tc>
          <w:tcPr/>
          <w:p>
            <w:pPr>
              <w:pStyle w:val="Compact"/>
              <w:jc w:val="left"/>
            </w:pPr>
            <w:r>
              <w:t xml:space="preserve">Raw Material Transport to Factory</w:t>
            </w:r>
          </w:p>
        </w:tc>
        <w:tc>
          <w:tcPr/>
          <w:p>
            <w:pPr>
              <w:pStyle w:val="Compact"/>
              <w:jc w:val="left"/>
            </w:pPr>
            <w:r>
              <w:t xml:space="preserve">0.000 (Assumed embedded in Cat 1)</w:t>
            </w:r>
          </w:p>
        </w:tc>
      </w:tr>
      <w:tr>
        <w:tc>
          <w:tcPr/>
          <w:p>
            <w:pPr>
              <w:pStyle w:val="Compact"/>
              <w:jc w:val="right"/>
            </w:pPr>
            <w:r>
              <w:t xml:space="preserve">Subtotal Scope 3, Cat 4 Emissions:</w:t>
            </w:r>
          </w:p>
        </w:tc>
        <w:tc>
          <w:tcPr/>
          <w:p>
            <w:pPr>
              <w:pStyle w:val="Compact"/>
              <w:jc w:val="left"/>
            </w:pPr>
            <w:r>
              <w:t xml:space="preserve">0.000 kg CO2e</w:t>
            </w:r>
          </w:p>
        </w:tc>
      </w:tr>
    </w:tbl>
    <w:bookmarkEnd w:id="35"/>
    <w:bookmarkStart w:id="36" w:name="X25a0837e2ca53a982bfb6f58a50970139f4f25f"/>
    <w:p>
      <w:pPr>
        <w:pStyle w:val="Heading5"/>
      </w:pPr>
      <w:r>
        <w:t xml:space="preserve">Category 9: Downstream Transportation and Distribution</w:t>
      </w:r>
    </w:p>
    <w:p>
      <w:pPr>
        <w:pStyle w:val="FirstParagraph"/>
      </w:pPr>
      <w:r>
        <w:t xml:space="preserve">Transportation of the finished product from the factory to the end-consumer. Product weight for transport is 1.0 kg (functional unit).</w:t>
      </w:r>
    </w:p>
    <w:p>
      <w:pPr>
        <w:numPr>
          <w:ilvl w:val="0"/>
          <w:numId w:val="1009"/>
        </w:numPr>
        <w:pStyle w:val="Compact"/>
      </w:pPr>
      <w:r>
        <w:t xml:space="preserve">Main Haul (China to Europe): 12,000 km (`ukullnjvuj`) by Ocean Freight (`Select Mode`). Emission Factor: 0.010 kg CO2e/tonne-km.</w:t>
      </w:r>
    </w:p>
    <w:p>
      <w:pPr>
        <w:numPr>
          <w:ilvl w:val="0"/>
          <w:numId w:val="1009"/>
        </w:numPr>
        <w:pStyle w:val="Compact"/>
      </w:pPr>
      <w:r>
        <w:t xml:space="preserve">Last-Mile Delivery: 500 km by Road Freight (Van) (`Delivery Type`). Emission Factor: 0.200 kg CO2e/tonne-km.</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(tonne)</w:t>
            </w:r>
          </w:p>
        </w:tc>
        <w:tc>
          <w:tcPr/>
          <w:p>
            <w:pPr>
              <w:pStyle w:val="Compact"/>
              <w:jc w:val="left"/>
            </w:pPr>
            <w:r>
              <w:t xml:space="preserve">Emission Factor (kg CO2e/tkm)</w:t>
            </w:r>
          </w:p>
        </w:tc>
        <w:tc>
          <w:tcPr/>
          <w:p>
            <w:pPr>
              <w:pStyle w:val="Compact"/>
              <w:jc w:val="left"/>
            </w:pPr>
            <w:r>
              <w:t xml:space="preserve">Emissions (kg CO2e)</w:t>
            </w:r>
          </w:p>
        </w:tc>
      </w:tr>
      <w:tr>
        <w:tc>
          <w:tcPr/>
          <w:p>
            <w:pPr>
              <w:pStyle w:val="Compact"/>
              <w:jc w:val="left"/>
            </w:pPr>
            <w:r>
              <w:t xml:space="preserve">Ocean Freight</w:t>
            </w:r>
          </w:p>
        </w:tc>
        <w:tc>
          <w:tcPr/>
          <w:p>
            <w:pPr>
              <w:pStyle w:val="Compact"/>
              <w:jc w:val="left"/>
            </w:pPr>
            <w:r>
              <w:t xml:space="preserve">12,000</w:t>
            </w:r>
          </w:p>
        </w:tc>
        <w:tc>
          <w:tcPr/>
          <w:p>
            <w:pPr>
              <w:pStyle w:val="Compact"/>
              <w:jc w:val="left"/>
            </w:pPr>
            <w:r>
              <w:t xml:space="preserve">0.001</w:t>
            </w:r>
          </w:p>
        </w:tc>
        <w:tc>
          <w:tcPr/>
          <w:p>
            <w:pPr>
              <w:pStyle w:val="Compact"/>
              <w:jc w:val="left"/>
            </w:pPr>
            <w:r>
              <w:t xml:space="preserve">0.010</w:t>
            </w:r>
          </w:p>
        </w:tc>
        <w:tc>
          <w:tcPr/>
          <w:p>
            <w:pPr>
              <w:pStyle w:val="Compact"/>
              <w:jc w:val="left"/>
            </w:pPr>
            <w:r>
              <w:t xml:space="preserve">0.120</w:t>
            </w:r>
          </w:p>
        </w:tc>
      </w:tr>
      <w:tr>
        <w:tc>
          <w:tcPr/>
          <w:p>
            <w:pPr>
              <w:pStyle w:val="Compact"/>
              <w:jc w:val="left"/>
            </w:pPr>
            <w:r>
              <w:t xml:space="preserve">Road Freight (Van)</w:t>
            </w:r>
          </w:p>
        </w:tc>
        <w:tc>
          <w:tcPr/>
          <w:p>
            <w:pPr>
              <w:pStyle w:val="Compact"/>
              <w:jc w:val="left"/>
            </w:pPr>
            <w:r>
              <w:t xml:space="preserve">500</w:t>
            </w:r>
          </w:p>
        </w:tc>
        <w:tc>
          <w:tcPr/>
          <w:p>
            <w:pPr>
              <w:pStyle w:val="Compact"/>
              <w:jc w:val="left"/>
            </w:pPr>
            <w:r>
              <w:t xml:space="preserve">0.001</w:t>
            </w:r>
          </w:p>
        </w:tc>
        <w:tc>
          <w:tcPr/>
          <w:p>
            <w:pPr>
              <w:pStyle w:val="Compact"/>
              <w:jc w:val="left"/>
            </w:pPr>
            <w:r>
              <w:t xml:space="preserve">0.200</w:t>
            </w:r>
          </w:p>
        </w:tc>
        <w:tc>
          <w:tcPr/>
          <w:p>
            <w:pPr>
              <w:pStyle w:val="Compact"/>
              <w:jc w:val="left"/>
            </w:pPr>
            <w:r>
              <w:t xml:space="preserve">0.100</w:t>
            </w:r>
          </w:p>
        </w:tc>
      </w:tr>
      <w:tr>
        <w:tc>
          <w:tcPr>
            <w:gridSpan w:val="4"/>
          </w:tcPr>
          <w:p>
            <w:pPr>
              <w:pStyle w:val="Compact"/>
              <w:jc w:val="right"/>
            </w:pPr>
            <w:r>
              <w:t xml:space="preserve">Subtotal Scope 3, Cat 9 Emissions:</w:t>
            </w:r>
          </w:p>
        </w:tc>
        <w:tc>
          <w:tcPr/>
          <w:p>
            <w:pPr>
              <w:pStyle w:val="Compact"/>
              <w:jc w:val="left"/>
            </w:pPr>
            <w:r>
              <w:t xml:space="preserve">0.220 kg CO2e</w:t>
            </w:r>
          </w:p>
        </w:tc>
      </w:tr>
    </w:tbl>
    <w:bookmarkEnd w:id="36"/>
    <w:bookmarkStart w:id="37" w:name="category-11-use-of-sold-products"/>
    <w:p>
      <w:pPr>
        <w:pStyle w:val="Heading5"/>
      </w:pPr>
      <w:r>
        <w:t xml:space="preserve">Category 11: Use of Sold Products</w:t>
      </w:r>
    </w:p>
    <w:p>
      <w:pPr>
        <w:pStyle w:val="FirstParagraph"/>
      </w:pPr>
      <w:r>
        <w:t xml:space="preserve">Emissions from energy consumed during the product\'s operational lifespan.</w:t>
      </w:r>
    </w:p>
    <w:p>
      <w:pPr>
        <w:numPr>
          <w:ilvl w:val="0"/>
          <w:numId w:val="1010"/>
        </w:numPr>
        <w:pStyle w:val="Compact"/>
      </w:pPr>
      <w:r>
        <w:t xml:space="preserve">Product Lifespan: 5 years (`phfwfthdyg`)</w:t>
      </w:r>
    </w:p>
    <w:p>
      <w:pPr>
        <w:numPr>
          <w:ilvl w:val="0"/>
          <w:numId w:val="1010"/>
        </w:numPr>
        <w:pStyle w:val="Compact"/>
      </w:pPr>
      <w:r>
        <w:t xml:space="preserve">Energy Consumption in Use: 10 kWh/year (`hpjffekuiq`)</w:t>
      </w:r>
    </w:p>
    <w:p>
      <w:pPr>
        <w:numPr>
          <w:ilvl w:val="0"/>
          <w:numId w:val="1010"/>
        </w:numPr>
        <w:pStyle w:val="Compact"/>
      </w:pPr>
      <w:r>
        <w:t xml:space="preserve">Total Energy Consumption: 10 kWh/year * 5 years = 50 kWh/unit</w:t>
      </w:r>
    </w:p>
    <w:p>
      <w:pPr>
        <w:numPr>
          <w:ilvl w:val="0"/>
          <w:numId w:val="1010"/>
        </w:numPr>
        <w:pStyle w:val="Compact"/>
      </w:pPr>
      <w:r>
        <w:t xml:space="preserve">European Average Grid Emission Factor: 0.3 kg CO2e/kWh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Total Energy (kWh)</w:t>
            </w:r>
          </w:p>
        </w:tc>
        <w:tc>
          <w:tcPr/>
          <w:p>
            <w:pPr>
              <w:pStyle w:val="Compact"/>
              <w:jc w:val="left"/>
            </w:pPr>
            <w:r>
              <w:t xml:space="preserve">Emission Factor (kg CO2e/kWh)</w:t>
            </w:r>
          </w:p>
        </w:tc>
        <w:tc>
          <w:tcPr/>
          <w:p>
            <w:pPr>
              <w:pStyle w:val="Compact"/>
              <w:jc w:val="left"/>
            </w:pPr>
            <w:r>
              <w:t xml:space="preserve">Emissions (kg CO2e)</w:t>
            </w:r>
          </w:p>
        </w:tc>
      </w:tr>
      <w:tr>
        <w:tc>
          <w:tcPr/>
          <w:p>
            <w:pPr>
              <w:pStyle w:val="Compact"/>
              <w:jc w:val="left"/>
            </w:pPr>
            <w:r>
              <w:t xml:space="preserve">Energy in Use</w:t>
            </w:r>
          </w:p>
        </w:tc>
        <w:tc>
          <w:tcPr/>
          <w:p>
            <w:pPr>
              <w:pStyle w:val="Compact"/>
              <w:jc w:val="left"/>
            </w:pPr>
            <w:r>
              <w:t xml:space="preserve">50</w:t>
            </w:r>
          </w:p>
        </w:tc>
        <w:tc>
          <w:tcPr/>
          <w:p>
            <w:pPr>
              <w:pStyle w:val="Compact"/>
              <w:jc w:val="left"/>
            </w:pPr>
            <w:r>
              <w:t xml:space="preserve">0.3</w:t>
            </w:r>
          </w:p>
        </w:tc>
        <w:tc>
          <w:tcPr/>
          <w:p>
            <w:pPr>
              <w:pStyle w:val="Compact"/>
              <w:jc w:val="left"/>
            </w:pPr>
            <w:r>
              <w:t xml:space="preserve">15.000</w:t>
            </w:r>
          </w:p>
        </w:tc>
      </w:tr>
      <w:tr>
        <w:tc>
          <w:tcPr>
            <w:gridSpan w:val="3"/>
          </w:tcPr>
          <w:p>
            <w:pPr>
              <w:pStyle w:val="Compact"/>
              <w:jc w:val="right"/>
            </w:pPr>
            <w:r>
              <w:t xml:space="preserve">Subtotal Scope 3, Cat 11 Emissions:</w:t>
            </w:r>
          </w:p>
        </w:tc>
        <w:tc>
          <w:tcPr/>
          <w:p>
            <w:pPr>
              <w:pStyle w:val="Compact"/>
              <w:jc w:val="left"/>
            </w:pPr>
            <w:r>
              <w:t xml:space="preserve">15.000 kg CO2e</w:t>
            </w:r>
          </w:p>
        </w:tc>
      </w:tr>
    </w:tbl>
    <w:bookmarkEnd w:id="37"/>
    <w:bookmarkStart w:id="38" w:name="X9f66eef2700632e081dfe139021cb724ffcd2c5"/>
    <w:p>
      <w:pPr>
        <w:pStyle w:val="Heading5"/>
      </w:pPr>
      <w:r>
        <w:t xml:space="preserve">Category 12: End-of-Life Treatment of Sold Products</w:t>
      </w:r>
    </w:p>
    <w:p>
      <w:pPr>
        <w:pStyle w:val="FirstParagraph"/>
      </w:pPr>
      <w:r>
        <w:t xml:space="preserve">Emissions and potential credits from the disposal and recycling of the product at its end-of-life.</w:t>
      </w:r>
    </w:p>
    <w:p>
      <w:pPr>
        <w:numPr>
          <w:ilvl w:val="0"/>
          <w:numId w:val="1011"/>
        </w:numPr>
        <w:pStyle w:val="Compact"/>
      </w:pPr>
      <w:r>
        <w:t xml:space="preserve">Recyclability Percentage: 80% (`xdngoygroi`)</w:t>
      </w:r>
    </w:p>
    <w:p>
      <w:pPr>
        <w:numPr>
          <w:ilvl w:val="0"/>
          <w:numId w:val="1011"/>
        </w:numPr>
        <w:pStyle w:val="Compact"/>
      </w:pPr>
      <w:r>
        <w:t xml:space="preserve">Circular Programs: Company take-back program (`qnohjjfxsk`) facilitates recycling.</w:t>
      </w:r>
    </w:p>
    <w:p>
      <w:pPr>
        <w:numPr>
          <w:ilvl w:val="0"/>
          <w:numId w:val="1011"/>
        </w:numPr>
        <w:pStyle w:val="Compact"/>
      </w:pPr>
      <w:r>
        <w:t xml:space="preserve">Product Weight: 1.0 kg</w:t>
      </w:r>
    </w:p>
    <w:p>
      <w:pPr>
        <w:numPr>
          <w:ilvl w:val="0"/>
          <w:numId w:val="1011"/>
        </w:numPr>
        <w:pStyle w:val="Compact"/>
      </w:pPr>
      <w:r>
        <w:t xml:space="preserve">Recycled Portion: 0.8 kg (80%)</w:t>
      </w:r>
    </w:p>
    <w:p>
      <w:pPr>
        <w:numPr>
          <w:ilvl w:val="0"/>
          <w:numId w:val="1011"/>
        </w:numPr>
        <w:pStyle w:val="Compact"/>
      </w:pPr>
      <w:r>
        <w:t xml:space="preserve">Disposed Portion (landfill/incineration): 0.2 kg (20%)</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Scenario</w:t>
            </w:r>
          </w:p>
        </w:tc>
        <w:tc>
          <w:tcPr/>
          <w:p>
            <w:pPr>
              <w:pStyle w:val="Compact"/>
              <w:jc w:val="left"/>
            </w:pPr>
            <w:r>
              <w:t xml:space="preserve">Weight (kg)</w:t>
            </w:r>
          </w:p>
        </w:tc>
        <w:tc>
          <w:tcPr/>
          <w:p>
            <w:pPr>
              <w:pStyle w:val="Compact"/>
              <w:jc w:val="left"/>
            </w:pPr>
            <w:r>
              <w:t xml:space="preserve">Emission Factor (kg CO2e/kg)</w:t>
            </w:r>
          </w:p>
        </w:tc>
        <w:tc>
          <w:tcPr/>
          <w:p>
            <w:pPr>
              <w:pStyle w:val="Compact"/>
              <w:jc w:val="left"/>
            </w:pPr>
            <w:r>
              <w:t xml:space="preserve">Emissions/Credits (kg CO2e)</w:t>
            </w:r>
          </w:p>
        </w:tc>
      </w:tr>
      <w:tr>
        <w:tc>
          <w:tcPr/>
          <w:p>
            <w:pPr>
              <w:pStyle w:val="Compact"/>
              <w:jc w:val="left"/>
            </w:pPr>
            <w:r>
              <w:t xml:space="preserve">Recycling (avoided emissions/credit)</w:t>
            </w:r>
          </w:p>
        </w:tc>
        <w:tc>
          <w:tcPr/>
          <w:p>
            <w:pPr>
              <w:pStyle w:val="Compact"/>
              <w:jc w:val="left"/>
            </w:pPr>
            <w:r>
              <w:t xml:space="preserve">0.8</w:t>
            </w:r>
          </w:p>
        </w:tc>
        <w:tc>
          <w:tcPr/>
          <w:p>
            <w:pPr>
              <w:pStyle w:val="Compact"/>
              <w:jc w:val="left"/>
            </w:pPr>
            <w:r>
              <w:t xml:space="preserve">-1.0 (Illustrative credit for material recovery)</w:t>
            </w:r>
          </w:p>
        </w:tc>
        <w:tc>
          <w:tcPr/>
          <w:p>
            <w:pPr>
              <w:pStyle w:val="Compact"/>
              <w:jc w:val="left"/>
            </w:pPr>
            <w:r>
              <w:t xml:space="preserve">-0.800</w:t>
            </w:r>
          </w:p>
        </w:tc>
      </w:tr>
      <w:tr>
        <w:tc>
          <w:tcPr/>
          <w:p>
            <w:pPr>
              <w:pStyle w:val="Compact"/>
              <w:jc w:val="left"/>
            </w:pPr>
            <w:r>
              <w:t xml:space="preserve">Disposal (Landfill/Incineration)</w:t>
            </w:r>
          </w:p>
        </w:tc>
        <w:tc>
          <w:tcPr/>
          <w:p>
            <w:pPr>
              <w:pStyle w:val="Compact"/>
              <w:jc w:val="left"/>
            </w:pPr>
            <w:r>
              <w:t xml:space="preserve">0.2</w:t>
            </w:r>
          </w:p>
        </w:tc>
        <w:tc>
          <w:tcPr/>
          <w:p>
            <w:pPr>
              <w:pStyle w:val="Compact"/>
              <w:jc w:val="left"/>
            </w:pPr>
            <w:r>
              <w:t xml:space="preserve">0.5 (Illustrative factor)</w:t>
            </w:r>
          </w:p>
        </w:tc>
        <w:tc>
          <w:tcPr/>
          <w:p>
            <w:pPr>
              <w:pStyle w:val="Compact"/>
              <w:jc w:val="left"/>
            </w:pPr>
            <w:r>
              <w:t xml:space="preserve">0.100</w:t>
            </w:r>
          </w:p>
        </w:tc>
      </w:tr>
      <w:tr>
        <w:tc>
          <w:tcPr>
            <w:gridSpan w:val="3"/>
          </w:tcPr>
          <w:p>
            <w:pPr>
              <w:pStyle w:val="Compact"/>
              <w:jc w:val="right"/>
            </w:pPr>
            <w:r>
              <w:t xml:space="preserve">Subtotal Scope 3, Cat 12 Emissions:</w:t>
            </w:r>
          </w:p>
        </w:tc>
        <w:tc>
          <w:tcPr/>
          <w:p>
            <w:pPr>
              <w:pStyle w:val="Compact"/>
              <w:jc w:val="left"/>
            </w:pPr>
            <w:r>
              <w:t xml:space="preserve">-0.700 kg CO2e</w:t>
            </w:r>
          </w:p>
        </w:tc>
      </w:tr>
    </w:tbl>
    <w:bookmarkEnd w:id="38"/>
    <w:bookmarkEnd w:id="39"/>
    <w:bookmarkEnd w:id="40"/>
    <w:bookmarkStart w:id="41" w:name="X750ba1aa6573a36484b0ddefdbcefb29c1b807c"/>
    <w:p>
      <w:pPr>
        <w:pStyle w:val="Heading3"/>
      </w:pPr>
      <w:r>
        <w:t xml:space="preserve">Total Product Carbon Footprint (PCF) for hvmgwqinqh</w:t>
      </w:r>
    </w:p>
    <w:p>
      <w:pPr>
        <w:pStyle w:val="FirstParagraph"/>
      </w:pPr>
      <w:r>
        <w:t xml:space="preserve">Summation of emissions across all scopes and life cycle stages.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Scope/Category</w:t>
            </w:r>
          </w:p>
        </w:tc>
        <w:tc>
          <w:tcPr/>
          <w:p>
            <w:pPr>
              <w:pStyle w:val="Compact"/>
              <w:jc w:val="left"/>
            </w:pPr>
            <w:r>
              <w:t xml:space="preserve">Emissions (kg CO2e)</w:t>
            </w:r>
          </w:p>
        </w:tc>
      </w:tr>
      <w:tr>
        <w:tc>
          <w:tcPr/>
          <w:p>
            <w:pPr>
              <w:pStyle w:val="Compact"/>
              <w:jc w:val="left"/>
            </w:pPr>
            <w:r>
              <w:t xml:space="preserve">Scope 1 (Direct Emissions)</w:t>
            </w:r>
          </w:p>
        </w:tc>
        <w:tc>
          <w:tcPr/>
          <w:p>
            <w:pPr>
              <w:pStyle w:val="Compact"/>
              <w:jc w:val="left"/>
            </w:pPr>
            <w:r>
              <w:t xml:space="preserve">0.000</w:t>
            </w:r>
          </w:p>
        </w:tc>
      </w:tr>
      <w:tr>
        <w:tc>
          <w:tcPr/>
          <w:p>
            <w:pPr>
              <w:pStyle w:val="Compact"/>
              <w:jc w:val="left"/>
            </w:pPr>
            <w:r>
              <w:t xml:space="preserve">Scope 2 (Purchased Electricity)</w:t>
            </w:r>
          </w:p>
        </w:tc>
        <w:tc>
          <w:tcPr/>
          <w:p>
            <w:pPr>
              <w:pStyle w:val="Compact"/>
              <w:jc w:val="left"/>
            </w:pPr>
            <w:r>
              <w:t xml:space="preserve">2.250</w:t>
            </w:r>
          </w:p>
        </w:tc>
      </w:tr>
      <w:tr>
        <w:tc>
          <w:tcPr/>
          <w:p>
            <w:pPr>
              <w:pStyle w:val="Compact"/>
              <w:jc w:val="left"/>
            </w:pPr>
            <w:r>
              <w:t xml:space="preserve">Scope 3, Category 1 (Purchased Goods &amp; Services)</w:t>
            </w:r>
          </w:p>
        </w:tc>
        <w:tc>
          <w:tcPr/>
          <w:p>
            <w:pPr>
              <w:pStyle w:val="Compact"/>
              <w:jc w:val="left"/>
            </w:pPr>
            <w:r>
              <w:t xml:space="preserve">6.905</w:t>
            </w:r>
          </w:p>
        </w:tc>
      </w:tr>
      <w:tr>
        <w:tc>
          <w:tcPr/>
          <w:p>
            <w:pPr>
              <w:pStyle w:val="Compact"/>
              <w:jc w:val="left"/>
            </w:pPr>
            <w:r>
              <w:t xml:space="preserve">Scope 3, Category 4 (Upstream Transport)</w:t>
            </w:r>
          </w:p>
        </w:tc>
        <w:tc>
          <w:tcPr/>
          <w:p>
            <w:pPr>
              <w:pStyle w:val="Compact"/>
              <w:jc w:val="left"/>
            </w:pPr>
            <w:r>
              <w:t xml:space="preserve">0.000</w:t>
            </w:r>
          </w:p>
        </w:tc>
      </w:tr>
      <w:tr>
        <w:tc>
          <w:tcPr/>
          <w:p>
            <w:pPr>
              <w:pStyle w:val="Compact"/>
              <w:jc w:val="left"/>
            </w:pPr>
            <w:r>
              <w:t xml:space="preserve">Scope 3, Category 9 (Downstream Transport)</w:t>
            </w:r>
          </w:p>
        </w:tc>
        <w:tc>
          <w:tcPr/>
          <w:p>
            <w:pPr>
              <w:pStyle w:val="Compact"/>
              <w:jc w:val="left"/>
            </w:pPr>
            <w:r>
              <w:t xml:space="preserve">0.220</w:t>
            </w:r>
          </w:p>
        </w:tc>
      </w:tr>
      <w:tr>
        <w:tc>
          <w:tcPr/>
          <w:p>
            <w:pPr>
              <w:pStyle w:val="Compact"/>
              <w:jc w:val="left"/>
            </w:pPr>
            <w:r>
              <w:t xml:space="preserve">Scope 3, Category 11 (Use of Sold Products)</w:t>
            </w:r>
          </w:p>
        </w:tc>
        <w:tc>
          <w:tcPr/>
          <w:p>
            <w:pPr>
              <w:pStyle w:val="Compact"/>
              <w:jc w:val="left"/>
            </w:pPr>
            <w:r>
              <w:t xml:space="preserve">15.000</w:t>
            </w:r>
          </w:p>
        </w:tc>
      </w:tr>
      <w:tr>
        <w:tc>
          <w:tcPr/>
          <w:p>
            <w:pPr>
              <w:pStyle w:val="Compact"/>
              <w:jc w:val="left"/>
            </w:pPr>
            <w:r>
              <w:t xml:space="preserve">Scope 3, Category 12 (End-of-Life)</w:t>
            </w:r>
          </w:p>
        </w:tc>
        <w:tc>
          <w:tcPr/>
          <w:p>
            <w:pPr>
              <w:pStyle w:val="Compact"/>
              <w:jc w:val="left"/>
            </w:pPr>
            <w:r>
              <w:t xml:space="preserve">-0.700</w:t>
            </w:r>
          </w:p>
        </w:tc>
      </w:tr>
      <w:tr>
        <w:tc>
          <w:tcPr/>
          <w:p>
            <w:pPr>
              <w:pStyle w:val="Compact"/>
              <w:jc w:val="right"/>
            </w:pPr>
            <w:r>
              <w:t xml:space="preserve">TOTAL PRODUCT CARBON FOOTPRINT (Cradle-to-Grave)</w:t>
            </w:r>
          </w:p>
        </w:tc>
        <w:tc>
          <w:tcPr/>
          <w:p>
            <w:pPr>
              <w:pStyle w:val="Compact"/>
              <w:jc w:val="left"/>
            </w:pPr>
            <w:r>
              <w:t xml:space="preserve">23.675 kg CO2e per unit of hvmgwqinqh</w:t>
            </w:r>
          </w:p>
        </w:tc>
      </w:tr>
    </w:tbl>
    <w:p>
      <w:pPr>
        <w:pStyle w:val="BodyText"/>
      </w:pPr>
      <w:r>
        <w:rPr>
          <w:iCs/>
          <w:i/>
        </w:rPr>
        <w:t xml:space="preserve">Note on Scope 3 Coverage: With detailed calculations for purchased goods (Cat 1), downstream transport (Cat 9), use phase (Cat 11), and end-of-life (Cat 12), this analysis aims for over 95% coverage of relevant Scope 3 emissions, aligning with 2026 GHG Protocol requirements. The omission of specific upstream transport (Cat 4) and other minor categories is deemed immaterial to the overall footprint given the provided parameters.</w:t>
      </w:r>
    </w:p>
    <w:p>
      <w:r>
        <w:pict>
          <v:rect style="width:0;height:1.5pt" o:hralign="center" o:hrstd="t" o:hr="t"/>
        </w:pict>
      </w:r>
    </w:p>
    <w:bookmarkEnd w:id="41"/>
    <w:bookmarkEnd w:id="42"/>
    <w:bookmarkStart w:id="46" w:name="review-report"/>
    <w:p>
      <w:pPr>
        <w:pStyle w:val="Heading2"/>
      </w:pPr>
      <w:r>
        <w:t xml:space="preserve">5. Review &amp; Report</w:t>
      </w:r>
    </w:p>
    <w:bookmarkStart w:id="43" w:name="key-findings-and-hotspots"/>
    <w:p>
      <w:pPr>
        <w:pStyle w:val="Heading3"/>
      </w:pPr>
      <w:r>
        <w:t xml:space="preserve">Key Findings and Hotspots</w:t>
      </w:r>
    </w:p>
    <w:p>
      <w:pPr>
        <w:pStyle w:val="FirstParagraph"/>
      </w:pPr>
      <w:r>
        <w:t xml:space="preserve">The Product Carbon Footprint for one unit of</w:t>
      </w:r>
      <w:r>
        <w:t xml:space="preserve"> </w:t>
      </w:r>
      <w:r>
        <w:rPr>
          <w:bCs/>
          <w:b/>
        </w:rPr>
        <w:t xml:space="preserve">hvmgwqinqh</w:t>
      </w:r>
      <w:r>
        <w:t xml:space="preserve"> </w:t>
      </w:r>
      <w:r>
        <w:t xml:space="preserve">is calculated to be</w:t>
      </w:r>
      <w:r>
        <w:t xml:space="preserve"> </w:t>
      </w:r>
      <w:r>
        <w:rPr>
          <w:bCs/>
          <w:b/>
        </w:rPr>
        <w:t xml:space="preserve">23.675 kg CO2e</w:t>
      </w:r>
      <w:r>
        <w:t xml:space="preserve">. The primary emission hotspots are identified as:</w:t>
      </w:r>
    </w:p>
    <w:p>
      <w:pPr>
        <w:numPr>
          <w:ilvl w:val="0"/>
          <w:numId w:val="1012"/>
        </w:numPr>
        <w:pStyle w:val="Compact"/>
      </w:pPr>
      <w:r>
        <w:rPr>
          <w:bCs/>
          <w:b/>
        </w:rPr>
        <w:t xml:space="preserve">Use Phase (15.000 kg CO2e):</w:t>
      </w:r>
      <w:r>
        <w:t xml:space="preserve"> </w:t>
      </w:r>
      <w:r>
        <w:t xml:space="preserve">This is the most significant contributor, accounting for approximately 63% of the total PCF, primarily due to the energy consumption of the product over its 5-year lifespan.</w:t>
      </w:r>
    </w:p>
    <w:p>
      <w:pPr>
        <w:numPr>
          <w:ilvl w:val="0"/>
          <w:numId w:val="1012"/>
        </w:numPr>
        <w:pStyle w:val="Compact"/>
      </w:pPr>
      <w:r>
        <w:rPr>
          <w:bCs/>
          <w:b/>
        </w:rPr>
        <w:t xml:space="preserve">Purchased Goods and Services (Materials) (6.905 kg CO2e):</w:t>
      </w:r>
      <w:r>
        <w:t xml:space="preserve"> </w:t>
      </w:r>
      <w:r>
        <w:t xml:space="preserve">Materials used in the product contribute significantly, representing about 29% of the total footprint. The Circuit Board (PCBA) is a notable hotspot within this category.</w:t>
      </w:r>
    </w:p>
    <w:p>
      <w:pPr>
        <w:numPr>
          <w:ilvl w:val="0"/>
          <w:numId w:val="1012"/>
        </w:numPr>
        <w:pStyle w:val="Compact"/>
      </w:pPr>
      <w:r>
        <w:rPr>
          <w:bCs/>
          <w:b/>
        </w:rPr>
        <w:t xml:space="preserve">Manufacturing Energy (2.250 kg CO2e):</w:t>
      </w:r>
      <w:r>
        <w:t xml:space="preserve"> </w:t>
      </w:r>
      <w:r>
        <w:t xml:space="preserve">Despite 75% renewable energy usage, the remaining grid electricity from China\'s grid mix still contributes about 9.5% of the total.</w:t>
      </w:r>
    </w:p>
    <w:p>
      <w:pPr>
        <w:numPr>
          <w:ilvl w:val="0"/>
          <w:numId w:val="1012"/>
        </w:numPr>
        <w:pStyle w:val="Compact"/>
      </w:pPr>
      <w:r>
        <w:rPr>
          <w:bCs/>
          <w:b/>
        </w:rPr>
        <w:t xml:space="preserve">End-of-Life (-0.700 kg CO2e):</w:t>
      </w:r>
      <w:r>
        <w:t xml:space="preserve"> </w:t>
      </w:r>
      <w:r>
        <w:t xml:space="preserve">The high recyclability and the presence of a take-back program result in a net credit, indicating an environmental benefit at this stage.</w:t>
      </w:r>
    </w:p>
    <w:bookmarkEnd w:id="43"/>
    <w:bookmarkStart w:id="44" w:name="reliability-and-limitations"/>
    <w:p>
      <w:pPr>
        <w:pStyle w:val="Heading3"/>
      </w:pPr>
      <w:r>
        <w:t xml:space="preserve">Reliability and Limitations</w:t>
      </w:r>
    </w:p>
    <w:p>
      <w:pPr>
        <w:pStyle w:val="FirstParagraph"/>
      </w:pPr>
      <w:r>
        <w:t xml:space="preserve">The reliability of this PCF analysis is contingent on the accuracy of the provided and assumed data.</w:t>
      </w:r>
    </w:p>
    <w:p>
      <w:pPr>
        <w:numPr>
          <w:ilvl w:val="0"/>
          <w:numId w:val="1013"/>
        </w:numPr>
        <w:pStyle w:val="Compact"/>
      </w:pPr>
      <w:r>
        <w:rPr>
          <w:bCs/>
          <w:b/>
        </w:rPr>
        <w:t xml:space="preserve">Data Quality:</w:t>
      </w:r>
      <w:r>
        <w:t xml:space="preserve"> </w:t>
      </w:r>
      <w:r>
        <w:t xml:space="preserve">Illustrative data was used for specific parameters (e.g., `qrolignl`, `ukullnjvuj`, `npuvtdhfki`, `lrjkrqjdxn`, `phfwfthdyg`, `hpjffekuiq`, `xdngoygroi`, `qnohjjfxsk`) as actual values were not provided. The accuracy would improve significantly with primary, site-specific data for all material inputs, energy consumption, and transport distances.</w:t>
      </w:r>
    </w:p>
    <w:p>
      <w:pPr>
        <w:numPr>
          <w:ilvl w:val="0"/>
          <w:numId w:val="1013"/>
        </w:numPr>
        <w:pStyle w:val="Compact"/>
      </w:pPr>
      <w:r>
        <w:rPr>
          <w:bCs/>
          <w:b/>
        </w:rPr>
        <w:t xml:space="preserve">Emission Factors:</w:t>
      </w:r>
      <w:r>
        <w:t xml:space="preserve"> </w:t>
      </w:r>
      <w:r>
        <w:t xml:space="preserve">While industry-standard emission factors are robust, product-specific or supplier-specific emission factors would enhance precision.</w:t>
      </w:r>
    </w:p>
    <w:p>
      <w:pPr>
        <w:numPr>
          <w:ilvl w:val="0"/>
          <w:numId w:val="1013"/>
        </w:numPr>
        <w:pStyle w:val="Compact"/>
      </w:pPr>
      <w:r>
        <w:rPr>
          <w:bCs/>
          <w:b/>
        </w:rPr>
        <w:t xml:space="preserve">System Boundary Interpretation:</w:t>
      </w:r>
      <w:r>
        <w:t xml:space="preserve"> </w:t>
      </w:r>
      <w:r>
        <w:t xml:space="preserve">The interpretation of \'factory_gate\' within a cradle-to-grave PCF has been clearly stated, but any alternative interpretations could alter the scope.</w:t>
      </w:r>
    </w:p>
    <w:bookmarkEnd w:id="44"/>
    <w:bookmarkStart w:id="45" w:name="recommendations-for-emission-reduction"/>
    <w:p>
      <w:pPr>
        <w:pStyle w:val="Heading3"/>
      </w:pPr>
      <w:r>
        <w:t xml:space="preserve">Recommendations for Emission Reduction</w:t>
      </w:r>
    </w:p>
    <w:p>
      <w:pPr>
        <w:pStyle w:val="FirstParagraph"/>
      </w:pPr>
      <w:r>
        <w:t xml:space="preserve">Based on the hotspot analysis,</w:t>
      </w:r>
      <w:r>
        <w:t xml:space="preserve"> </w:t>
      </w:r>
      <w:r>
        <w:rPr>
          <w:bCs/>
          <w:b/>
        </w:rPr>
        <w:t xml:space="preserve">vsgvtxmufg</w:t>
      </w:r>
      <w:r>
        <w:t xml:space="preserve"> </w:t>
      </w:r>
      <w:r>
        <w:t xml:space="preserve">should focus on the following areas to reduce the PCF of</w:t>
      </w:r>
      <w:r>
        <w:t xml:space="preserve"> </w:t>
      </w:r>
      <w:r>
        <w:rPr>
          <w:bCs/>
          <w:b/>
        </w:rPr>
        <w:t xml:space="preserve">hvmgwqinqh</w:t>
      </w:r>
      <w:r>
        <w:t xml:space="preserve">:</w:t>
      </w:r>
    </w:p>
    <w:p>
      <w:pPr>
        <w:numPr>
          <w:ilvl w:val="0"/>
          <w:numId w:val="1014"/>
        </w:numPr>
        <w:pStyle w:val="Compact"/>
      </w:pPr>
      <w:r>
        <w:rPr>
          <w:bCs/>
          <w:b/>
        </w:rPr>
        <w:t xml:space="preserve">Optimize Use Phase Efficiency:</w:t>
      </w:r>
      <w:r>
        <w:t xml:space="preserve"> </w:t>
      </w:r>
      <w:r>
        <w:t xml:space="preserve">Invest in R&amp;D to significantly reduce the product\'s energy consumption during its operational life. Educating consumers on energy-efficient use can also contribute.</w:t>
      </w:r>
    </w:p>
    <w:p>
      <w:pPr>
        <w:numPr>
          <w:ilvl w:val="0"/>
          <w:numId w:val="1014"/>
        </w:numPr>
        <w:pStyle w:val="Compact"/>
      </w:pPr>
      <w:r>
        <w:rPr>
          <w:bCs/>
          <w:b/>
        </w:rPr>
        <w:t xml:space="preserve">Sustainable Material Sourcing:</w:t>
      </w:r>
      <w:r>
        <w:t xml:space="preserve"> </w:t>
      </w:r>
      <w:r>
        <w:t xml:space="preserve">Explore alternative materials with lower embedded carbon footprints, particularly for components like the PCBA and plastic enclosure. Engage with suppliers to understand and reduce their emissions.</w:t>
      </w:r>
    </w:p>
    <w:p>
      <w:pPr>
        <w:numPr>
          <w:ilvl w:val="0"/>
          <w:numId w:val="1014"/>
        </w:numPr>
        <w:pStyle w:val="Compact"/>
      </w:pPr>
      <w:r>
        <w:rPr>
          <w:bCs/>
          <w:b/>
        </w:rPr>
        <w:t xml:space="preserve">Increase Renewable Energy in Production:</w:t>
      </w:r>
      <w:r>
        <w:t xml:space="preserve"> </w:t>
      </w:r>
      <w:r>
        <w:t xml:space="preserve">While 75% renewable usage is good, striving for 100% renewable energy at the manufacturing facility in China would eliminate Scope 2 emissions.</w:t>
      </w:r>
    </w:p>
    <w:p>
      <w:pPr>
        <w:numPr>
          <w:ilvl w:val="0"/>
          <w:numId w:val="1014"/>
        </w:numPr>
        <w:pStyle w:val="Compact"/>
      </w:pPr>
      <w:r>
        <w:rPr>
          <w:bCs/>
          <w:b/>
        </w:rPr>
        <w:t xml:space="preserve">Enhance Circularity:</w:t>
      </w:r>
      <w:r>
        <w:t xml:space="preserve"> </w:t>
      </w:r>
      <w:r>
        <w:t xml:space="preserve">Continue to strengthen take-back and recycling programs, aiming for higher recyclability rates and exploring opportunities for material reuse to maximize end-of-life benefits.</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hvmgwqinqh</dc:title>
  <dc:creator/>
  <dc:description>Product Carbon Footprint (PCF) analysis report for hvmgwqinqh, performed by lwovijsgou for vsgvtxmufg, adhering to GHG Protocol and 2026 LSR updates.</dc:description>
  <dc:language>en</dc:language>
  <cp:keywords/>
  <dcterms:created xsi:type="dcterms:W3CDTF">2026-05-30T13:39:52Z</dcterms:created>
  <dcterms:modified xsi:type="dcterms:W3CDTF">2026-05-30T13:39:52Z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