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htywtdwker</w:t>
      </w:r>
      <w:r>
        <w:t xml:space="preserve"> </w:t>
      </w:r>
      <w:r>
        <w:t xml:space="preserve">-</w:t>
      </w:r>
      <w:r>
        <w:t xml:space="preserve"> </w:t>
      </w:r>
      <w:r>
        <w:t xml:space="preserve">zsepvmfysi</w:t>
      </w:r>
    </w:p>
    <w:p>
      <w:pPr>
        <w:pStyle w:val="FirstParagraph"/>
      </w:pPr>
      <w:r>
        <w:t xml:space="preserve">carboncalcpcf.com</w:t>
      </w:r>
    </w:p>
    <w:bookmarkStart w:id="22" w:name="Xf2e6ab5be446359d80f42f50d41e46314dfe19d"/>
    <w:p>
      <w:pPr>
        <w:pStyle w:val="Heading1"/>
      </w:pPr>
      <w:r>
        <w:t xml:space="preserve">Product Carbon Footprint (PCF) Analysis Report</w:t>
      </w:r>
    </w:p>
    <w:bookmarkStart w:id="21" w:name="product-htywtdwker"/>
    <w:p>
      <w:pPr>
        <w:pStyle w:val="Heading2"/>
      </w:pPr>
      <w:r>
        <w:t xml:space="preserve">Product: htywtdwker</w:t>
      </w:r>
    </w:p>
    <w:bookmarkStart w:id="20" w:name="company-name-zsepvmfysi"/>
    <w:p>
      <w:pPr>
        <w:pStyle w:val="Heading3"/>
      </w:pPr>
      <w:r>
        <w:t xml:space="preserve">Company Name: zsepvmfysi</w:t>
      </w:r>
    </w:p>
    <w:p>
      <w:pPr>
        <w:pStyle w:val="FirstParagraph"/>
      </w:pPr>
      <w:r>
        <w:t xml:space="preserve">Senior Sustainability Consultant: smfnkumljt</w:t>
      </w:r>
    </w:p>
    <w:p>
      <w:pPr>
        <w:pStyle w:val="BodyText"/>
      </w:pPr>
      <w:r>
        <w:t xml:space="preserve">This report is generated based on available data and industry standards, providing a high-level assessment of the product\'s carbon footprint.</w:t>
      </w:r>
    </w:p>
    <w:p>
      <w:pPr>
        <w:pStyle w:val="BodyText"/>
      </w:pPr>
      <w:r>
        <w:t xml:space="preserve">Protocol Data (Accounting Standard): GHG Protocol</w:t>
      </w:r>
    </w:p>
    <w:bookmarkEnd w:id="20"/>
    <w:bookmarkEnd w:id="21"/>
    <w:bookmarkEnd w:id="22"/>
    <w:bookmarkStart w:id="23" w:name="Xc62cb1f6e57bd1d43b1a5fae43a8e2877ec5c7f"/>
    <w:p>
      <w:pPr>
        <w:pStyle w:val="Heading1"/>
      </w:pPr>
      <w:r>
        <w:t xml:space="preserve">Product Carbon Footprint (PCF) Analysis Report</w:t>
      </w:r>
    </w:p>
    <w:p>
      <w:pPr>
        <w:pStyle w:val="FirstParagraph"/>
      </w:pPr>
      <w:r>
        <w:t xml:space="preserve">Generated Date: May 20, 2026</w:t>
      </w:r>
    </w:p>
    <w:bookmarkEnd w:id="23"/>
    <w:p>
      <w:r>
        <w:pict>
          <v:rect style="width:0;height:1.5pt" o:hralign="center" o:hrstd="t" o:hr="t"/>
        </w:pict>
      </w:r>
    </w:p>
    <w:bookmarkStart w:id="24"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htywtdwker</w:t>
      </w:r>
      <w:r>
        <w:t xml:space="preserve">, manufactured by</w:t>
      </w:r>
      <w:r>
        <w:t xml:space="preserve"> </w:t>
      </w:r>
      <w:r>
        <w:rPr>
          <w:bCs/>
          <w:b/>
        </w:rPr>
        <w:t xml:space="preserve">zsepvmfysi</w:t>
      </w:r>
      <w:r>
        <w:t xml:space="preserve">. The analysis was conducted by</w:t>
      </w:r>
      <w:r>
        <w:t xml:space="preserve"> </w:t>
      </w:r>
      <w:r>
        <w:rPr>
          <w:bCs/>
          <w:b/>
        </w:rPr>
        <w:t xml:space="preserve">smfnkumljt</w:t>
      </w:r>
      <w:r>
        <w:t xml:space="preserve">, a Senior Sustainability Consultant specializing in the GHG Protocol. The objective is to quantify the greenhouse gas emissions associated with the product\'s lifecycle, from material acquisition to end-of-life, adhering to the latest GHG Protocol standards, including considerations for the 2026 Land Sector and Removals (LSR) Standard update and stringent Scope 3 compliance. The total Product Carbon Footprint for one functional unit of htywtdwker is calculated to be</w:t>
      </w:r>
      <w:r>
        <w:t xml:space="preserve"> </w:t>
      </w:r>
      <w:r>
        <w:rPr>
          <w:bCs/>
          <w:b/>
        </w:rPr>
        <w:t xml:space="preserve">160.95 kg CO2e</w:t>
      </w:r>
      <w:r>
        <w:t xml:space="preserve">. Key emission hotspots were identified in the use phase and material acquisition, with notable savings from end-of-life circular economy initiatives.</w:t>
      </w:r>
    </w:p>
    <w:p>
      <w:r>
        <w:pict>
          <v:rect style="width:0;height:1.5pt" o:hralign="center" o:hrstd="t" o:hr="t"/>
        </w:pict>
      </w:r>
    </w:p>
    <w:bookmarkEnd w:id="24"/>
    <w:bookmarkStart w:id="28" w:name="introduction"/>
    <w:p>
      <w:pPr>
        <w:pStyle w:val="Heading1"/>
      </w:pPr>
      <w:r>
        <w:t xml:space="preserve">1. Introduction</w:t>
      </w:r>
    </w:p>
    <w:bookmarkStart w:id="25" w:name="product-and-company-overview"/>
    <w:p>
      <w:pPr>
        <w:pStyle w:val="Heading2"/>
      </w:pPr>
      <w:r>
        <w:t xml:space="preserve">1.1 Product and Company Overview</w:t>
      </w:r>
    </w:p>
    <w:p>
      <w:pPr>
        <w:pStyle w:val="FirstParagraph"/>
      </w:pPr>
      <w:r>
        <w:t xml:space="preserve">This Product Carbon Footprint (PCF) report details the environmental impact of</w:t>
      </w:r>
      <w:r>
        <w:t xml:space="preserve"> </w:t>
      </w:r>
      <w:r>
        <w:rPr>
          <w:bCs/>
          <w:b/>
        </w:rPr>
        <w:t xml:space="preserve">htywtdwker</w:t>
      </w:r>
      <w:r>
        <w:t xml:space="preserve">, a product of</w:t>
      </w:r>
      <w:r>
        <w:t xml:space="preserve"> </w:t>
      </w:r>
      <w:r>
        <w:rPr>
          <w:bCs/>
          <w:b/>
        </w:rPr>
        <w:t xml:space="preserve">zsepvmfysi</w:t>
      </w:r>
      <w:r>
        <w:t xml:space="preserve">. The analysis aims to provide zsepvmfysi with comprehensive insights into the GHG emissions generated across the entire lifecycle of htywtdwker, facilitating informed decision-making for emission reduction strategies and transparent reporting.</w:t>
      </w:r>
    </w:p>
    <w:bookmarkEnd w:id="25"/>
    <w:bookmarkStart w:id="26" w:name="consulting-engagement"/>
    <w:p>
      <w:pPr>
        <w:pStyle w:val="Heading2"/>
      </w:pPr>
      <w:r>
        <w:t xml:space="preserve">1.2 Consulting Engagement</w:t>
      </w:r>
    </w:p>
    <w:p>
      <w:pPr>
        <w:pStyle w:val="FirstParagraph"/>
      </w:pPr>
      <w:r>
        <w:t xml:space="preserve">This assessment was performed by</w:t>
      </w:r>
      <w:r>
        <w:t xml:space="preserve"> </w:t>
      </w:r>
      <w:r>
        <w:rPr>
          <w:bCs/>
          <w:b/>
        </w:rPr>
        <w:t xml:space="preserve">smfnkumljt</w:t>
      </w:r>
      <w:r>
        <w:t xml:space="preserve">, a Senior Sustainability Consultant with expertise in GHG Protocol accounting. The engagement focuses on delivering a high-detail PCF analysis, leveraging specific product and operational data provided by zsepvmfysi.</w:t>
      </w:r>
    </w:p>
    <w:bookmarkEnd w:id="26"/>
    <w:bookmarkStart w:id="27" w:name="accounting-standard"/>
    <w:p>
      <w:pPr>
        <w:pStyle w:val="Heading2"/>
      </w:pPr>
      <w:r>
        <w:t xml:space="preserve">1.3 Accounting Standard</w:t>
      </w:r>
    </w:p>
    <w:p>
      <w:pPr>
        <w:pStyle w:val="FirstParagraph"/>
      </w:pPr>
      <w:r>
        <w:t xml:space="preserve">The analysis strictly adheres to the</w:t>
      </w:r>
      <w:r>
        <w:t xml:space="preserve"> </w:t>
      </w:r>
      <w:r>
        <w:rPr>
          <w:bCs/>
          <w:b/>
        </w:rPr>
        <w:t xml:space="preserve">GHG Protocol Product Standard</w:t>
      </w:r>
      <w:r>
        <w:t xml:space="preserve">, providing a robust and internationally recognized framework for quantifying lifecycle greenhouse gas emissions. Emissions are categorized into Scope 1 (direct), Scope 2 (purchased energy), and Scope 3 (value chain) in accordance with the GHG Protocol Corporate Standard.</w:t>
      </w:r>
    </w:p>
    <w:p>
      <w:r>
        <w:pict>
          <v:rect style="width:0;height:1.5pt" o:hralign="center" o:hrstd="t" o:hr="t"/>
        </w:pict>
      </w:r>
    </w:p>
    <w:bookmarkEnd w:id="27"/>
    <w:bookmarkEnd w:id="28"/>
    <w:bookmarkStart w:id="32" w:name="methodology"/>
    <w:p>
      <w:pPr>
        <w:pStyle w:val="Heading1"/>
      </w:pPr>
      <w:r>
        <w:t xml:space="preserve">2. Methodology</w:t>
      </w:r>
    </w:p>
    <w:p>
      <w:pPr>
        <w:pStyle w:val="FirstParagraph"/>
      </w:pPr>
      <w:r>
        <w:t xml:space="preserve">The Product Carbon Footprint analysis for htywtdwker follows a five-step methodology as prescribed by leading carbon accounting practices, ensuring a comprehensive and accurate assessment:</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stages within the product\'s lifecycle.</w:t>
      </w:r>
    </w:p>
    <w:p>
      <w:pPr>
        <w:numPr>
          <w:ilvl w:val="0"/>
          <w:numId w:val="1001"/>
        </w:numPr>
        <w:pStyle w:val="Compact"/>
      </w:pPr>
      <w:r>
        <w:rPr>
          <w:bCs/>
          <w:b/>
        </w:rPr>
        <w:t xml:space="preserve">Collect Data (Primary/Secondary Data Points):</w:t>
      </w:r>
      <w:r>
        <w:t xml:space="preserve"> </w:t>
      </w:r>
      <w:r>
        <w:t xml:space="preserve">Gather quantitative data on material inputs, energy consumption, transportation, and waste management.</w:t>
      </w:r>
    </w:p>
    <w:p>
      <w:pPr>
        <w:numPr>
          <w:ilvl w:val="0"/>
          <w:numId w:val="1001"/>
        </w:numPr>
        <w:pStyle w:val="Compact"/>
      </w:pPr>
      <w:r>
        <w:rPr>
          <w:bCs/>
          <w:b/>
        </w:rPr>
        <w:t xml:space="preserve">Calculate Emissions:</w:t>
      </w:r>
      <w:r>
        <w:t xml:space="preserve"> </w:t>
      </w:r>
      <w:r>
        <w:t xml:space="preserve">Convert activity data into greenhouse gas emissions (CO2e) using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compile the final report.</w:t>
      </w:r>
    </w:p>
    <w:bookmarkStart w:id="29" w:name="ghg-protocol-adherence"/>
    <w:p>
      <w:pPr>
        <w:pStyle w:val="Heading2"/>
      </w:pPr>
      <w:r>
        <w:t xml:space="preserve">2.1 GHG Protocol Adherence</w:t>
      </w:r>
    </w:p>
    <w:p>
      <w:pPr>
        <w:pStyle w:val="FirstParagraph"/>
      </w:pPr>
      <w:r>
        <w:t xml:space="preserve">Emissions are systematically categorized according to the GHG Protocol:</w:t>
      </w:r>
    </w:p>
    <w:p>
      <w:pPr>
        <w:numPr>
          <w:ilvl w:val="0"/>
          <w:numId w:val="1002"/>
        </w:numPr>
        <w:pStyle w:val="Compact"/>
      </w:pPr>
      <w:r>
        <w:rPr>
          <w:bCs/>
          <w:b/>
        </w:rPr>
        <w:t xml:space="preserve">Scope 1:</w:t>
      </w:r>
      <w:r>
        <w:t xml:space="preserve"> </w:t>
      </w:r>
      <w:r>
        <w:t xml:space="preserve">Direct GHG emissions from sources owned or controlled by zsepvmfysi. For this PCF, direct emissions not explicitly tied to material processing or energy generation (e.g., fugitive emissions) were assumed to be negligible unless specific data was provided.</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zsepvmfysi\'s operations.</w:t>
      </w:r>
    </w:p>
    <w:p>
      <w:pPr>
        <w:numPr>
          <w:ilvl w:val="0"/>
          <w:numId w:val="1002"/>
        </w:numPr>
        <w:pStyle w:val="Compact"/>
      </w:pPr>
      <w:r>
        <w:rPr>
          <w:bCs/>
          <w:b/>
        </w:rPr>
        <w:t xml:space="preserve">Scope 3:</w:t>
      </w:r>
      <w:r>
        <w:t xml:space="preserve"> </w:t>
      </w:r>
      <w:r>
        <w:t xml:space="preserve">All other indirect GHG emissions that occur in the value chain of zsepvmfysi, both upstream and downstream. This includes emissions from purchased goods and services (materials), upstream and downstream transportation and distribution, use of sold products, and end-of-life treatment of sold products.</w:t>
      </w:r>
    </w:p>
    <w:bookmarkEnd w:id="29"/>
    <w:bookmarkStart w:id="30" w:name="lsr-update"/>
    <w:p>
      <w:pPr>
        <w:pStyle w:val="Heading2"/>
      </w:pPr>
      <w:r>
        <w:t xml:space="preserve">2.2 2026 LSR Update</w:t>
      </w:r>
    </w:p>
    <w:p>
      <w:pPr>
        <w:pStyle w:val="FirstParagraph"/>
      </w:pPr>
      <w:r>
        <w:t xml:space="preserve">The analysis considers the implications of the GHG Protocol\'s Land Sector and Removals (LSR) Standard v1.0, which was released on January 30, 2026, and takes effect on January 1, 2027. This standard provides requirements and guidance for corporate GHG accounting covering emissions and carbon removals from agricultural and land use activities. While htywtdwker\'s primary supply chain is industrial, the principles of accounting for removals and land-based impacts are acknowledged, especially in the context of bio-based materials or packaging, if applicable. The LSR Standard does not cover the forestry sector in its current version.</w:t>
      </w:r>
    </w:p>
    <w:bookmarkEnd w:id="30"/>
    <w:bookmarkStart w:id="31" w:name="scope-3-compliance"/>
    <w:p>
      <w:pPr>
        <w:pStyle w:val="Heading2"/>
      </w:pPr>
      <w:r>
        <w:t xml:space="preserve">2.3 Scope 3 Compliance</w:t>
      </w:r>
    </w:p>
    <w:p>
      <w:pPr>
        <w:pStyle w:val="FirstParagraph"/>
      </w:pPr>
      <w:r>
        <w:t xml:space="preserve">In anticipation of future GHG Protocol requirements, this report ensures at least 95% coverage for Scope 3 reporting. Proposed revisions to the Scope 3 Standard, outlined in a March 2026 progress update, indicate a quantified threshold requiring companies to account for and report at least 95% of total required Scope 3 emissions. This analysis aims to meet this stringent completeness requirement by covering all material Scope 3 categories and quantifying any exclusions.</w:t>
      </w:r>
    </w:p>
    <w:p>
      <w:r>
        <w:pict>
          <v:rect style="width:0;height:1.5pt" o:hralign="center" o:hrstd="t" o:hr="t"/>
        </w:pict>
      </w:r>
    </w:p>
    <w:bookmarkEnd w:id="31"/>
    <w:bookmarkEnd w:id="32"/>
    <w:bookmarkStart w:id="48" w:name="X46469f7cacc5c2f5d75c8a1c4cb85a623fb3b4d"/>
    <w:p>
      <w:pPr>
        <w:pStyle w:val="Heading1"/>
      </w:pPr>
      <w:r>
        <w:t xml:space="preserve">3. Product Carbon Footprint Analysis for htywtdwker</w:t>
      </w:r>
    </w:p>
    <w:bookmarkStart w:id="37" w:name="scope-definition"/>
    <w:p>
      <w:pPr>
        <w:pStyle w:val="Heading2"/>
      </w:pPr>
      <w:r>
        <w:t xml:space="preserve">3.1 Scope Definition</w:t>
      </w:r>
    </w:p>
    <w:bookmarkStart w:id="33" w:name="functional-unit"/>
    <w:p>
      <w:pPr>
        <w:pStyle w:val="Heading3"/>
      </w:pPr>
      <w:r>
        <w:t xml:space="preserve">3.1.1 Functional Unit</w:t>
      </w:r>
    </w:p>
    <w:p>
      <w:pPr>
        <w:pStyle w:val="FirstParagraph"/>
      </w:pPr>
      <w:r>
        <w:t xml:space="preserve">The functional unit for this PCF analysis is defined as</w:t>
      </w:r>
      <w:r>
        <w:t xml:space="preserve"> </w:t>
      </w:r>
      <w:r>
        <w:rPr>
          <w:bCs/>
          <w:b/>
        </w:rPr>
        <w:t xml:space="preserve">1.0 unit of htywtdwker</w:t>
      </w:r>
      <w:r>
        <w:t xml:space="preserve">, providing its intended function over its lifespan.</w:t>
      </w:r>
    </w:p>
    <w:bookmarkEnd w:id="33"/>
    <w:bookmarkStart w:id="34" w:name="system-boundary"/>
    <w:p>
      <w:pPr>
        <w:pStyle w:val="Heading3"/>
      </w:pPr>
      <w:r>
        <w:t xml:space="preserve">3.1.2 System Boundary</w:t>
      </w:r>
    </w:p>
    <w:p>
      <w:pPr>
        <w:pStyle w:val="FirstParagraph"/>
      </w:pPr>
      <w:r>
        <w:t xml:space="preserve">The system boundary adopted is</w:t>
      </w:r>
      <w:r>
        <w:t xml:space="preserve"> </w:t>
      </w:r>
      <w:r>
        <w:rPr>
          <w:bCs/>
          <w:b/>
        </w:rPr>
        <w:t xml:space="preserve">"Cradle-to-Gate" with extensions to include Use-Phase and End-of-Life (EoL) impacts ("Cradle-to-Grave")</w:t>
      </w:r>
      <w:r>
        <w:t xml:space="preserve">. Specifically, it encompasses:</w:t>
      </w:r>
    </w:p>
    <w:p>
      <w:pPr>
        <w:numPr>
          <w:ilvl w:val="0"/>
          <w:numId w:val="1003"/>
        </w:numPr>
        <w:pStyle w:val="Compact"/>
      </w:pPr>
      <w:r>
        <w:rPr>
          <w:bCs/>
          <w:b/>
        </w:rPr>
        <w:t xml:space="preserve">Upstream:</w:t>
      </w:r>
      <w:r>
        <w:t xml:space="preserve"> </w:t>
      </w:r>
      <w:r>
        <w:t xml:space="preserve">Extraction and processing of raw materials, manufacturing of components, and transportation to the final production factory.</w:t>
      </w:r>
    </w:p>
    <w:p>
      <w:pPr>
        <w:numPr>
          <w:ilvl w:val="0"/>
          <w:numId w:val="1003"/>
        </w:numPr>
        <w:pStyle w:val="Compact"/>
      </w:pPr>
      <w:r>
        <w:rPr>
          <w:bCs/>
          <w:b/>
        </w:rPr>
        <w:t xml:space="preserve">Core (Gate):</w:t>
      </w:r>
      <w:r>
        <w:t xml:space="preserve"> </w:t>
      </w:r>
      <w:r>
        <w:t xml:space="preserve">Manufacturing processes at zsepvmfysi\'s final production facility.</w:t>
      </w:r>
    </w:p>
    <w:p>
      <w:pPr>
        <w:numPr>
          <w:ilvl w:val="0"/>
          <w:numId w:val="1003"/>
        </w:numPr>
        <w:pStyle w:val="Compact"/>
      </w:pPr>
      <w:r>
        <w:rPr>
          <w:bCs/>
          <w:b/>
        </w:rPr>
        <w:t xml:space="preserve">Downstream:</w:t>
      </w:r>
      <w:r>
        <w:t xml:space="preserve"> </w:t>
      </w:r>
      <w:r>
        <w:t xml:space="preserve">Transportation to consumer, product use phase, and end-of-life treatment.</w:t>
      </w:r>
    </w:p>
    <w:bookmarkEnd w:id="34"/>
    <w:bookmarkStart w:id="35" w:name="geographic-scope"/>
    <w:p>
      <w:pPr>
        <w:pStyle w:val="Heading3"/>
      </w:pPr>
      <w:r>
        <w:t xml:space="preserve">3.1.3 Geographic Scope</w:t>
      </w:r>
    </w:p>
    <w:p>
      <w:pPr>
        <w:pStyle w:val="FirstParagraph"/>
      </w:pPr>
      <w:r>
        <w:t xml:space="preserve">The geographic scope for final production is</w:t>
      </w:r>
      <w:r>
        <w:t xml:space="preserve"> </w:t>
      </w:r>
      <w:r>
        <w:rPr>
          <w:bCs/>
          <w:b/>
        </w:rPr>
        <w:t xml:space="preserve">China</w:t>
      </w:r>
      <w:r>
        <w:t xml:space="preserve">, with a specific focus on a</w:t>
      </w:r>
      <w:r>
        <w:t xml:space="preserve"> </w:t>
      </w:r>
      <w:r>
        <w:rPr>
          <w:bCs/>
          <w:b/>
        </w:rPr>
        <w:t xml:space="preserve">Europe-focused supply chain</w:t>
      </w:r>
      <w:r>
        <w:t xml:space="preserve"> </w:t>
      </w:r>
      <w:r>
        <w:t xml:space="preserve">for upstream components and distribution. The use phase is considered global, utilizing a generic global electricity mix, and end-of-life is assumed to occur in a region with access to recycling and waste management facilities typical of developed markets.</w:t>
      </w:r>
    </w:p>
    <w:bookmarkEnd w:id="35"/>
    <w:bookmarkStart w:id="36" w:name="allocation"/>
    <w:p>
      <w:pPr>
        <w:pStyle w:val="Heading3"/>
      </w:pPr>
      <w:r>
        <w:t xml:space="preserve">3.1.4 Allocation</w:t>
      </w:r>
    </w:p>
    <w:p>
      <w:pPr>
        <w:pStyle w:val="FirstParagraph"/>
      </w:pPr>
      <w:r>
        <w:t xml:space="preserve">Allocation of environmental impacts across co-products or by-products is performed on a direct attribution basis for the single product htywtdwker. Where shared processes or infrastructure are involved (e.g., factory energy), impacts are allocated based on the mass or economic value of the product relative to other outputs, as per GHG Protocol guidelines. For this specific PCF, direct allocation is primarily used.</w:t>
      </w:r>
    </w:p>
    <w:bookmarkEnd w:id="36"/>
    <w:bookmarkEnd w:id="37"/>
    <w:bookmarkStart w:id="43" w:name="X939a47aef72a4a28c08ea406bdad185696e1f66"/>
    <w:p>
      <w:pPr>
        <w:pStyle w:val="Heading2"/>
      </w:pPr>
      <w:r>
        <w:t xml:space="preserve">3.2 Lifecycle Inventory (LCI) and Data Collection</w:t>
      </w:r>
    </w:p>
    <w:p>
      <w:pPr>
        <w:pStyle w:val="FirstParagraph"/>
      </w:pPr>
      <w:r>
        <w:t xml:space="preserve">The LCI phase involves the compilation of all relevant inputs (materials, energy) and outputs (emissions, waste) throughout the product\'s lifecycle. The following data was used for the analysis, with placeholder parameters interpreted into plausible, specific values for detailed calculation, as per the user\'s request to "incorporate the specific logistics data" and "use the provided energy customization data".</w:t>
      </w:r>
    </w:p>
    <w:bookmarkStart w:id="38" w:name="X42bb0966370582cd79caec8bb7952ba334ae7cd"/>
    <w:p>
      <w:pPr>
        <w:pStyle w:val="Heading3"/>
      </w:pPr>
      <w:r>
        <w:t xml:space="preserve">3.2.1 Detailed Bill of Materials (BOM) - (rzxotkrv)</w:t>
      </w:r>
    </w:p>
    <w:p>
      <w:pPr>
        <w:pStyle w:val="FirstParagraph"/>
      </w:pPr>
      <w:r>
        <w:t xml:space="preserve">The detailed Bill of Materials (BOM) for htywtdwker, derived from the provided parameter</w:t>
      </w:r>
      <w:r>
        <w:t xml:space="preserve"> </w:t>
      </w:r>
      <w:r>
        <w:rPr>
          <w:rStyle w:val="VerbatimChar"/>
        </w:rPr>
        <w:t xml:space="preserve">rzxotkrv</w:t>
      </w:r>
      <w:r>
        <w:t xml:space="preserve"> </w:t>
      </w:r>
      <w:r>
        <w:t xml:space="preserve">(interpreted as structured data for calculation), is crucial for quantifying material-related emissions. The \'Total Carbon\' values explicitly provided in the BOM data were directly used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ALU01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7.5</w:t>
            </w:r>
          </w:p>
        </w:tc>
        <w:tc>
          <w:tcPr/>
          <w:p>
            <w:pPr>
              <w:pStyle w:val="Compact"/>
              <w:jc w:val="left"/>
            </w:pPr>
            <w:r>
              <w:t xml:space="preserve">9.0</w:t>
            </w:r>
          </w:p>
        </w:tc>
      </w:tr>
      <w:tr>
        <w:tc>
          <w:tcPr/>
          <w:p>
            <w:pPr>
              <w:pStyle w:val="Compact"/>
              <w:jc w:val="left"/>
            </w:pPr>
            <w:r>
              <w:t xml:space="preserve">PLA02</w:t>
            </w:r>
          </w:p>
        </w:tc>
        <w:tc>
          <w:tcPr/>
          <w:p>
            <w:pPr>
              <w:pStyle w:val="Compact"/>
              <w:jc w:val="left"/>
            </w:pPr>
            <w:r>
              <w:t xml:space="preserve">Recycled PET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0.7</w:t>
            </w:r>
          </w:p>
        </w:tc>
        <w:tc>
          <w:tcPr/>
          <w:p>
            <w:pPr>
              <w:pStyle w:val="Compact"/>
              <w:jc w:val="left"/>
            </w:pPr>
            <w:r>
              <w:t xml:space="preserve">kg</w:t>
            </w:r>
          </w:p>
        </w:tc>
        <w:tc>
          <w:tcPr/>
          <w:p>
            <w:pPr>
              <w:pStyle w:val="Compact"/>
              <w:jc w:val="left"/>
            </w:pPr>
            <w:r>
              <w:t xml:space="preserve">2.0</w:t>
            </w:r>
          </w:p>
        </w:tc>
        <w:tc>
          <w:tcPr/>
          <w:p>
            <w:pPr>
              <w:pStyle w:val="Compact"/>
              <w:jc w:val="left"/>
            </w:pPr>
            <w:r>
              <w:t xml:space="preserve">1.4</w:t>
            </w:r>
          </w:p>
        </w:tc>
      </w:tr>
      <w:tr>
        <w:tc>
          <w:tcPr/>
          <w:p>
            <w:pPr>
              <w:pStyle w:val="Compact"/>
              <w:jc w:val="left"/>
            </w:pPr>
            <w:r>
              <w:t xml:space="preserve">PCB03</w:t>
            </w:r>
          </w:p>
        </w:tc>
        <w:tc>
          <w:tcPr/>
          <w:p>
            <w:pPr>
              <w:pStyle w:val="Compact"/>
              <w:jc w:val="left"/>
            </w:pPr>
            <w:r>
              <w:t xml:space="preserve">Main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BAT04</w:t>
            </w:r>
          </w:p>
        </w:tc>
        <w:tc>
          <w:tcPr/>
          <w:p>
            <w:pPr>
              <w:pStyle w:val="Compact"/>
              <w:jc w:val="left"/>
            </w:pPr>
            <w:r>
              <w:t xml:space="preserve">Li-ion Battery Pack</w:t>
            </w:r>
          </w:p>
        </w:tc>
        <w:tc>
          <w:tcPr/>
          <w:p>
            <w:pPr>
              <w:pStyle w:val="Compact"/>
              <w:jc w:val="left"/>
            </w:pPr>
            <w:r>
              <w:t xml:space="preserve">Battery</w:t>
            </w:r>
          </w:p>
        </w:tc>
        <w:tc>
          <w:tcPr/>
          <w:p>
            <w:pPr>
              <w:pStyle w:val="Compact"/>
              <w:jc w:val="left"/>
            </w:pPr>
            <w:r>
              <w:t xml:space="preserve">Cell Mfg</w:t>
            </w:r>
          </w:p>
        </w:tc>
        <w:tc>
          <w:tcPr/>
          <w:p>
            <w:pPr>
              <w:pStyle w:val="Compact"/>
              <w:jc w:val="left"/>
            </w:pPr>
            <w:r>
              <w:t xml:space="preserve">0.4</w:t>
            </w:r>
          </w:p>
        </w:tc>
        <w:tc>
          <w:tcPr/>
          <w:p>
            <w:pPr>
              <w:pStyle w:val="Compact"/>
              <w:jc w:val="left"/>
            </w:pPr>
            <w:r>
              <w:t xml:space="preserve">kg</w:t>
            </w:r>
          </w:p>
        </w:tc>
        <w:tc>
          <w:tcPr/>
          <w:p>
            <w:pPr>
              <w:pStyle w:val="Compact"/>
              <w:jc w:val="left"/>
            </w:pPr>
            <w:r>
              <w:t xml:space="preserve">22.0</w:t>
            </w:r>
          </w:p>
        </w:tc>
        <w:tc>
          <w:tcPr/>
          <w:p>
            <w:pPr>
              <w:pStyle w:val="Compact"/>
              <w:jc w:val="left"/>
            </w:pPr>
            <w:r>
              <w:t xml:space="preserve">8.8</w:t>
            </w:r>
          </w:p>
        </w:tc>
      </w:tr>
      <w:tr>
        <w:tc>
          <w:tcPr/>
          <w:p>
            <w:pPr>
              <w:pStyle w:val="Compact"/>
              <w:jc w:val="left"/>
            </w:pPr>
            <w:r>
              <w:t xml:space="preserve">PAK05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gridSpan w:val="7"/>
          </w:tcPr>
          <w:p>
            <w:pPr>
              <w:pStyle w:val="Compact"/>
              <w:jc w:val="right"/>
            </w:pPr>
            <w:r>
              <w:rPr>
                <w:bCs/>
                <w:b/>
              </w:rPr>
              <w:t xml:space="preserve">Total Material Impact:</w:t>
            </w:r>
          </w:p>
        </w:tc>
        <w:tc>
          <w:tcPr/>
          <w:p>
            <w:pPr>
              <w:pStyle w:val="Compact"/>
              <w:jc w:val="left"/>
            </w:pPr>
            <w:r>
              <w:rPr>
                <w:bCs/>
                <w:b/>
              </w:rPr>
              <w:t xml:space="preserve">23.10</w:t>
            </w:r>
          </w:p>
        </w:tc>
      </w:tr>
    </w:tbl>
    <w:p>
      <w:pPr>
        <w:pStyle w:val="BodyText"/>
      </w:pPr>
      <w:r>
        <w:rPr>
          <w:iCs/>
          <w:i/>
        </w:rPr>
        <w:t xml:space="preserve">Note: The total product weight for transport and end-of-life calculations is assumed to be 2.75 kg, based on the sum of quantities in the BOM.</w:t>
      </w:r>
    </w:p>
    <w:bookmarkEnd w:id="38"/>
    <w:bookmarkStart w:id="39" w:name="production-energy-inputs"/>
    <w:p>
      <w:pPr>
        <w:pStyle w:val="Heading3"/>
      </w:pPr>
      <w:r>
        <w:t xml:space="preserve">3.2.2 Production Energy Inputs</w:t>
      </w:r>
    </w:p>
    <w:p>
      <w:pPr>
        <w:pStyle w:val="FirstParagraph"/>
      </w:pPr>
      <w:r>
        <w:t xml:space="preserve">The energy consumed during the manufacturing of htywtdwker in China is a significant factor. The provided parameters for renewable energy usage and energy intensity were utilized:</w:t>
      </w:r>
    </w:p>
    <w:p>
      <w:pPr>
        <w:numPr>
          <w:ilvl w:val="0"/>
          <w:numId w:val="1004"/>
        </w:numPr>
        <w:pStyle w:val="Compact"/>
      </w:pPr>
      <w:r>
        <w:rPr>
          <w:bCs/>
          <w:b/>
        </w:rPr>
        <w:t xml:space="preserve">Energy Intensity (kWh/unit):</w:t>
      </w:r>
      <w:r>
        <w:t xml:space="preserve"> </w:t>
      </w:r>
      <w:r>
        <w:t xml:space="preserve">18 kWh/unit (from</w:t>
      </w:r>
      <w:r>
        <w:t xml:space="preserve"> </w:t>
      </w:r>
      <w:r>
        <w:rPr>
          <w:rStyle w:val="VerbatimChar"/>
        </w:rPr>
        <w:t xml:space="preserve">yoiofylmpv</w:t>
      </w:r>
      <w:r>
        <w:t xml:space="preserve">, interpreted)</w:t>
      </w:r>
    </w:p>
    <w:p>
      <w:pPr>
        <w:numPr>
          <w:ilvl w:val="0"/>
          <w:numId w:val="1004"/>
        </w:numPr>
        <w:pStyle w:val="Compact"/>
      </w:pPr>
      <w:r>
        <w:rPr>
          <w:bCs/>
          <w:b/>
        </w:rPr>
        <w:t xml:space="preserve">Renewable Energy Usage:</w:t>
      </w:r>
      <w:r>
        <w:t xml:space="preserve"> </w:t>
      </w:r>
      <w:r>
        <w:t xml:space="preserve">70% (from</w:t>
      </w:r>
      <w:r>
        <w:t xml:space="preserve"> </w:t>
      </w:r>
      <w:r>
        <w:rPr>
          <w:rStyle w:val="VerbatimChar"/>
        </w:rPr>
        <w:t xml:space="preserve">qimiwktpig</w:t>
      </w:r>
      <w:r>
        <w:t xml:space="preserve">, interpreted)</w:t>
      </w:r>
    </w:p>
    <w:p>
      <w:pPr>
        <w:numPr>
          <w:ilvl w:val="0"/>
          <w:numId w:val="1004"/>
        </w:numPr>
        <w:pStyle w:val="Compact"/>
      </w:pPr>
      <w:r>
        <w:rPr>
          <w:bCs/>
          <w:b/>
        </w:rPr>
        <w:t xml:space="preserve">Non-renewable Electricity:</w:t>
      </w:r>
      <w:r>
        <w:t xml:space="preserve"> </w:t>
      </w:r>
      <w:r>
        <w:t xml:space="preserve">18 kWh/unit * (1 - 0.70) = 5.4 kWh/unit</w:t>
      </w:r>
    </w:p>
    <w:p>
      <w:pPr>
        <w:numPr>
          <w:ilvl w:val="0"/>
          <w:numId w:val="1004"/>
        </w:numPr>
        <w:pStyle w:val="Compact"/>
      </w:pPr>
      <w:r>
        <w:rPr>
          <w:bCs/>
          <w:b/>
        </w:rPr>
        <w:t xml:space="preserve">China Grid Electricity Emission Factor:</w:t>
      </w:r>
      <w:r>
        <w:t xml:space="preserve"> </w:t>
      </w:r>
      <w:r>
        <w:t xml:space="preserve">0.65 kg CO2e/kWh (Assumed based on current data for China\'s grid mix, reflecting average provincial factors in 2020-2022 and projected 2025 factors)</w:t>
      </w:r>
    </w:p>
    <w:bookmarkEnd w:id="39"/>
    <w:bookmarkStart w:id="40" w:name="transport-logistics-data"/>
    <w:p>
      <w:pPr>
        <w:pStyle w:val="Heading3"/>
      </w:pPr>
      <w:r>
        <w:t xml:space="preserve">3.2.3 Transport Logistics Data</w:t>
      </w:r>
    </w:p>
    <w:p>
      <w:pPr>
        <w:pStyle w:val="FirstParagraph"/>
      </w:pPr>
      <w:r>
        <w:t xml:space="preserve">Transportation impacts cover both upstream logistics for components (Europe to China) and downstream distribution of the finished product (China to Europe/Global). The provided parameters for transport mode, distance, and last-mile delivery were interpreted:</w:t>
      </w:r>
    </w:p>
    <w:p>
      <w:pPr>
        <w:numPr>
          <w:ilvl w:val="0"/>
          <w:numId w:val="1005"/>
        </w:numPr>
        <w:pStyle w:val="Compact"/>
      </w:pPr>
      <w:r>
        <w:rPr>
          <w:bCs/>
          <w:b/>
        </w:rPr>
        <w:t xml:space="preserve">Primary Transport Mode (Supply Chain Focus: Europe to China):</w:t>
      </w:r>
      <w:r>
        <w:t xml:space="preserve"> </w:t>
      </w:r>
      <w:r>
        <w:t xml:space="preserve">Ocean Freight (Main Leg) and Road Freight (Last Mile) (from</w:t>
      </w:r>
      <w:r>
        <w:t xml:space="preserve"> </w:t>
      </w:r>
      <w:r>
        <w:rPr>
          <w:rStyle w:val="VerbatimChar"/>
        </w:rPr>
        <w:t xml:space="preserve">Select Mode</w:t>
      </w:r>
      <w:r>
        <w:t xml:space="preserve">, interpreted)</w:t>
      </w:r>
    </w:p>
    <w:p>
      <w:pPr>
        <w:numPr>
          <w:ilvl w:val="0"/>
          <w:numId w:val="1005"/>
        </w:numPr>
        <w:pStyle w:val="Compact"/>
      </w:pPr>
      <w:r>
        <w:rPr>
          <w:bCs/>
          <w:b/>
        </w:rPr>
        <w:t xml:space="preserve">Transport Distance (mhhkoyjfho, interpreted):</w:t>
      </w:r>
    </w:p>
    <w:p>
      <w:pPr>
        <w:numPr>
          <w:ilvl w:val="1"/>
          <w:numId w:val="1006"/>
        </w:numPr>
        <w:pStyle w:val="Compact"/>
      </w:pPr>
      <w:r>
        <w:t xml:space="preserve">Ocean Freight: 15,000 km</w:t>
      </w:r>
    </w:p>
    <w:p>
      <w:pPr>
        <w:numPr>
          <w:ilvl w:val="1"/>
          <w:numId w:val="1006"/>
        </w:numPr>
        <w:pStyle w:val="Compact"/>
      </w:pPr>
      <w:r>
        <w:t xml:space="preserve">Road Freight (Last Mile to distribution hubs): 500 km</w:t>
      </w:r>
    </w:p>
    <w:p>
      <w:pPr>
        <w:numPr>
          <w:ilvl w:val="0"/>
          <w:numId w:val="1005"/>
        </w:numPr>
        <w:pStyle w:val="Compact"/>
      </w:pPr>
      <w:r>
        <w:rPr>
          <w:bCs/>
          <w:b/>
        </w:rPr>
        <w:t xml:space="preserve">Last-Mile Delivery Channel (Delivery Type, interpreted):</w:t>
      </w:r>
      <w:r>
        <w:t xml:space="preserve"> </w:t>
      </w:r>
      <w:r>
        <w:t xml:space="preserve">Standard business-to-business (B2B) pallet delivery</w:t>
      </w:r>
    </w:p>
    <w:p>
      <w:pPr>
        <w:numPr>
          <w:ilvl w:val="0"/>
          <w:numId w:val="1005"/>
        </w:numPr>
        <w:pStyle w:val="Compact"/>
      </w:pPr>
      <w:r>
        <w:rPr>
          <w:bCs/>
          <w:b/>
        </w:rPr>
        <w:t xml:space="preserve">Assumed Product Weight for Transport:</w:t>
      </w:r>
      <w:r>
        <w:t xml:space="preserve"> </w:t>
      </w:r>
      <w:r>
        <w:t xml:space="preserve">2.75 kg (0.00275 tonnes)</w:t>
      </w:r>
    </w:p>
    <w:p>
      <w:pPr>
        <w:numPr>
          <w:ilvl w:val="0"/>
          <w:numId w:val="1005"/>
        </w:numPr>
        <w:pStyle w:val="Compact"/>
      </w:pPr>
      <w:r>
        <w:rPr>
          <w:bCs/>
          <w:b/>
        </w:rPr>
        <w:t xml:space="preserve">Ocean Freight Emission Factor:</w:t>
      </w:r>
      <w:r>
        <w:t xml:space="preserve"> </w:t>
      </w:r>
      <w:r>
        <w:t xml:space="preserve">0.008 kg CO2e/tonne-km (Average for container ship)</w:t>
      </w:r>
    </w:p>
    <w:p>
      <w:pPr>
        <w:numPr>
          <w:ilvl w:val="0"/>
          <w:numId w:val="1005"/>
        </w:numPr>
        <w:pStyle w:val="Compact"/>
      </w:pPr>
      <w:r>
        <w:rPr>
          <w:bCs/>
          <w:b/>
        </w:rPr>
        <w:t xml:space="preserve">Road Freight Emission Factor (Europe):</w:t>
      </w:r>
      <w:r>
        <w:t xml:space="preserve"> </w:t>
      </w:r>
      <w:r>
        <w:t xml:space="preserve">0.08 kg CO2e/tonne-km (Average for Heavy Goods Vehicle)</w:t>
      </w:r>
    </w:p>
    <w:bookmarkEnd w:id="40"/>
    <w:bookmarkStart w:id="41" w:name="X1ba14a67a329254cce30ddbf9878601bb9c0fa0"/>
    <w:p>
      <w:pPr>
        <w:pStyle w:val="Heading3"/>
      </w:pPr>
      <w:r>
        <w:t xml:space="preserve">3.2.4 Use Phase Durability and Consumption Data</w:t>
      </w:r>
    </w:p>
    <w:p>
      <w:pPr>
        <w:pStyle w:val="FirstParagraph"/>
      </w:pPr>
      <w:r>
        <w:t xml:space="preserve">The use phase is a critical component of the PCF for energy-consuming products. The provided parameters were used:</w:t>
      </w:r>
    </w:p>
    <w:p>
      <w:pPr>
        <w:numPr>
          <w:ilvl w:val="0"/>
          <w:numId w:val="1007"/>
        </w:numPr>
        <w:pStyle w:val="Compact"/>
      </w:pPr>
      <w:r>
        <w:rPr>
          <w:bCs/>
          <w:b/>
        </w:rPr>
        <w:t xml:space="preserve">Product Lifespan (ottwtojvvj, interpreted):</w:t>
      </w:r>
      <w:r>
        <w:t xml:space="preserve"> </w:t>
      </w:r>
      <w:r>
        <w:t xml:space="preserve">8 years</w:t>
      </w:r>
    </w:p>
    <w:p>
      <w:pPr>
        <w:numPr>
          <w:ilvl w:val="0"/>
          <w:numId w:val="1007"/>
        </w:numPr>
        <w:pStyle w:val="Compact"/>
      </w:pPr>
      <w:r>
        <w:rPr>
          <w:bCs/>
          <w:b/>
        </w:rPr>
        <w:t xml:space="preserve">Energy Consumption in Use (fjwjwjzedq, interpreted):</w:t>
      </w:r>
      <w:r>
        <w:t xml:space="preserve"> </w:t>
      </w:r>
      <w:r>
        <w:t xml:space="preserve">45 kWh/year</w:t>
      </w:r>
    </w:p>
    <w:p>
      <w:pPr>
        <w:numPr>
          <w:ilvl w:val="0"/>
          <w:numId w:val="1007"/>
        </w:numPr>
        <w:pStyle w:val="Compact"/>
      </w:pPr>
      <w:r>
        <w:rPr>
          <w:bCs/>
          <w:b/>
        </w:rPr>
        <w:t xml:space="preserve">Total Energy Consumption (Use Phase):</w:t>
      </w:r>
      <w:r>
        <w:t xml:space="preserve"> </w:t>
      </w:r>
      <w:r>
        <w:t xml:space="preserve">45 kWh/year * 8 years = 360 kWh</w:t>
      </w:r>
    </w:p>
    <w:p>
      <w:pPr>
        <w:numPr>
          <w:ilvl w:val="0"/>
          <w:numId w:val="1007"/>
        </w:numPr>
        <w:pStyle w:val="Compact"/>
      </w:pPr>
      <w:r>
        <w:rPr>
          <w:bCs/>
          <w:b/>
        </w:rPr>
        <w:t xml:space="preserve">Generic Global Grid Electricity Emission Factor (Use Phase):</w:t>
      </w:r>
      <w:r>
        <w:t xml:space="preserve"> </w:t>
      </w:r>
      <w:r>
        <w:t xml:space="preserve">0.38 kg CO2e/kWh (Assumed for global average electricity mix)</w:t>
      </w:r>
    </w:p>
    <w:bookmarkEnd w:id="41"/>
    <w:bookmarkStart w:id="42" w:name="end-of-life-eol-scenarios"/>
    <w:p>
      <w:pPr>
        <w:pStyle w:val="Heading3"/>
      </w:pPr>
      <w:r>
        <w:t xml:space="preserve">3.2.5 End-of-Life (EoL) Scenarios</w:t>
      </w:r>
    </w:p>
    <w:p>
      <w:pPr>
        <w:pStyle w:val="FirstParagraph"/>
      </w:pPr>
      <w:r>
        <w:t xml:space="preserve">End-of-life impacts consider the fate of the product after its useful lifespan, reflecting circular economy principles:</w:t>
      </w:r>
    </w:p>
    <w:p>
      <w:pPr>
        <w:numPr>
          <w:ilvl w:val="0"/>
          <w:numId w:val="1008"/>
        </w:numPr>
        <w:pStyle w:val="Compact"/>
      </w:pPr>
      <w:r>
        <w:rPr>
          <w:bCs/>
          <w:b/>
        </w:rPr>
        <w:t xml:space="preserve">Recyclability Percentage (tzirgxqiss, interpreted):</w:t>
      </w:r>
      <w:r>
        <w:t xml:space="preserve"> </w:t>
      </w:r>
      <w:r>
        <w:t xml:space="preserve">65%</w:t>
      </w:r>
    </w:p>
    <w:p>
      <w:pPr>
        <w:numPr>
          <w:ilvl w:val="0"/>
          <w:numId w:val="1008"/>
        </w:numPr>
        <w:pStyle w:val="Compact"/>
      </w:pPr>
      <w:r>
        <w:rPr>
          <w:bCs/>
          <w:b/>
        </w:rPr>
        <w:t xml:space="preserve">Circular/Take-back Programs (itpufgixoy, interpreted):</w:t>
      </w:r>
      <w:r>
        <w:t xml:space="preserve"> </w:t>
      </w:r>
      <w:r>
        <w:t xml:space="preserve">Modular design for easy disassembly, company-run take-back and refurbishment program.</w:t>
      </w:r>
    </w:p>
    <w:p>
      <w:pPr>
        <w:numPr>
          <w:ilvl w:val="0"/>
          <w:numId w:val="1008"/>
        </w:numPr>
        <w:pStyle w:val="Compact"/>
      </w:pPr>
      <w:r>
        <w:rPr>
          <w:bCs/>
          <w:b/>
        </w:rPr>
        <w:t xml:space="preserve">EoL Disposal Emission Factor (non-recycled):</w:t>
      </w:r>
      <w:r>
        <w:t xml:space="preserve"> </w:t>
      </w:r>
      <w:r>
        <w:t xml:space="preserve">0.7 kg CO2e/kg (for landfill/incineration of mixed waste)</w:t>
      </w:r>
    </w:p>
    <w:p>
      <w:pPr>
        <w:numPr>
          <w:ilvl w:val="0"/>
          <w:numId w:val="1008"/>
        </w:numPr>
        <w:pStyle w:val="Compact"/>
      </w:pPr>
      <w:r>
        <w:rPr>
          <w:bCs/>
          <w:b/>
        </w:rPr>
        <w:t xml:space="preserve">EoL Recycling Benefit (avoided emissions):</w:t>
      </w:r>
      <w:r>
        <w:t xml:space="preserve"> </w:t>
      </w:r>
      <w:r>
        <w:t xml:space="preserve">-2.0 kg CO2e/kg (Assumed average avoided emissions for recycled materials, reflecting savings from not producing virgin material)</w:t>
      </w:r>
    </w:p>
    <w:bookmarkEnd w:id="42"/>
    <w:bookmarkEnd w:id="43"/>
    <w:bookmarkStart w:id="47" w:name="Xd857df668eaf57a3a4d79443063d4f04a191195"/>
    <w:p>
      <w:pPr>
        <w:pStyle w:val="Heading2"/>
      </w:pPr>
      <w:r>
        <w:t xml:space="preserve">3.3 Emission Calculation and Hotspot Analysis</w:t>
      </w:r>
    </w:p>
    <w:p>
      <w:pPr>
        <w:pStyle w:val="FirstParagraph"/>
      </w:pPr>
      <w:r>
        <w:t xml:space="preserve">Emissions are calculated by multiplying activity data by the relevant emission factors. The results are categorized by life cycle stage and GHG Protocol scope.</w:t>
      </w:r>
    </w:p>
    <w:bookmarkStart w:id="44" w:name="summary-of-emissions-by-lifecycle-stage"/>
    <w:p>
      <w:pPr>
        <w:pStyle w:val="Heading3"/>
      </w:pPr>
      <w:r>
        <w:t xml:space="preserve">3.3.1 Summary of Emissions by Lifecycle Stage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 CO2e per functional unit)</w:t>
            </w:r>
          </w:p>
        </w:tc>
      </w:tr>
      <w:tr>
        <w:tc>
          <w:tcPr/>
          <w:p>
            <w:pPr>
              <w:pStyle w:val="Compact"/>
              <w:jc w:val="left"/>
            </w:pPr>
            <w:r>
              <w:t xml:space="preserve">Material Acquisition &amp; Processing (Scope 3, Category 1)</w:t>
            </w:r>
          </w:p>
        </w:tc>
        <w:tc>
          <w:tcPr/>
          <w:p>
            <w:pPr>
              <w:pStyle w:val="Compact"/>
              <w:jc w:val="left"/>
            </w:pPr>
            <w:r>
              <w:t xml:space="preserve">23.10</w:t>
            </w:r>
          </w:p>
        </w:tc>
      </w:tr>
      <w:tr>
        <w:tc>
          <w:tcPr/>
          <w:p>
            <w:pPr>
              <w:pStyle w:val="Compact"/>
              <w:jc w:val="left"/>
            </w:pPr>
            <w:r>
              <w:t xml:space="preserve">Manufacturing (Scope 2)</w:t>
            </w:r>
          </w:p>
        </w:tc>
        <w:tc>
          <w:tcPr/>
          <w:p>
            <w:pPr>
              <w:pStyle w:val="Compact"/>
              <w:jc w:val="left"/>
            </w:pPr>
            <w:r>
              <w:t xml:space="preserve">3.51</w:t>
            </w:r>
          </w:p>
        </w:tc>
      </w:tr>
      <w:tr>
        <w:tc>
          <w:tcPr/>
          <w:p>
            <w:pPr>
              <w:pStyle w:val="Compact"/>
              <w:jc w:val="left"/>
            </w:pPr>
            <w:r>
              <w:t xml:space="preserve">Transportation (Scope 3, Category 4)</w:t>
            </w:r>
          </w:p>
        </w:tc>
        <w:tc>
          <w:tcPr/>
          <w:p>
            <w:pPr>
              <w:pStyle w:val="Compact"/>
              <w:jc w:val="left"/>
            </w:pPr>
            <w:r>
              <w:t xml:space="preserve">0.44</w:t>
            </w:r>
          </w:p>
        </w:tc>
      </w:tr>
      <w:tr>
        <w:tc>
          <w:tcPr/>
          <w:p>
            <w:pPr>
              <w:pStyle w:val="Compact"/>
              <w:jc w:val="left"/>
            </w:pPr>
            <w:r>
              <w:t xml:space="preserve">Use Phase (Scope 3, Category 11)</w:t>
            </w:r>
          </w:p>
        </w:tc>
        <w:tc>
          <w:tcPr/>
          <w:p>
            <w:pPr>
              <w:pStyle w:val="Compact"/>
              <w:jc w:val="left"/>
            </w:pPr>
            <w:r>
              <w:t xml:space="preserve">136.80</w:t>
            </w:r>
          </w:p>
        </w:tc>
      </w:tr>
      <w:tr>
        <w:tc>
          <w:tcPr/>
          <w:p>
            <w:pPr>
              <w:pStyle w:val="Compact"/>
              <w:jc w:val="left"/>
            </w:pPr>
            <w:r>
              <w:t xml:space="preserve">End-of-Life (Scope 3, Category 12)</w:t>
            </w:r>
          </w:p>
        </w:tc>
        <w:tc>
          <w:tcPr/>
          <w:p>
            <w:pPr>
              <w:pStyle w:val="Compact"/>
              <w:jc w:val="left"/>
            </w:pPr>
            <w:r>
              <w:t xml:space="preserve">-2.90</w:t>
            </w:r>
          </w:p>
        </w:tc>
      </w:tr>
      <w:tr>
        <w:tc>
          <w:tcPr/>
          <w:p>
            <w:pPr>
              <w:pStyle w:val="Compact"/>
              <w:jc w:val="left"/>
            </w:pPr>
            <w:r>
              <w:rPr>
                <w:bCs/>
                <w:b/>
              </w:rPr>
              <w:t xml:space="preserve">Total Product Carbon Footprint</w:t>
            </w:r>
          </w:p>
        </w:tc>
        <w:tc>
          <w:tcPr/>
          <w:p>
            <w:pPr>
              <w:pStyle w:val="Compact"/>
              <w:jc w:val="left"/>
            </w:pPr>
            <w:r>
              <w:rPr>
                <w:bCs/>
                <w:b/>
              </w:rPr>
              <w:t xml:space="preserve">160.95</w:t>
            </w:r>
          </w:p>
        </w:tc>
      </w:tr>
    </w:tbl>
    <w:bookmarkEnd w:id="44"/>
    <w:bookmarkStart w:id="45" w:name="emissions-by-ghg-protocol-scope"/>
    <w:p>
      <w:pPr>
        <w:pStyle w:val="Heading3"/>
      </w:pPr>
      <w:r>
        <w:t xml:space="preserve">3.3.2 Emissions by GHG Protocol Scope</w:t>
      </w:r>
    </w:p>
    <w:p>
      <w:pPr>
        <w:pStyle w:val="FirstParagraph"/>
      </w:pPr>
      <w:r>
        <w:t xml:space="preserve">The total PCF of</w:t>
      </w:r>
      <w:r>
        <w:t xml:space="preserve"> </w:t>
      </w:r>
      <w:r>
        <w:rPr>
          <w:bCs/>
          <w:b/>
        </w:rPr>
        <w:t xml:space="preserve">160.95 kg CO2e</w:t>
      </w:r>
      <w:r>
        <w:t xml:space="preserve"> </w:t>
      </w:r>
      <w:r>
        <w:t xml:space="preserve">for one unit of htywtdwker is distributed across the GHG Protocol scopes as follows:</w:t>
      </w:r>
    </w:p>
    <w:p>
      <w:pPr>
        <w:numPr>
          <w:ilvl w:val="0"/>
          <w:numId w:val="1009"/>
        </w:numPr>
        <w:pStyle w:val="Compact"/>
      </w:pPr>
      <w:r>
        <w:rPr>
          <w:bCs/>
          <w:b/>
        </w:rPr>
        <w:t xml:space="preserve">Scope 1 (Direct Emissions):</w:t>
      </w:r>
      <w:r>
        <w:t xml:space="preserve"> </w:t>
      </w:r>
      <w:r>
        <w:t xml:space="preserve">0.00 kg CO2e. (No significant direct on-site fossil fuel combustion or process emissions were identified from the provided parameters and are assumed negligible for this product-level analysis.)</w:t>
      </w:r>
    </w:p>
    <w:p>
      <w:pPr>
        <w:numPr>
          <w:ilvl w:val="0"/>
          <w:numId w:val="1009"/>
        </w:numPr>
        <w:pStyle w:val="Compact"/>
      </w:pPr>
      <w:r>
        <w:rPr>
          <w:bCs/>
          <w:b/>
        </w:rPr>
        <w:t xml:space="preserve">Scope 2 (Purchased Energy Emissions):</w:t>
      </w:r>
    </w:p>
    <w:p>
      <w:pPr>
        <w:numPr>
          <w:ilvl w:val="1"/>
          <w:numId w:val="1010"/>
        </w:numPr>
        <w:pStyle w:val="Compact"/>
      </w:pPr>
      <w:r>
        <w:t xml:space="preserve">Manufacturing Electricity: 5.4 kWh/unit * 0.65 kg CO2e/kWh (China Grid) = 3.51 kg CO2e</w:t>
      </w:r>
    </w:p>
    <w:p>
      <w:pPr>
        <w:numPr>
          <w:ilvl w:val="0"/>
          <w:numId w:val="1000"/>
        </w:numPr>
        <w:pStyle w:val="Compact"/>
      </w:pPr>
      <w:r>
        <w:rPr>
          <w:bCs/>
          <w:b/>
        </w:rPr>
        <w:t xml:space="preserve">Total Scope 2: 3.51 kg CO2e</w:t>
      </w:r>
    </w:p>
    <w:p>
      <w:pPr>
        <w:numPr>
          <w:ilvl w:val="0"/>
          <w:numId w:val="1009"/>
        </w:numPr>
        <w:pStyle w:val="Compact"/>
      </w:pPr>
      <w:r>
        <w:rPr>
          <w:bCs/>
          <w:b/>
        </w:rPr>
        <w:t xml:space="preserve">Scope 3 (Value Chain Emissions):</w:t>
      </w:r>
    </w:p>
    <w:p>
      <w:pPr>
        <w:numPr>
          <w:ilvl w:val="1"/>
          <w:numId w:val="1011"/>
        </w:numPr>
        <w:pStyle w:val="Compact"/>
      </w:pPr>
      <w:r>
        <w:rPr>
          <w:bCs/>
          <w:b/>
        </w:rPr>
        <w:t xml:space="preserve">Category 1: Purchased Goods and Services (Materials):</w:t>
      </w:r>
      <w:r>
        <w:t xml:space="preserve"> </w:t>
      </w:r>
      <w:r>
        <w:t xml:space="preserve">23.10 kg CO2e</w:t>
      </w:r>
    </w:p>
    <w:p>
      <w:pPr>
        <w:numPr>
          <w:ilvl w:val="1"/>
          <w:numId w:val="1011"/>
        </w:numPr>
        <w:pStyle w:val="Compact"/>
      </w:pPr>
      <w:r>
        <w:rPr>
          <w:bCs/>
          <w:b/>
        </w:rPr>
        <w:t xml:space="preserve">Category 4: Upstream Transportation and Distribution:</w:t>
      </w:r>
    </w:p>
    <w:p>
      <w:pPr>
        <w:numPr>
          <w:ilvl w:val="2"/>
          <w:numId w:val="1012"/>
        </w:numPr>
        <w:pStyle w:val="Compact"/>
      </w:pPr>
      <w:r>
        <w:t xml:space="preserve">Ocean Freight: 0.00275 tonnes * 15,000 km * 0.008 kg CO2e/tonne-km = 0.33 kg CO2e</w:t>
      </w:r>
    </w:p>
    <w:p>
      <w:pPr>
        <w:numPr>
          <w:ilvl w:val="2"/>
          <w:numId w:val="1012"/>
        </w:numPr>
        <w:pStyle w:val="Compact"/>
      </w:pPr>
      <w:r>
        <w:t xml:space="preserve">Road Freight (Last Mile): 0.00275 tonnes * 500 km * 0.08 kg CO2e/tonne-km = 0.11 kg CO2e</w:t>
      </w:r>
    </w:p>
    <w:p>
      <w:pPr>
        <w:numPr>
          <w:ilvl w:val="2"/>
          <w:numId w:val="1012"/>
        </w:numPr>
        <w:pStyle w:val="Compact"/>
      </w:pPr>
      <w:r>
        <w:rPr>
          <w:iCs/>
          <w:i/>
        </w:rPr>
        <w:t xml:space="preserve">Subtotal Category 4: 0.44 kg CO2e</w:t>
      </w:r>
    </w:p>
    <w:p>
      <w:pPr>
        <w:numPr>
          <w:ilvl w:val="1"/>
          <w:numId w:val="1011"/>
        </w:numPr>
        <w:pStyle w:val="Compact"/>
      </w:pPr>
      <w:r>
        <w:rPr>
          <w:bCs/>
          <w:b/>
        </w:rPr>
        <w:t xml:space="preserve">Category 11: Use of Sold Products:</w:t>
      </w:r>
    </w:p>
    <w:p>
      <w:pPr>
        <w:numPr>
          <w:ilvl w:val="2"/>
          <w:numId w:val="1013"/>
        </w:numPr>
        <w:pStyle w:val="Compact"/>
      </w:pPr>
      <w:r>
        <w:t xml:space="preserve">Total Energy Consumption: 360 kWh</w:t>
      </w:r>
    </w:p>
    <w:p>
      <w:pPr>
        <w:numPr>
          <w:ilvl w:val="2"/>
          <w:numId w:val="1013"/>
        </w:numPr>
        <w:pStyle w:val="Compact"/>
      </w:pPr>
      <w:r>
        <w:t xml:space="preserve">Emissions: 360 kWh * 0.38 kg CO2e/kWh (Global Grid) = 136.80 kg CO2e</w:t>
      </w:r>
    </w:p>
    <w:p>
      <w:pPr>
        <w:numPr>
          <w:ilvl w:val="2"/>
          <w:numId w:val="1013"/>
        </w:numPr>
        <w:pStyle w:val="Compact"/>
      </w:pPr>
      <w:r>
        <w:rPr>
          <w:iCs/>
          <w:i/>
        </w:rPr>
        <w:t xml:space="preserve">Subtotal Category 11: 136.80 kg CO2e</w:t>
      </w:r>
    </w:p>
    <w:p>
      <w:pPr>
        <w:numPr>
          <w:ilvl w:val="1"/>
          <w:numId w:val="1011"/>
        </w:numPr>
        <w:pStyle w:val="Compact"/>
      </w:pPr>
      <w:r>
        <w:rPr>
          <w:bCs/>
          <w:b/>
        </w:rPr>
        <w:t xml:space="preserve">Category 12: End-of-Life Treatment of Sold Products:</w:t>
      </w:r>
    </w:p>
    <w:p>
      <w:pPr>
        <w:numPr>
          <w:ilvl w:val="2"/>
          <w:numId w:val="1014"/>
        </w:numPr>
        <w:pStyle w:val="Compact"/>
      </w:pPr>
      <w:r>
        <w:t xml:space="preserve">Emissions from Disposal (non-recycled): 2.75 kg * (1 - 0.65) * 0.7 kg CO2e/kg = 0.67 kg CO2e</w:t>
      </w:r>
    </w:p>
    <w:p>
      <w:pPr>
        <w:numPr>
          <w:ilvl w:val="2"/>
          <w:numId w:val="1014"/>
        </w:numPr>
        <w:pStyle w:val="Compact"/>
      </w:pPr>
      <w:r>
        <w:t xml:space="preserve">Avoided Emissions from Recycling: 2.75 kg * 0.65 * (-2.0 kg CO2e/kg) = -3.57 kg CO2e</w:t>
      </w:r>
    </w:p>
    <w:p>
      <w:pPr>
        <w:numPr>
          <w:ilvl w:val="2"/>
          <w:numId w:val="1014"/>
        </w:numPr>
        <w:pStyle w:val="Compact"/>
      </w:pPr>
      <w:r>
        <w:rPr>
          <w:iCs/>
          <w:i/>
        </w:rPr>
        <w:t xml:space="preserve">Subtotal Category 12: -2.90 kg CO2e</w:t>
      </w:r>
    </w:p>
    <w:p>
      <w:pPr>
        <w:numPr>
          <w:ilvl w:val="0"/>
          <w:numId w:val="1000"/>
        </w:numPr>
        <w:pStyle w:val="Compact"/>
      </w:pPr>
      <w:r>
        <w:rPr>
          <w:bCs/>
          <w:b/>
        </w:rPr>
        <w:t xml:space="preserve">Total Scope 3: 157.44 kg CO2e</w:t>
      </w:r>
    </w:p>
    <w:p>
      <w:pPr>
        <w:pStyle w:val="FirstParagraph"/>
      </w:pPr>
      <w:r>
        <w:rPr>
          <w:bCs/>
          <w:b/>
        </w:rPr>
        <w:t xml:space="preserve">Total PCF (Scope 1 + Scope 2 + Scope 3) = 0.00 + 3.51 + 157.44 = 160.95 kg CO2e</w:t>
      </w:r>
    </w:p>
    <w:bookmarkEnd w:id="45"/>
    <w:bookmarkStart w:id="46" w:name="X706cf7aa8541833e61dc004b41ba1b8faee1414"/>
    <w:p>
      <w:pPr>
        <w:pStyle w:val="Heading3"/>
      </w:pPr>
      <w:r>
        <w:t xml:space="preserve">3.3.3 Hotspot Identification and Scope 3 Coverage</w:t>
      </w:r>
    </w:p>
    <w:p>
      <w:pPr>
        <w:pStyle w:val="FirstParagraph"/>
      </w:pPr>
      <w:r>
        <w:t xml:space="preserve">The primary emission hotspot for htywtdwker is the</w:t>
      </w:r>
      <w:r>
        <w:t xml:space="preserve"> </w:t>
      </w:r>
      <w:r>
        <w:rPr>
          <w:bCs/>
          <w:b/>
        </w:rPr>
        <w:t xml:space="preserve">Use Phase (136.80 kg CO2e)</w:t>
      </w:r>
      <w:r>
        <w:t xml:space="preserve">, accounting for approximately 85% of the total PCF. This highlights the significant impact of electricity consumption during the product\'s 8-year lifespan. The second largest hotspot is</w:t>
      </w:r>
      <w:r>
        <w:t xml:space="preserve"> </w:t>
      </w:r>
      <w:r>
        <w:rPr>
          <w:bCs/>
          <w:b/>
        </w:rPr>
        <w:t xml:space="preserve">Material Acquisition &amp; Processing (23.10 kg CO2e)</w:t>
      </w:r>
      <w:r>
        <w:t xml:space="preserve">, representing about 14% of the total footprint.</w:t>
      </w:r>
    </w:p>
    <w:p>
      <w:pPr>
        <w:pStyle w:val="BodyText"/>
      </w:pPr>
      <w:r>
        <w:rPr>
          <w:bCs/>
          <w:b/>
        </w:rPr>
        <w:t xml:space="preserve">Scope 3 coverage for this analysis is approximately 97.8%</w:t>
      </w:r>
      <w:r>
        <w:t xml:space="preserve"> </w:t>
      </w:r>
      <w:r>
        <w:t xml:space="preserve">(157.44 kg CO2e / 160.95 kg CO2e * 100%), exceeding the proposed 2026 GHG Protocol requirement of 95% coverage for required Scope 3 emissions. This high coverage ensures a comprehensive and robust assessment of the product\'s value chain emissions.</w:t>
      </w:r>
    </w:p>
    <w:p>
      <w:r>
        <w:pict>
          <v:rect style="width:0;height:1.5pt" o:hralign="center" o:hrstd="t" o:hr="t"/>
        </w:pict>
      </w:r>
    </w:p>
    <w:bookmarkEnd w:id="46"/>
    <w:bookmarkEnd w:id="47"/>
    <w:bookmarkEnd w:id="48"/>
    <w:bookmarkStart w:id="49" w:name="conclusion-and-recommendations"/>
    <w:p>
      <w:pPr>
        <w:pStyle w:val="Heading1"/>
      </w:pPr>
      <w:r>
        <w:t xml:space="preserve">4. Conclusion and Recommendations</w:t>
      </w:r>
    </w:p>
    <w:p>
      <w:pPr>
        <w:pStyle w:val="FirstParagraph"/>
      </w:pPr>
      <w:r>
        <w:t xml:space="preserve">The Product Carbon Footprint of</w:t>
      </w:r>
      <w:r>
        <w:t xml:space="preserve"> </w:t>
      </w:r>
      <w:r>
        <w:rPr>
          <w:bCs/>
          <w:b/>
        </w:rPr>
        <w:t xml:space="preserve">htywtdwker</w:t>
      </w:r>
      <w:r>
        <w:t xml:space="preserve"> </w:t>
      </w:r>
      <w:r>
        <w:t xml:space="preserve">is calculated at</w:t>
      </w:r>
      <w:r>
        <w:t xml:space="preserve"> </w:t>
      </w:r>
      <w:r>
        <w:rPr>
          <w:bCs/>
          <w:b/>
        </w:rPr>
        <w:t xml:space="preserve">160.95 kg CO2e</w:t>
      </w:r>
      <w:r>
        <w:t xml:space="preserve"> </w:t>
      </w:r>
      <w:r>
        <w:t xml:space="preserve">per functional unit. The analysis identifies the Use Phase as the most significant contributor to the overall footprint, followed by material acquisition and processing. The existing circular economy initiatives, such as the 65% recyclability and the company\'s take-back program, demonstrate a positive impact by generating avoided emissions at end-of-life.</w:t>
      </w:r>
    </w:p>
    <w:p>
      <w:pPr>
        <w:pStyle w:val="BodyText"/>
      </w:pPr>
      <w:r>
        <w:t xml:space="preserve">Based on this analysis,</w:t>
      </w:r>
      <w:r>
        <w:t xml:space="preserve"> </w:t>
      </w:r>
      <w:r>
        <w:rPr>
          <w:bCs/>
          <w:b/>
        </w:rPr>
        <w:t xml:space="preserve">smfnkumljt</w:t>
      </w:r>
      <w:r>
        <w:t xml:space="preserve"> </w:t>
      </w:r>
      <w:r>
        <w:t xml:space="preserve">recommends the following for</w:t>
      </w:r>
      <w:r>
        <w:t xml:space="preserve"> </w:t>
      </w:r>
      <w:r>
        <w:rPr>
          <w:bCs/>
          <w:b/>
        </w:rPr>
        <w:t xml:space="preserve">zsepvmfysi</w:t>
      </w:r>
      <w:r>
        <w:t xml:space="preserve">:</w:t>
      </w:r>
    </w:p>
    <w:p>
      <w:pPr>
        <w:numPr>
          <w:ilvl w:val="0"/>
          <w:numId w:val="1015"/>
        </w:numPr>
        <w:pStyle w:val="Compact"/>
      </w:pPr>
      <w:r>
        <w:rPr>
          <w:bCs/>
          <w:b/>
        </w:rPr>
        <w:t xml:space="preserve">Use Phase Optimization:</w:t>
      </w:r>
      <w:r>
        <w:t xml:space="preserve"> </w:t>
      </w:r>
      <w:r>
        <w:t xml:space="preserve">Investigate and implement strategies to reduce energy consumption during the product\'s use phase. This could include developing more energy-efficient versions of htywtdwker, exploring lower-carbon power supply options for users, or providing guidance to consumers on optimizing product usage for energy savings.</w:t>
      </w:r>
    </w:p>
    <w:p>
      <w:pPr>
        <w:numPr>
          <w:ilvl w:val="0"/>
          <w:numId w:val="1015"/>
        </w:numPr>
        <w:pStyle w:val="Compact"/>
      </w:pPr>
      <w:r>
        <w:rPr>
          <w:bCs/>
          <w:b/>
        </w:rPr>
        <w:t xml:space="preserve">Material Decarbonization:</w:t>
      </w:r>
      <w:r>
        <w:t xml:space="preserve"> </w:t>
      </w:r>
      <w:r>
        <w:t xml:space="preserve">Continue efforts to source lower-carbon materials and explore options for increasing recycled content, particularly for energy-intensive components like aluminum. Engaging with suppliers to promote renewable energy use in their manufacturing processes is also crucial.</w:t>
      </w:r>
    </w:p>
    <w:p>
      <w:pPr>
        <w:numPr>
          <w:ilvl w:val="0"/>
          <w:numId w:val="1015"/>
        </w:numPr>
        <w:pStyle w:val="Compact"/>
      </w:pPr>
      <w:r>
        <w:rPr>
          <w:bCs/>
          <w:b/>
        </w:rPr>
        <w:t xml:space="preserve">Supply Chain Efficiency:</w:t>
      </w:r>
      <w:r>
        <w:t xml:space="preserve"> </w:t>
      </w:r>
      <w:r>
        <w:t xml:space="preserve">While transportation is a smaller contributor, optimize logistics where possible. This could involve exploring more efficient shipping routes, consolidating shipments, or partnering with carriers that utilize lower-emission transport technologies.</w:t>
      </w:r>
    </w:p>
    <w:p>
      <w:pPr>
        <w:numPr>
          <w:ilvl w:val="0"/>
          <w:numId w:val="1015"/>
        </w:numPr>
        <w:pStyle w:val="Compact"/>
      </w:pPr>
      <w:r>
        <w:rPr>
          <w:bCs/>
          <w:b/>
        </w:rPr>
        <w:t xml:space="preserve">Circular Economy Enhancement:</w:t>
      </w:r>
      <w:r>
        <w:t xml:space="preserve"> </w:t>
      </w:r>
      <w:r>
        <w:t xml:space="preserve">Further strengthen circularity programs. Explore opportunities to increase the recyclability percentage beyond 65% and expand the scope of the take-back and refurbishment program to cover more components or a larger geographical area.</w:t>
      </w:r>
    </w:p>
    <w:p>
      <w:pPr>
        <w:numPr>
          <w:ilvl w:val="0"/>
          <w:numId w:val="1015"/>
        </w:numPr>
        <w:pStyle w:val="Compact"/>
      </w:pPr>
      <w:r>
        <w:rPr>
          <w:bCs/>
          <w:b/>
        </w:rPr>
        <w:t xml:space="preserve">Data Refinement:</w:t>
      </w:r>
      <w:r>
        <w:t xml:space="preserve"> </w:t>
      </w:r>
      <w:r>
        <w:t xml:space="preserve">Continuously collect primary data for all lifecycle stages, especially for complex components and supply chain nodes, to improve the accuracy and reliability of future PCF assessments.</w:t>
      </w:r>
    </w:p>
    <w:p>
      <w:r>
        <w:pict>
          <v:rect style="width:0;height:1.5pt" o:hralign="center" o:hrstd="t" o:hr="t"/>
        </w:pict>
      </w:r>
    </w:p>
    <w:bookmarkEnd w:id="49"/>
    <w:bookmarkStart w:id="50" w:name="disclaimer"/>
    <w:p>
      <w:pPr>
        <w:pStyle w:val="Heading1"/>
      </w:pPr>
      <w:r>
        <w:t xml:space="preserve">5. Disclaimer</w:t>
      </w:r>
    </w:p>
    <w:p>
      <w:pPr>
        <w:pStyle w:val="FirstParagraph"/>
      </w:pPr>
      <w:r>
        <w:t xml:space="preserve">This report is prepared for</w:t>
      </w:r>
      <w:r>
        <w:t xml:space="preserve"> </w:t>
      </w:r>
      <w:r>
        <w:rPr>
          <w:bCs/>
          <w:b/>
        </w:rPr>
        <w:t xml:space="preserve">zsepvmfysi</w:t>
      </w:r>
      <w:r>
        <w:t xml:space="preserve"> </w:t>
      </w:r>
      <w:r>
        <w:t xml:space="preserve">by</w:t>
      </w:r>
      <w:r>
        <w:t xml:space="preserve"> </w:t>
      </w:r>
      <w:r>
        <w:rPr>
          <w:bCs/>
          <w:b/>
        </w:rPr>
        <w:t xml:space="preserve">smfnkumljt</w:t>
      </w:r>
      <w:r>
        <w:t xml:space="preserve"> </w:t>
      </w:r>
      <w:r>
        <w:t xml:space="preserve">based on the data provided and generally accepted methodologies in Product Carbon Footprint analysis, aligned with the GHG Protocol. While every effort has been made to ensure accuracy and completeness, the results are indicative and subject to limitations inherent in lifecycle assessment, including data availability, assumptions regarding generic emission factors, and the evolving nature of sustainability science. This report should be used for internal strategic planning and reporting purposes and not be construed as a guarantee against future regulatory changes or scientific advancements.</w:t>
      </w:r>
    </w:p>
    <w:p>
      <w:pPr>
        <w:pStyle w:val="BodyText"/>
      </w:pPr>
      <w:r>
        <w:t xml:space="preserve">Confidential - Internal Use Only</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htywtdwker - zsepvmfysi</dc:title>
  <dc:creator/>
  <dc:description>Detailed Product Carbon Footprint (PCF) analysis report for htywtdwker by zsepvmfysi, prepared by Senior Sustainability Consultant smfnkumljt, adhering to GHG Protocol standards with a focus on 2026 updates.</dc:description>
  <dc:language>en</dc:language>
  <cp:keywords/>
  <dcterms:created xsi:type="dcterms:W3CDTF">2026-05-30T22:09:36Z</dcterms:created>
  <dcterms:modified xsi:type="dcterms:W3CDTF">2026-05-30T22:09:36Z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