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hqrrpplzhr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hqrrpplzhr</w:t>
      </w:r>
    </w:p>
    <w:p>
      <w:pPr>
        <w:pStyle w:val="BodyText"/>
      </w:pPr>
      <w:r>
        <w:rPr>
          <w:bCs/>
          <w:b/>
        </w:rPr>
        <w:t xml:space="preserve">Company:</w:t>
      </w:r>
      <w:r>
        <w:t xml:space="preserve"> </w:t>
      </w:r>
      <w:r>
        <w:t xml:space="preserve">vrqgpjvilu</w:t>
      </w:r>
    </w:p>
    <w:p>
      <w:pPr>
        <w:pStyle w:val="BodyText"/>
      </w:pPr>
      <w:r>
        <w:rPr>
          <w:bCs/>
          <w:b/>
        </w:rPr>
        <w:t xml:space="preserve">Senior Sustainability Consultant:</w:t>
      </w:r>
      <w:r>
        <w:t xml:space="preserve"> </w:t>
      </w:r>
      <w:r>
        <w:t xml:space="preserve">rwoswdvqzx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It provides an estimation of the product\'s carbon footprint and should be used for internal strategic planning and sustainability initiatives.</w:t>
      </w:r>
    </w:p>
    <w:bookmarkEnd w:id="20"/>
    <w:bookmarkStart w:id="22" w:name="Xa87d010c1fd868336511b306fbd202996615f12"/>
    <w:p>
      <w:pPr>
        <w:pStyle w:val="Heading1"/>
      </w:pPr>
      <w:r>
        <w:t xml:space="preserve">Product Carbon Footprint Analysis Report</w:t>
      </w:r>
    </w:p>
    <w:bookmarkStart w:id="21" w:name="product-hqrrpplzhr"/>
    <w:p>
      <w:pPr>
        <w:pStyle w:val="Heading2"/>
      </w:pPr>
      <w:r>
        <w:t xml:space="preserve">Product: hqrrpplzhr</w:t>
      </w:r>
    </w:p>
    <w:p>
      <w:pPr>
        <w:pStyle w:val="FirstParagraph"/>
      </w:pPr>
      <w:r>
        <w:t xml:space="preserve">Generated Date: May 28,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hqrrpplzhr</w:t>
      </w:r>
      <w:r>
        <w:t xml:space="preserve">, manufactured by</w:t>
      </w:r>
      <w:r>
        <w:t xml:space="preserve"> </w:t>
      </w:r>
      <w:r>
        <w:rPr>
          <w:bCs/>
          <w:b/>
        </w:rPr>
        <w:t xml:space="preserve">vrqgpjvilu</w:t>
      </w:r>
      <w:r>
        <w:t xml:space="preserve">. The analysis was conducted by</w:t>
      </w:r>
      <w:r>
        <w:t xml:space="preserve"> </w:t>
      </w:r>
      <w:r>
        <w:rPr>
          <w:bCs/>
          <w:b/>
        </w:rPr>
        <w:t xml:space="preserve">rwoswdvqzx</w:t>
      </w:r>
      <w:r>
        <w:t xml:space="preserve">, a Senior Sustainability Consultant, adhering strictly to the GHG Protocol. The assessment covers the entire product lifecycle from raw material extraction to end-of-life, with a specific focus on a factory_gate system boundary and a Europe-focused supply chain for final production in China. Key parameters such as material composition, production energy, transport logistics, use-phase energy consumption, and end-of-life scenarios have been incorporated to provide a comprehensive understanding of the product\'s environmental impact. The report also integrates the 2026 Land Sector and Removals (LSR) Standard and aims for at least 95% coverage for Scope 3 emissions, aligning with current best practices in GHG accounting.</w:t>
      </w:r>
    </w:p>
    <w:p>
      <w:r>
        <w:pict>
          <v:rect style="width:0;height:1.5pt" o:hralign="center" o:hrstd="t" o:hr="t"/>
        </w:pict>
      </w:r>
    </w:p>
    <w:bookmarkEnd w:id="23"/>
    <w:bookmarkStart w:id="25" w:name="introduction"/>
    <w:p>
      <w:pPr>
        <w:pStyle w:val="Heading2"/>
      </w:pPr>
      <w:r>
        <w:t xml:space="preserve">Introduction</w:t>
      </w:r>
    </w:p>
    <w:p>
      <w:pPr>
        <w:pStyle w:val="FirstParagraph"/>
      </w:pPr>
      <w:r>
        <w:t xml:space="preserve">The purpose of this report is to quantify the greenhouse gas (GHG) emissions associated with the product</w:t>
      </w:r>
      <w:r>
        <w:t xml:space="preserve"> </w:t>
      </w:r>
      <w:r>
        <w:rPr>
          <w:bCs/>
          <w:b/>
        </w:rPr>
        <w:t xml:space="preserve">hqrrpplzhr</w:t>
      </w:r>
      <w:r>
        <w:t xml:space="preserve"> </w:t>
      </w:r>
      <w:r>
        <w:t xml:space="preserve">over its entire lifecycle. This Product Carbon Footprint (PCF) analysis provides critical insights for identifying emission hotspots and developing targeted reduction strategies for</w:t>
      </w:r>
      <w:r>
        <w:t xml:space="preserve"> </w:t>
      </w:r>
      <w:r>
        <w:rPr>
          <w:bCs/>
          <w:b/>
        </w:rPr>
        <w:t xml:space="preserve">vrqgpjvilu</w:t>
      </w:r>
      <w:r>
        <w:t xml:space="preserve">. The methodology employed follows the internationally recognized GHG Protocol, ensuring comparability and transparency. This analysis is performed by Senior Sustainability Consultant</w:t>
      </w:r>
      <w:r>
        <w:t xml:space="preserve"> </w:t>
      </w:r>
      <w:r>
        <w:rPr>
          <w:bCs/>
          <w:b/>
        </w:rPr>
        <w:t xml:space="preserve">rwoswdvqzx</w:t>
      </w:r>
      <w:r>
        <w:t xml:space="preserve">.</w:t>
      </w:r>
    </w:p>
    <w:bookmarkStart w:id="24" w:name="key-methodological-principles"/>
    <w:p>
      <w:pPr>
        <w:pStyle w:val="Heading3"/>
      </w:pPr>
      <w:r>
        <w:t xml:space="preserve">Key Methodological Principles:</w:t>
      </w:r>
    </w:p>
    <w:p>
      <w:pPr>
        <w:numPr>
          <w:ilvl w:val="0"/>
          <w:numId w:val="1001"/>
        </w:numPr>
        <w:pStyle w:val="Compact"/>
      </w:pPr>
      <w:r>
        <w:rPr>
          <w:bCs/>
          <w:b/>
        </w:rPr>
        <w:t xml:space="preserve">Accounting Standard:</w:t>
      </w:r>
      <w:r>
        <w:t xml:space="preserve"> </w:t>
      </w:r>
      <w:r>
        <w:t xml:space="preserve">GHG Protocol, providing a robust framework for GHG accounting.</w:t>
      </w:r>
    </w:p>
    <w:p>
      <w:pPr>
        <w:numPr>
          <w:ilvl w:val="0"/>
          <w:numId w:val="1001"/>
        </w:numPr>
        <w:pStyle w:val="Compact"/>
      </w:pPr>
      <w:r>
        <w:rPr>
          <w:bCs/>
          <w:b/>
        </w:rPr>
        <w:t xml:space="preserve">2026 LSR Update:</w:t>
      </w:r>
      <w:r>
        <w:t xml:space="preserve"> </w:t>
      </w:r>
      <w:r>
        <w:t xml:space="preserve">The Land Sector and Removals (LSR) Standard is applied to account for any relevant land use impacts and carbon removals.</w:t>
      </w:r>
    </w:p>
    <w:p>
      <w:pPr>
        <w:numPr>
          <w:ilvl w:val="0"/>
          <w:numId w:val="1001"/>
        </w:numPr>
        <w:pStyle w:val="Compact"/>
      </w:pPr>
      <w:r>
        <w:rPr>
          <w:bCs/>
          <w:b/>
        </w:rPr>
        <w:t xml:space="preserve">Scope 3 Compliance:</w:t>
      </w:r>
      <w:r>
        <w:t xml:space="preserve"> </w:t>
      </w:r>
      <w:r>
        <w:t xml:space="preserve">Efforts have been made to ensure at least 95% coverage for Scope 3 reporting, reflecting the comprehensive nature of value chain emissions, as per 2026 requirements.</w:t>
      </w:r>
    </w:p>
    <w:p>
      <w:r>
        <w:pict>
          <v:rect style="width:0;height:1.5pt" o:hralign="center" o:hrstd="t" o:hr="t"/>
        </w:pict>
      </w:r>
    </w:p>
    <w:bookmarkEnd w:id="24"/>
    <w:bookmarkEnd w:id="25"/>
    <w:bookmarkStart w:id="30" w:name="define-scope"/>
    <w:p>
      <w:pPr>
        <w:pStyle w:val="Heading2"/>
      </w:pPr>
      <w:r>
        <w:t xml:space="preserve">1. Define Scope</w:t>
      </w:r>
    </w:p>
    <w:bookmarkStart w:id="26"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hqrrpplzhr</w:t>
      </w:r>
      <w:r>
        <w:t xml:space="preserve">. This unit serves as the reference basis for all quantified environmental impacts, allowing for consistent comparisons and analysis.</w:t>
      </w:r>
    </w:p>
    <w:bookmarkEnd w:id="26"/>
    <w:bookmarkStart w:id="27"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means the analysis includes all activities from raw material acquisition, through material processing, product manufacturing at the factory, up to the point the finished product leaves the factory gate. While the primary boundary is factory_gate, the full lifecycle analysis for Scope 3 encompasses upstream (e.g., raw materials, transport to factory) and downstream (e.g., distribution, use, end-of-life) impacts to ensure comprehensive reporting.</w:t>
      </w:r>
    </w:p>
    <w:bookmarkEnd w:id="27"/>
    <w:bookmarkStart w:id="28" w:name="geographic-scope"/>
    <w:p>
      <w:pPr>
        <w:pStyle w:val="Heading3"/>
      </w:pPr>
      <w:r>
        <w:t xml:space="preserve">1.3 Geographic Scope</w:t>
      </w:r>
    </w:p>
    <w:p>
      <w:pPr>
        <w:pStyle w:val="FirstParagraph"/>
      </w:pPr>
      <w:r>
        <w:t xml:space="preserve">The geographic scope of this assessment is defined as:</w:t>
      </w:r>
      <w:r>
        <w:t xml:space="preserve"> </w:t>
      </w:r>
      <w:r>
        <w:rPr>
          <w:bCs/>
          <w:b/>
        </w:rPr>
        <w:t xml:space="preserve">Final Production Country: China, Supply Chain Focus: Europe Focused</w:t>
      </w:r>
      <w:r>
        <w:t xml:space="preserve">. This indicates that while the final assembly and manufacturing occur in China, a significant portion of the upstream supply chain (e.g., component sourcing, initial material processing) is concentrated in Europe. This dual focus necessitates considering region-specific emission factors for production and logistics.</w:t>
      </w:r>
    </w:p>
    <w:bookmarkEnd w:id="28"/>
    <w:bookmarkStart w:id="29" w:name="allocation"/>
    <w:p>
      <w:pPr>
        <w:pStyle w:val="Heading3"/>
      </w:pPr>
      <w:r>
        <w:t xml:space="preserve">1.4 Allocation</w:t>
      </w:r>
    </w:p>
    <w:p>
      <w:pPr>
        <w:pStyle w:val="FirstParagraph"/>
      </w:pPr>
      <w:r>
        <w:t xml:space="preserve">Allocation procedures are implemented to appropriately distribute environmental impacts across co-products or in multi-functional systems. For this analysis, where direct allocation is not feasible, economic or physical allocation methods are applied consistent with GHG Protocol guidelines to ensure accurate impact attribution.</w:t>
      </w:r>
    </w:p>
    <w:p>
      <w:r>
        <w:pict>
          <v:rect style="width:0;height:1.5pt" o:hralign="center" o:hrstd="t" o:hr="t"/>
        </w:pict>
      </w:r>
    </w:p>
    <w:bookmarkEnd w:id="29"/>
    <w:bookmarkEnd w:id="30"/>
    <w:bookmarkStart w:id="36"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hqrrpplzhr</w:t>
      </w:r>
      <w:r>
        <w:t xml:space="preserve"> </w:t>
      </w:r>
      <w:r>
        <w:t xml:space="preserve">is mapped into distinct stages to systematically identify and quantify GHG emissions. Each stage represents a key phase in the product\'s journey, from its inception as raw materials to its eventual disposal or recovery.</w:t>
      </w:r>
    </w:p>
    <w:bookmarkStart w:id="31" w:name="raw-material-extraction-processing"/>
    <w:p>
      <w:pPr>
        <w:pStyle w:val="Heading3"/>
      </w:pPr>
      <w:r>
        <w:t xml:space="preserve">2.1 Raw Material Extraction &amp; Processing</w:t>
      </w:r>
    </w:p>
    <w:p>
      <w:pPr>
        <w:pStyle w:val="FirstParagraph"/>
      </w:pPr>
      <w:r>
        <w:t xml:space="preserve">This stage includes the extraction of virgin materials, their initial processing, and the manufacturing of basic components. The Detailed Bill of Materials (BOM) for</w:t>
      </w:r>
      <w:r>
        <w:t xml:space="preserve"> </w:t>
      </w:r>
      <w:r>
        <w:rPr>
          <w:bCs/>
          <w:b/>
        </w:rPr>
        <w:t xml:space="preserve">hqrrpplzhr</w:t>
      </w:r>
      <w:r>
        <w:t xml:space="preserve"> </w:t>
      </w:r>
      <w:r>
        <w:t xml:space="preserve">is central to this stage.</w:t>
      </w:r>
    </w:p>
    <w:bookmarkEnd w:id="31"/>
    <w:bookmarkStart w:id="32" w:name="manufacturing-production-phase"/>
    <w:p>
      <w:pPr>
        <w:pStyle w:val="Heading3"/>
      </w:pPr>
      <w:r>
        <w:t xml:space="preserve">2.2 Manufacturing (Production Phase)</w:t>
      </w:r>
    </w:p>
    <w:p>
      <w:pPr>
        <w:pStyle w:val="FirstParagraph"/>
      </w:pPr>
      <w:r>
        <w:t xml:space="preserve">This phase covers all activities at the manufacturing facility in China, including component assembly, energy consumption, and waste generation during the production of</w:t>
      </w:r>
      <w:r>
        <w:t xml:space="preserve"> </w:t>
      </w:r>
      <w:r>
        <w:rPr>
          <w:bCs/>
          <w:b/>
        </w:rPr>
        <w:t xml:space="preserve">hqrrpplzhr</w:t>
      </w:r>
      <w:r>
        <w:t xml:space="preserve">.</w:t>
      </w:r>
    </w:p>
    <w:bookmarkEnd w:id="32"/>
    <w:bookmarkStart w:id="33" w:name="transport-distribution-and-logistics"/>
    <w:p>
      <w:pPr>
        <w:pStyle w:val="Heading3"/>
      </w:pPr>
      <w:r>
        <w:t xml:space="preserve">2.3 Transport (Distribution and Logistics)</w:t>
      </w:r>
    </w:p>
    <w:p>
      <w:pPr>
        <w:pStyle w:val="FirstParagraph"/>
      </w:pPr>
      <w:r>
        <w:t xml:space="preserve">This stage accounts for the emissions from transporting raw materials and components to the manufacturing facility, as well as the distribution of the finished product from the factory to the end-consumer.</w:t>
      </w:r>
    </w:p>
    <w:bookmarkEnd w:id="33"/>
    <w:bookmarkStart w:id="34" w:name="use-phase"/>
    <w:p>
      <w:pPr>
        <w:pStyle w:val="Heading3"/>
      </w:pPr>
      <w:r>
        <w:t xml:space="preserve">2.4 Use Phase</w:t>
      </w:r>
    </w:p>
    <w:p>
      <w:pPr>
        <w:pStyle w:val="FirstParagraph"/>
      </w:pPr>
      <w:r>
        <w:t xml:space="preserve">This stage quantifies the emissions generated during the product\'s active use by the consumer over its expected lifespan, primarily from energy consumption.</w:t>
      </w:r>
    </w:p>
    <w:bookmarkEnd w:id="34"/>
    <w:bookmarkStart w:id="35" w:name="end-of-life-eol"/>
    <w:p>
      <w:pPr>
        <w:pStyle w:val="Heading3"/>
      </w:pPr>
      <w:r>
        <w:t xml:space="preserve">2.5 End-of-Life (EoL)</w:t>
      </w:r>
    </w:p>
    <w:p>
      <w:pPr>
        <w:pStyle w:val="FirstParagraph"/>
      </w:pPr>
      <w:r>
        <w:t xml:space="preserve">The final stage addresses emissions associated with the product\'s disposal, recycling, or recovery at the end of its useful life.</w:t>
      </w:r>
    </w:p>
    <w:p>
      <w:r>
        <w:pict>
          <v:rect style="width:0;height:1.5pt" o:hralign="center" o:hrstd="t" o:hr="t"/>
        </w:pict>
      </w:r>
    </w:p>
    <w:bookmarkEnd w:id="35"/>
    <w:bookmarkEnd w:id="36"/>
    <w:bookmarkStart w:id="42" w:name="Xb57f50a89bf1f3f1837369be949d9d60d6c1272"/>
    <w:p>
      <w:pPr>
        <w:pStyle w:val="Heading2"/>
      </w:pPr>
      <w:r>
        <w:t xml:space="preserve">3. Collect Data (Primary/Secondary Data Points)</w:t>
      </w:r>
    </w:p>
    <w:p>
      <w:pPr>
        <w:pStyle w:val="FirstParagraph"/>
      </w:pPr>
      <w:r>
        <w:t xml:space="preserve">Accurate data collection is fundamental to a robust PCF analysis. Both primary and secondary data sources are utilized to populate the Life Cycle Inventory (LCI).</w:t>
      </w:r>
    </w:p>
    <w:bookmarkStart w:id="37" w:name="detailed-bill-of-materials-bom"/>
    <w:p>
      <w:pPr>
        <w:pStyle w:val="Heading3"/>
      </w:pPr>
      <w:r>
        <w:t xml:space="preserve">3.1 Detailed Bill of Materials (BOM)</w:t>
      </w:r>
    </w:p>
    <w:p>
      <w:pPr>
        <w:pStyle w:val="FirstParagraph"/>
      </w:pPr>
      <w:r>
        <w:t xml:space="preserve">The following illustrative data, adhering to the specified format for the Detailed BOM (identified as</w:t>
      </w:r>
      <w:r>
        <w:t xml:space="preserve"> </w:t>
      </w:r>
      <w:r>
        <w:rPr>
          <w:bCs/>
          <w:b/>
        </w:rPr>
        <w:t xml:space="preserve">ykqlerpk</w:t>
      </w:r>
      <w:r>
        <w:t xml:space="preserve">), was used for high-accuracy material impact calculation. It\'s important to note that these specific values are illustrative for demonstration purposes as the detailed item data for \'ykqlerpk\' was not provided in the prompt. The \'Total Carbon\' values are calculated from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p>
            <w:pPr>
              <w:pStyle w:val="Compact"/>
              <w:jc w:val="left"/>
            </w:pPr>
            <w:r>
              <w:t xml:space="preserve">6</w:t>
            </w:r>
          </w:p>
        </w:tc>
        <w:tc>
          <w:tcPr/>
          <w:p>
            <w:pPr>
              <w:pStyle w:val="Compact"/>
              <w:jc w:val="left"/>
            </w:pPr>
            <w:r>
              <w:t xml:space="preserve">Display Screen</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5.00 kgCO2e</w:t>
            </w:r>
          </w:p>
        </w:tc>
      </w:tr>
    </w:tbl>
    <w:bookmarkEnd w:id="37"/>
    <w:bookmarkStart w:id="38" w:name="energy-inputs-production-phase"/>
    <w:p>
      <w:pPr>
        <w:pStyle w:val="Heading3"/>
      </w:pPr>
      <w:r>
        <w:t xml:space="preserve">3.2 Energy Inputs (Production Phase)</w:t>
      </w:r>
    </w:p>
    <w:p>
      <w:pPr>
        <w:numPr>
          <w:ilvl w:val="0"/>
          <w:numId w:val="1002"/>
        </w:numPr>
        <w:pStyle w:val="Compact"/>
      </w:pPr>
      <w:r>
        <w:rPr>
          <w:bCs/>
          <w:b/>
        </w:rPr>
        <w:t xml:space="preserve">Renewable Energy Usage:</w:t>
      </w:r>
      <w:r>
        <w:t xml:space="preserve"> </w:t>
      </w:r>
      <w:r>
        <w:rPr>
          <w:bCs/>
          <w:b/>
        </w:rPr>
        <w:t xml:space="preserve">nuinlkurjt</w:t>
      </w:r>
      <w:r>
        <w:t xml:space="preserve"> </w:t>
      </w:r>
      <w:r>
        <w:t xml:space="preserve">(Illustrative assumption for calculation: 40% renewable electricity usage at the factory site).</w:t>
      </w:r>
    </w:p>
    <w:p>
      <w:pPr>
        <w:numPr>
          <w:ilvl w:val="0"/>
          <w:numId w:val="1002"/>
        </w:numPr>
        <w:pStyle w:val="Compact"/>
      </w:pPr>
      <w:r>
        <w:rPr>
          <w:bCs/>
          <w:b/>
        </w:rPr>
        <w:t xml:space="preserve">Energy Intensity (kWh/unit):</w:t>
      </w:r>
      <w:r>
        <w:t xml:space="preserve"> </w:t>
      </w:r>
      <w:r>
        <w:rPr>
          <w:bCs/>
          <w:b/>
        </w:rPr>
        <w:t xml:space="preserve">xnzqozitfd</w:t>
      </w:r>
      <w:r>
        <w:t xml:space="preserve"> </w:t>
      </w:r>
      <w:r>
        <w:t xml:space="preserve">(Illustrative assumption for calculation: 15 kWh/unit).</w:t>
      </w:r>
    </w:p>
    <w:p>
      <w:pPr>
        <w:numPr>
          <w:ilvl w:val="0"/>
          <w:numId w:val="1002"/>
        </w:numPr>
        <w:pStyle w:val="Compact"/>
      </w:pPr>
      <w:r>
        <w:rPr>
          <w:bCs/>
          <w:b/>
        </w:rPr>
        <w:t xml:space="preserve">Grid Electricity Emission Factor (China):</w:t>
      </w:r>
      <w:r>
        <w:t xml:space="preserve"> </w:t>
      </w:r>
      <w:r>
        <w:t xml:space="preserve">Approximately 0.6 kgCO2e/kWh (industry average, adjusted for renewables).</w:t>
      </w:r>
    </w:p>
    <w:bookmarkEnd w:id="38"/>
    <w:bookmarkStart w:id="39" w:name="logistics-data-transport"/>
    <w:p>
      <w:pPr>
        <w:pStyle w:val="Heading3"/>
      </w:pPr>
      <w:r>
        <w:t xml:space="preserve">3.3 Logistics Data (Transport)</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(Illustrative assumption for calculation: A composite transport factor representing multimodal freight, including ocean shipping and truck transport, which typically characterize a Europe-focused supply chain to China production. An average emission factor of 0.08 kgCO2e/tonne-km is used for the primary transport).</w:t>
      </w:r>
    </w:p>
    <w:p>
      <w:pPr>
        <w:numPr>
          <w:ilvl w:val="0"/>
          <w:numId w:val="1003"/>
        </w:numPr>
        <w:pStyle w:val="Compact"/>
      </w:pPr>
      <w:r>
        <w:rPr>
          <w:bCs/>
          <w:b/>
        </w:rPr>
        <w:t xml:space="preserve">Transport Distance:</w:t>
      </w:r>
      <w:r>
        <w:t xml:space="preserve"> </w:t>
      </w:r>
      <w:r>
        <w:rPr>
          <w:bCs/>
          <w:b/>
        </w:rPr>
        <w:t xml:space="preserve">dezjmzoqzg</w:t>
      </w:r>
      <w:r>
        <w:t xml:space="preserve"> </w:t>
      </w:r>
      <w:r>
        <w:t xml:space="preserve">(Illustrative assumption for calculation: 2500 km for inbound materials/outbound product).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(Illustrative assumption for calculation: A generic last-mile delivery, e.g., parcel delivery by light commercial vehicles, with an assumed emission factor of 0.5 kgCO2e/unit for the final leg).</w:t>
      </w:r>
    </w:p>
    <w:bookmarkEnd w:id="39"/>
    <w:bookmarkStart w:id="40" w:name="use-phase-data"/>
    <w:p>
      <w:pPr>
        <w:pStyle w:val="Heading3"/>
      </w:pPr>
      <w:r>
        <w:t xml:space="preserve">3.4 Use Phase Data</w:t>
      </w:r>
    </w:p>
    <w:p>
      <w:pPr>
        <w:numPr>
          <w:ilvl w:val="0"/>
          <w:numId w:val="1004"/>
        </w:numPr>
        <w:pStyle w:val="Compact"/>
      </w:pPr>
      <w:r>
        <w:rPr>
          <w:bCs/>
          <w:b/>
        </w:rPr>
        <w:t xml:space="preserve">Product Lifespan:</w:t>
      </w:r>
      <w:r>
        <w:t xml:space="preserve"> </w:t>
      </w:r>
      <w:r>
        <w:rPr>
          <w:bCs/>
          <w:b/>
        </w:rPr>
        <w:t xml:space="preserve">jfheuxktfv</w:t>
      </w:r>
      <w:r>
        <w:t xml:space="preserve"> </w:t>
      </w:r>
      <w:r>
        <w:t xml:space="preserve">(Illustrative assumption for calculation: 7 years).</w:t>
      </w:r>
    </w:p>
    <w:p>
      <w:pPr>
        <w:numPr>
          <w:ilvl w:val="0"/>
          <w:numId w:val="1004"/>
        </w:numPr>
        <w:pStyle w:val="Compact"/>
      </w:pPr>
      <w:r>
        <w:rPr>
          <w:bCs/>
          <w:b/>
        </w:rPr>
        <w:t xml:space="preserve">Energy Consumption in Use:</w:t>
      </w:r>
      <w:r>
        <w:t xml:space="preserve"> </w:t>
      </w:r>
      <w:r>
        <w:rPr>
          <w:bCs/>
          <w:b/>
        </w:rPr>
        <w:t xml:space="preserve">uznvhugesq</w:t>
      </w:r>
      <w:r>
        <w:t xml:space="preserve"> </w:t>
      </w:r>
      <w:r>
        <w:t xml:space="preserve">(Illustrative assumption for calculation: 25 kWh/year).</w:t>
      </w:r>
    </w:p>
    <w:p>
      <w:pPr>
        <w:numPr>
          <w:ilvl w:val="0"/>
          <w:numId w:val="1004"/>
        </w:numPr>
        <w:pStyle w:val="Compact"/>
      </w:pPr>
      <w:r>
        <w:rPr>
          <w:bCs/>
          <w:b/>
        </w:rPr>
        <w:t xml:space="preserve">Electricity Emission Factor (Consumer Grid):</w:t>
      </w:r>
      <w:r>
        <w:t xml:space="preserve"> </w:t>
      </w:r>
      <w:r>
        <w:t xml:space="preserve">Assumed 0.3 kgCO2e/kWh (EU average, given "Europe Focused" supply chain, implying European consumption).</w:t>
      </w:r>
    </w:p>
    <w:bookmarkEnd w:id="40"/>
    <w:bookmarkStart w:id="41" w:name="end-of-life-eol-data"/>
    <w:p>
      <w:pPr>
        <w:pStyle w:val="Heading3"/>
      </w:pPr>
      <w:r>
        <w:t xml:space="preserve">3.5 End-of-Life (EoL) Data</w:t>
      </w:r>
    </w:p>
    <w:p>
      <w:pPr>
        <w:numPr>
          <w:ilvl w:val="0"/>
          <w:numId w:val="1005"/>
        </w:numPr>
        <w:pStyle w:val="Compact"/>
      </w:pPr>
      <w:r>
        <w:rPr>
          <w:bCs/>
          <w:b/>
        </w:rPr>
        <w:t xml:space="preserve">Recyclability Percentage:</w:t>
      </w:r>
      <w:r>
        <w:t xml:space="preserve"> </w:t>
      </w:r>
      <w:r>
        <w:rPr>
          <w:bCs/>
          <w:b/>
        </w:rPr>
        <w:t xml:space="preserve">ujkhhhuzjp</w:t>
      </w:r>
      <w:r>
        <w:t xml:space="preserve"> </w:t>
      </w:r>
      <w:r>
        <w:t xml:space="preserve">(Illustrative assumption for calculation: 65% by mass).</w:t>
      </w:r>
    </w:p>
    <w:p>
      <w:pPr>
        <w:numPr>
          <w:ilvl w:val="0"/>
          <w:numId w:val="1005"/>
        </w:numPr>
        <w:pStyle w:val="Compact"/>
      </w:pPr>
      <w:r>
        <w:rPr>
          <w:bCs/>
          <w:b/>
        </w:rPr>
        <w:t xml:space="preserve">Circular/Take-back Programs:</w:t>
      </w:r>
      <w:r>
        <w:t xml:space="preserve"> </w:t>
      </w:r>
      <w:r>
        <w:rPr>
          <w:bCs/>
          <w:b/>
        </w:rPr>
        <w:t xml:space="preserve">sdoxmnqyfi</w:t>
      </w:r>
      <w:r>
        <w:t xml:space="preserve"> </w:t>
      </w:r>
      <w:r>
        <w:t xml:space="preserve">(The existence of these programs suggests efforts to mitigate EoL impacts, potentially leading to higher recycling rates or material recovery. For calculation, a 65% recyclability rate is applied, with the remaining 35% assumed to go to landfill, incurring disposal emissions).</w:t>
      </w:r>
    </w:p>
    <w:p>
      <w:pPr>
        <w:numPr>
          <w:ilvl w:val="0"/>
          <w:numId w:val="1005"/>
        </w:numPr>
        <w:pStyle w:val="Compact"/>
      </w:pPr>
      <w:r>
        <w:rPr>
          <w:bCs/>
          <w:b/>
        </w:rPr>
        <w:t xml:space="preserve">Disposal Emission Factor (Landfill):</w:t>
      </w:r>
      <w:r>
        <w:t xml:space="preserve"> </w:t>
      </w:r>
      <w:r>
        <w:t xml:space="preserve">Assumed 0.05 kgCO2e/kg for non-recycled waste.</w:t>
      </w:r>
    </w:p>
    <w:p>
      <w:r>
        <w:pict>
          <v:rect style="width:0;height:1.5pt" o:hralign="center" o:hrstd="t" o:hr="t"/>
        </w:pict>
      </w:r>
    </w:p>
    <w:bookmarkEnd w:id="41"/>
    <w:bookmarkEnd w:id="42"/>
    <w:bookmarkStart w:id="5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into Scope 1, Scope 2, and Scope 3.</w:t>
      </w:r>
    </w:p>
    <w:bookmarkStart w:id="43" w:name="scope-1-emissions-direct-emissions"/>
    <w:p>
      <w:pPr>
        <w:pStyle w:val="Heading3"/>
      </w:pPr>
      <w:r>
        <w:t xml:space="preserve">4.1 Scope 1 Emissions (Direct Emissions)</w:t>
      </w:r>
    </w:p>
    <w:p>
      <w:pPr>
        <w:pStyle w:val="FirstParagraph"/>
      </w:pPr>
      <w:r>
        <w:t xml:space="preserve">No specific data for Scope 1 direct emissions (e.g., from company-owned vehicles or on-site fuel combustion not for electricity generation) was provided in the parameters. Therefore, Scope 1 emissions for</w:t>
      </w:r>
      <w:r>
        <w:t xml:space="preserve"> </w:t>
      </w:r>
      <w:r>
        <w:rPr>
          <w:bCs/>
          <w:b/>
        </w:rPr>
        <w:t xml:space="preserve">hqrrpplzhr</w:t>
      </w:r>
      <w:r>
        <w:t xml:space="preserve"> </w:t>
      </w:r>
      <w:r>
        <w:t xml:space="preserve">are considered negligible or already embedded within the upstream/downstream Scope 3 categories or Scope 2 for purchased energy. If vrqgpjvilu has direct emissions from owned or controlled sources at the production facility not related to purchased electricity, these would be quantified here.</w:t>
      </w:r>
    </w:p>
    <w:bookmarkEnd w:id="43"/>
    <w:bookmarkStart w:id="44" w:name="scope-2-emissions-purchased-energy"/>
    <w:p>
      <w:pPr>
        <w:pStyle w:val="Heading3"/>
      </w:pPr>
      <w:r>
        <w:t xml:space="preserve">4.2 Scope 2 Emissions (Purchased Energy)</w:t>
      </w:r>
    </w:p>
    <w:p>
      <w:pPr>
        <w:pStyle w:val="FirstParagraph"/>
      </w:pPr>
      <w:r>
        <w:t xml:space="preserve">These emissions arise from the generation of purchased electricity consumed by</w:t>
      </w:r>
      <w:r>
        <w:t xml:space="preserve"> </w:t>
      </w:r>
      <w:r>
        <w:rPr>
          <w:bCs/>
          <w:b/>
        </w:rPr>
        <w:t xml:space="preserve">vrqgpjvilu</w:t>
      </w:r>
      <w:r>
        <w:t xml:space="preserve"> </w:t>
      </w:r>
      <w:r>
        <w:t xml:space="preserve">for manufacturing</w:t>
      </w:r>
      <w:r>
        <w:t xml:space="preserve"> </w:t>
      </w:r>
      <w:r>
        <w:rPr>
          <w:bCs/>
          <w:b/>
        </w:rPr>
        <w:t xml:space="preserve">hqrrpplzhr</w:t>
      </w:r>
      <w:r>
        <w:t xml:space="preserve">.</w:t>
      </w:r>
    </w:p>
    <w:p>
      <w:pPr>
        <w:numPr>
          <w:ilvl w:val="0"/>
          <w:numId w:val="1006"/>
        </w:numPr>
        <w:pStyle w:val="Compact"/>
      </w:pPr>
      <w:r>
        <w:t xml:space="preserve">Total Energy Intensity: 15 kWh/unit (</w:t>
      </w:r>
      <w:r>
        <w:rPr>
          <w:bCs/>
          <w:b/>
        </w:rPr>
        <w:t xml:space="preserve">xnzqozitfd</w:t>
      </w:r>
      <w:r>
        <w:t xml:space="preserve"> </w:t>
      </w:r>
      <w:r>
        <w:t xml:space="preserve">assumed)</w:t>
      </w:r>
    </w:p>
    <w:p>
      <w:pPr>
        <w:numPr>
          <w:ilvl w:val="0"/>
          <w:numId w:val="1006"/>
        </w:numPr>
        <w:pStyle w:val="Compact"/>
      </w:pPr>
      <w:r>
        <w:t xml:space="preserve">Renewable Energy Usage: 40% (</w:t>
      </w:r>
      <w:r>
        <w:rPr>
          <w:bCs/>
          <w:b/>
        </w:rPr>
        <w:t xml:space="preserve">nuinlkurjt</w:t>
      </w:r>
      <w:r>
        <w:t xml:space="preserve"> </w:t>
      </w:r>
      <w:r>
        <w:t xml:space="preserve">assumed)</w:t>
      </w:r>
    </w:p>
    <w:p>
      <w:pPr>
        <w:numPr>
          <w:ilvl w:val="0"/>
          <w:numId w:val="1006"/>
        </w:numPr>
        <w:pStyle w:val="Compact"/>
      </w:pPr>
      <w:r>
        <w:t xml:space="preserve">Non-renewable Energy Usage: 15 kWh/unit * (1 - 0.40) = 9 kWh/unit</w:t>
      </w:r>
    </w:p>
    <w:p>
      <w:pPr>
        <w:numPr>
          <w:ilvl w:val="0"/>
          <w:numId w:val="1006"/>
        </w:numPr>
        <w:pStyle w:val="Compact"/>
      </w:pPr>
      <w:r>
        <w:t xml:space="preserve">China Grid Emission Factor (non-renewable portion): 0.6 kgCO2e/kWh</w:t>
      </w:r>
    </w:p>
    <w:p>
      <w:pPr>
        <w:numPr>
          <w:ilvl w:val="0"/>
          <w:numId w:val="1006"/>
        </w:numPr>
        <w:pStyle w:val="Compact"/>
      </w:pPr>
      <w:r>
        <w:rPr>
          <w:bCs/>
          <w:b/>
        </w:rPr>
        <w:t xml:space="preserve">Scope 2 Emissions = 9 kWh/unit * 0.6 kgCO2e/kWh = 5.4 kgCO2e/unit</w:t>
      </w:r>
    </w:p>
    <w:bookmarkEnd w:id="44"/>
    <w:bookmarkStart w:id="52" w:name="scope-3-emissions-value-chain-emissions"/>
    <w:p>
      <w:pPr>
        <w:pStyle w:val="Heading3"/>
      </w:pPr>
      <w:r>
        <w:t xml:space="preserve">4.3 Scope 3 Emissions (Value Chain Emissions)</w:t>
      </w:r>
    </w:p>
    <w:p>
      <w:pPr>
        <w:pStyle w:val="FirstParagraph"/>
      </w:pPr>
      <w:r>
        <w:t xml:space="preserve">Scope 3 emissions represent the most significant portion of a product\'s carbon footprint and cover all indirect emissions both upstream and downstream.</w:t>
      </w:r>
    </w:p>
    <w:bookmarkStart w:id="47" w:name="upstream-emissions"/>
    <w:p>
      <w:pPr>
        <w:pStyle w:val="Heading4"/>
      </w:pPr>
      <w:r>
        <w:t xml:space="preserve">4.3.1 Upstream Emissions</w:t>
      </w:r>
    </w:p>
    <w:bookmarkStart w:id="45" w:name="Xd6ef2acf3700fa10afb1c7deefed15bfd928f1f"/>
    <w:p>
      <w:pPr>
        <w:pStyle w:val="Heading5"/>
      </w:pPr>
      <w:r>
        <w:t xml:space="preserve">Materials (Category 1: Purchased Goods and Services)</w:t>
      </w:r>
    </w:p>
    <w:p>
      <w:pPr>
        <w:pStyle w:val="FirstParagraph"/>
      </w:pPr>
      <w:r>
        <w:t xml:space="preserve">Based on the illustrative BOM data provided in Section 3.1:</w:t>
      </w:r>
    </w:p>
    <w:p>
      <w:pPr>
        <w:numPr>
          <w:ilvl w:val="0"/>
          <w:numId w:val="1007"/>
        </w:numPr>
        <w:pStyle w:val="Compact"/>
      </w:pPr>
      <w:r>
        <w:rPr>
          <w:bCs/>
          <w:b/>
        </w:rPr>
        <w:t xml:space="preserve">Total Material Carbon Footprint: 5.00 kgCO2e/unit</w:t>
      </w:r>
    </w:p>
    <w:bookmarkEnd w:id="45"/>
    <w:bookmarkStart w:id="46" w:name="X0341c5f4cbf555cf04991b733c1f9771bc88bb7"/>
    <w:p>
      <w:pPr>
        <w:pStyle w:val="Heading5"/>
      </w:pPr>
      <w:r>
        <w:t xml:space="preserve">Transport (Category 4: Upstream Transportation and Distribution)</w:t>
      </w:r>
    </w:p>
    <w:p>
      <w:pPr>
        <w:numPr>
          <w:ilvl w:val="0"/>
          <w:numId w:val="1008"/>
        </w:numPr>
        <w:pStyle w:val="Compact"/>
      </w:pPr>
      <w:r>
        <w:t xml:space="preserve">Assumed Product Weight: 0.8 kg/unit (derived from illustrative BOM quantities, assuming avg density)</w:t>
      </w:r>
    </w:p>
    <w:p>
      <w:pPr>
        <w:numPr>
          <w:ilvl w:val="0"/>
          <w:numId w:val="1008"/>
        </w:numPr>
        <w:pStyle w:val="Compact"/>
      </w:pPr>
      <w:r>
        <w:t xml:space="preserve">Transport Distance: 2500 km (</w:t>
      </w:r>
      <w:r>
        <w:rPr>
          <w:bCs/>
          <w:b/>
        </w:rPr>
        <w:t xml:space="preserve">dezjmzoqzg</w:t>
      </w:r>
      <w:r>
        <w:t xml:space="preserve"> </w:t>
      </w:r>
      <w:r>
        <w:t xml:space="preserve">assumed)</w:t>
      </w:r>
    </w:p>
    <w:p>
      <w:pPr>
        <w:numPr>
          <w:ilvl w:val="0"/>
          <w:numId w:val="1008"/>
        </w:numPr>
        <w:pStyle w:val="Compact"/>
      </w:pPr>
      <w:r>
        <w:t xml:space="preserve">Transport Emission Factor: 0.08 kgCO2e/tonne-km</w:t>
      </w:r>
    </w:p>
    <w:p>
      <w:pPr>
        <w:numPr>
          <w:ilvl w:val="0"/>
          <w:numId w:val="1008"/>
        </w:numPr>
        <w:pStyle w:val="Compact"/>
      </w:pPr>
      <w:r>
        <w:rPr>
          <w:bCs/>
          <w:b/>
        </w:rPr>
        <w:t xml:space="preserve">Upstream Transport Emissions = 0.8 kg/unit * (1 tonne / 1000 kg) * 2500 km * 0.08 kgCO2e/tonne-km = 0.16 kgCO2e/unit</w:t>
      </w:r>
    </w:p>
    <w:bookmarkEnd w:id="46"/>
    <w:bookmarkEnd w:id="47"/>
    <w:bookmarkStart w:id="51" w:name="downstream-emissions"/>
    <w:p>
      <w:pPr>
        <w:pStyle w:val="Heading4"/>
      </w:pPr>
      <w:r>
        <w:t xml:space="preserve">4.3.2 Downstream Emissions</w:t>
      </w:r>
    </w:p>
    <w:bookmarkStart w:id="48" w:name="X8d12bf184da61ed1b86eb215c14cb92288143a6"/>
    <w:p>
      <w:pPr>
        <w:pStyle w:val="Heading5"/>
      </w:pPr>
      <w:r>
        <w:t xml:space="preserve">Use Phase (Category 11: Use of Sold Products)</w:t>
      </w:r>
    </w:p>
    <w:p>
      <w:pPr>
        <w:numPr>
          <w:ilvl w:val="0"/>
          <w:numId w:val="1009"/>
        </w:numPr>
        <w:pStyle w:val="Compact"/>
      </w:pPr>
      <w:r>
        <w:t xml:space="preserve">Product Lifespan: 7 years (</w:t>
      </w:r>
      <w:r>
        <w:rPr>
          <w:bCs/>
          <w:b/>
        </w:rPr>
        <w:t xml:space="preserve">jfheuxktfv</w:t>
      </w:r>
      <w:r>
        <w:t xml:space="preserve"> </w:t>
      </w:r>
      <w:r>
        <w:t xml:space="preserve">assumed)</w:t>
      </w:r>
    </w:p>
    <w:p>
      <w:pPr>
        <w:numPr>
          <w:ilvl w:val="0"/>
          <w:numId w:val="1009"/>
        </w:numPr>
        <w:pStyle w:val="Compact"/>
      </w:pPr>
      <w:r>
        <w:t xml:space="preserve">Energy Consumption in Use: 25 kWh/year (</w:t>
      </w:r>
      <w:r>
        <w:rPr>
          <w:bCs/>
          <w:b/>
        </w:rPr>
        <w:t xml:space="preserve">uznvhugesq</w:t>
      </w:r>
      <w:r>
        <w:t xml:space="preserve"> </w:t>
      </w:r>
      <w:r>
        <w:t xml:space="preserve">assumed)</w:t>
      </w:r>
    </w:p>
    <w:p>
      <w:pPr>
        <w:numPr>
          <w:ilvl w:val="0"/>
          <w:numId w:val="1009"/>
        </w:numPr>
        <w:pStyle w:val="Compact"/>
      </w:pPr>
      <w:r>
        <w:t xml:space="preserve">Total Energy Consumption over Lifespan: 25 kWh/year * 7 years = 175 kWh/unit</w:t>
      </w:r>
    </w:p>
    <w:p>
      <w:pPr>
        <w:numPr>
          <w:ilvl w:val="0"/>
          <w:numId w:val="1009"/>
        </w:numPr>
        <w:pStyle w:val="Compact"/>
      </w:pPr>
      <w:r>
        <w:t xml:space="preserve">Consumer Grid Emission Factor (EU): 0.3 kgCO2e/kWh</w:t>
      </w:r>
    </w:p>
    <w:p>
      <w:pPr>
        <w:numPr>
          <w:ilvl w:val="0"/>
          <w:numId w:val="1009"/>
        </w:numPr>
        <w:pStyle w:val="Compact"/>
      </w:pPr>
      <w:r>
        <w:rPr>
          <w:bCs/>
          <w:b/>
        </w:rPr>
        <w:t xml:space="preserve">Use Phase Emissions = 175 kWh/unit * 0.3 kgCO2e/kWh = 52.5 kgCO2e/unit</w:t>
      </w:r>
    </w:p>
    <w:bookmarkEnd w:id="48"/>
    <w:bookmarkStart w:id="49" w:name="X0be21310ab81f542a201c2c7e51858b701e7fc6"/>
    <w:p>
      <w:pPr>
        <w:pStyle w:val="Heading5"/>
      </w:pPr>
      <w:r>
        <w:t xml:space="preserve">End-of-Life (Category 12: End-of-Life Treatment of Sold Products)</w:t>
      </w:r>
    </w:p>
    <w:p>
      <w:pPr>
        <w:numPr>
          <w:ilvl w:val="0"/>
          <w:numId w:val="1010"/>
        </w:numPr>
        <w:pStyle w:val="Compact"/>
      </w:pPr>
      <w:r>
        <w:t xml:space="preserve">Product Weight: 0.8 kg/unit</w:t>
      </w:r>
    </w:p>
    <w:p>
      <w:pPr>
        <w:numPr>
          <w:ilvl w:val="0"/>
          <w:numId w:val="1010"/>
        </w:numPr>
        <w:pStyle w:val="Compact"/>
      </w:pPr>
      <w:r>
        <w:t xml:space="preserve">Recyclability Percentage: 65% (</w:t>
      </w:r>
      <w:r>
        <w:rPr>
          <w:bCs/>
          <w:b/>
        </w:rPr>
        <w:t xml:space="preserve">ujkhhhuzjp</w:t>
      </w:r>
      <w:r>
        <w:t xml:space="preserve"> </w:t>
      </w:r>
      <w:r>
        <w:t xml:space="preserve">assumed)</w:t>
      </w:r>
    </w:p>
    <w:p>
      <w:pPr>
        <w:numPr>
          <w:ilvl w:val="0"/>
          <w:numId w:val="1010"/>
        </w:numPr>
        <w:pStyle w:val="Compact"/>
      </w:pPr>
      <w:r>
        <w:t xml:space="preserve">Waste to Landfill: 0.8 kg/unit * (1 - 0.65) = 0.28 kg/unit</w:t>
      </w:r>
    </w:p>
    <w:p>
      <w:pPr>
        <w:numPr>
          <w:ilvl w:val="0"/>
          <w:numId w:val="1010"/>
        </w:numPr>
        <w:pStyle w:val="Compact"/>
      </w:pPr>
      <w:r>
        <w:t xml:space="preserve">Disposal Emission Factor: 0.05 kgCO2e/kg</w:t>
      </w:r>
    </w:p>
    <w:p>
      <w:pPr>
        <w:numPr>
          <w:ilvl w:val="0"/>
          <w:numId w:val="1010"/>
        </w:numPr>
        <w:pStyle w:val="Compact"/>
      </w:pPr>
      <w:r>
        <w:rPr>
          <w:bCs/>
          <w:b/>
        </w:rPr>
        <w:t xml:space="preserve">End-of-Life Emissions = 0.28 kg/unit * 0.05 kgCO2e/kg = 0.014 kgCO2e/unit</w:t>
      </w:r>
    </w:p>
    <w:p>
      <w:pPr>
        <w:numPr>
          <w:ilvl w:val="0"/>
          <w:numId w:val="1010"/>
        </w:numPr>
        <w:pStyle w:val="Compact"/>
      </w:pPr>
      <w:r>
        <w:rPr>
          <w:bCs/>
          <w:b/>
        </w:rPr>
        <w:t xml:space="preserve">Circular/Take-back Programs (sdoxmnqyfi):</w:t>
      </w:r>
      <w:r>
        <w:t xml:space="preserve"> </w:t>
      </w:r>
      <w:r>
        <w:t xml:space="preserve">The presence of these programs is assumed to contribute to the 65% recyclability rate, reducing landfill waste and associated emissions. Potential for further credits if closed-loop recycling reduces demand for virgin materials.</w:t>
      </w:r>
    </w:p>
    <w:bookmarkEnd w:id="49"/>
    <w:bookmarkStart w:id="50" w:name="X5da80134736df69583d6e29f5e62b518fe9989a"/>
    <w:p>
      <w:pPr>
        <w:pStyle w:val="Heading5"/>
      </w:pPr>
      <w:r>
        <w:t xml:space="preserve">Last-Mile Delivery (Category 9: Downstream Transportation and Distribution - if separate from main distribution)</w:t>
      </w:r>
    </w:p>
    <w:p>
      <w:pPr>
        <w:pStyle w:val="FirstParagraph"/>
      </w:pPr>
      <w:r>
        <w:t xml:space="preserve">Given \'Delivery Type\' is a specific parameter, we allocate an emission factor for it.</w:t>
      </w:r>
    </w:p>
    <w:p>
      <w:pPr>
        <w:numPr>
          <w:ilvl w:val="0"/>
          <w:numId w:val="1011"/>
        </w:numPr>
        <w:pStyle w:val="Compact"/>
      </w:pPr>
      <w:r>
        <w:t xml:space="preserve">Assumed Last-Mile Emission Factor: 0.5 kgCO2e/unit (for</w:t>
      </w:r>
      <w:r>
        <w:t xml:space="preserve"> </w:t>
      </w:r>
      <w:r>
        <w:rPr>
          <w:bCs/>
          <w:b/>
        </w:rPr>
        <w:t xml:space="preserve">Delivery Type</w:t>
      </w:r>
      <w:r>
        <w:t xml:space="preserve">)</w:t>
      </w:r>
    </w:p>
    <w:p>
      <w:pPr>
        <w:numPr>
          <w:ilvl w:val="0"/>
          <w:numId w:val="1011"/>
        </w:numPr>
        <w:pStyle w:val="Compact"/>
      </w:pPr>
      <w:r>
        <w:rPr>
          <w:bCs/>
          <w:b/>
        </w:rPr>
        <w:t xml:space="preserve">Last-Mile Delivery Emissions = 0.5 kgCO2e/unit</w:t>
      </w:r>
    </w:p>
    <w:bookmarkEnd w:id="50"/>
    <w:bookmarkEnd w:id="51"/>
    <w:bookmarkEnd w:id="52"/>
    <w:bookmarkStart w:id="53" w:name="X9b8f96e5fd6ec30b02c91cc11d45f1568d9808c"/>
    <w:p>
      <w:pPr>
        <w:pStyle w:val="Heading3"/>
      </w:pPr>
      <w:r>
        <w:t xml:space="preserve">4.4 Summary of Emissions by Scope and Lifecycle Stage</w:t>
      </w:r>
    </w:p>
    <w:p>
      <w:pPr>
        <w:pStyle w:val="FirstParagraph"/>
      </w:pPr>
      <w:r>
        <w:t xml:space="preserve">Total estimated Product Carbon Footprint for</w:t>
      </w:r>
      <w:r>
        <w:t xml:space="preserve"> </w:t>
      </w:r>
      <w:r>
        <w:rPr>
          <w:bCs/>
          <w:b/>
        </w:rPr>
        <w:t xml:space="preserve">hqrrpplzhr</w:t>
      </w:r>
      <w:r>
        <w:t xml:space="preserve"> </w:t>
      </w:r>
      <w:r>
        <w:t xml:space="preserve">per functional unit (1.0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(kgCO2e/unit)</w:t>
            </w:r>
          </w:p>
        </w:tc>
        <w:tc>
          <w:tcPr/>
          <w:p>
            <w:pPr>
              <w:pStyle w:val="Compact"/>
              <w:jc w:val="left"/>
            </w:pPr>
            <w:r>
              <w:t xml:space="preserve">Percentage (%)</w:t>
            </w:r>
          </w:p>
        </w:tc>
      </w:tr>
      <w:tr>
        <w:tc>
          <w:tcPr>
            <w:gridSpan w:val="3"/>
          </w:tcPr>
          <w:p>
            <w:pPr>
              <w:pStyle w:val="Compact"/>
              <w:jc w:val="left"/>
            </w:pPr>
            <w:r>
              <w:rPr>
                <w:bCs/>
                <w:b/>
              </w:rPr>
              <w:t xml:space="preserve">GHG Protocol Scopes</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5.40</w:t>
            </w:r>
          </w:p>
        </w:tc>
        <w:tc>
          <w:tcPr/>
          <w:p>
            <w:pPr>
              <w:pStyle w:val="Compact"/>
              <w:jc w:val="left"/>
            </w:pPr>
            <w:r>
              <w:t xml:space="preserve">8.8%</w:t>
            </w:r>
          </w:p>
        </w:tc>
      </w:tr>
      <w:tr>
        <w:tc>
          <w:tcPr/>
          <w:p>
            <w:pPr>
              <w:pStyle w:val="Compact"/>
              <w:jc w:val="left"/>
            </w:pPr>
            <w:r>
              <w:t xml:space="preserve">Scope 3 (Value Chain)</w:t>
            </w:r>
          </w:p>
        </w:tc>
        <w:tc>
          <w:tcPr/>
          <w:p>
            <w:pPr>
              <w:pStyle w:val="Compact"/>
              <w:jc w:val="left"/>
            </w:pPr>
            <w:r>
              <w:t xml:space="preserve">58.17</w:t>
            </w:r>
          </w:p>
        </w:tc>
        <w:tc>
          <w:tcPr/>
          <w:p>
            <w:pPr>
              <w:pStyle w:val="Compact"/>
              <w:jc w:val="left"/>
            </w:pPr>
            <w:r>
              <w:t xml:space="preserve">91.2%</w:t>
            </w:r>
          </w:p>
        </w:tc>
      </w:tr>
      <w:tr>
        <w:tc>
          <w:tcPr>
            <w:gridSpan w:val="3"/>
          </w:tcPr>
          <w:p>
            <w:pPr>
              <w:pStyle w:val="Compact"/>
              <w:jc w:val="left"/>
            </w:pPr>
            <w:r>
              <w:rPr>
                <w:bCs/>
                <w:b/>
              </w:rPr>
              <w:t xml:space="preserve">Lifecycle Stages</w:t>
            </w:r>
          </w:p>
        </w:tc>
      </w:tr>
      <w:tr>
        <w:tc>
          <w:tcPr/>
          <w:p>
            <w:pPr>
              <w:pStyle w:val="Compact"/>
              <w:jc w:val="left"/>
            </w:pPr>
            <w:r>
              <w:t xml:space="preserve">Materials (Scope 3 Upstream)</w:t>
            </w:r>
          </w:p>
        </w:tc>
        <w:tc>
          <w:tcPr/>
          <w:p>
            <w:pPr>
              <w:pStyle w:val="Compact"/>
              <w:jc w:val="left"/>
            </w:pPr>
            <w:r>
              <w:t xml:space="preserve">5.00</w:t>
            </w:r>
          </w:p>
        </w:tc>
        <w:tc>
          <w:tcPr/>
          <w:p>
            <w:pPr>
              <w:pStyle w:val="Compact"/>
              <w:jc w:val="left"/>
            </w:pPr>
            <w:r>
              <w:t xml:space="preserve">8.2%</w:t>
            </w:r>
          </w:p>
        </w:tc>
      </w:tr>
      <w:tr>
        <w:tc>
          <w:tcPr/>
          <w:p>
            <w:pPr>
              <w:pStyle w:val="Compact"/>
              <w:jc w:val="left"/>
            </w:pPr>
            <w:r>
              <w:t xml:space="preserve">Manufacturing (Scope 2)</w:t>
            </w:r>
          </w:p>
        </w:tc>
        <w:tc>
          <w:tcPr/>
          <w:p>
            <w:pPr>
              <w:pStyle w:val="Compact"/>
              <w:jc w:val="left"/>
            </w:pPr>
            <w:r>
              <w:t xml:space="preserve">5.40</w:t>
            </w:r>
          </w:p>
        </w:tc>
        <w:tc>
          <w:tcPr/>
          <w:p>
            <w:pPr>
              <w:pStyle w:val="Compact"/>
              <w:jc w:val="left"/>
            </w:pPr>
            <w:r>
              <w:t xml:space="preserve">8.8%</w:t>
            </w:r>
          </w:p>
        </w:tc>
      </w:tr>
      <w:tr>
        <w:tc>
          <w:tcPr/>
          <w:p>
            <w:pPr>
              <w:pStyle w:val="Compact"/>
              <w:jc w:val="left"/>
            </w:pPr>
            <w:r>
              <w:t xml:space="preserve">Upstream Transport (Scope 3 Upstream)</w:t>
            </w:r>
          </w:p>
        </w:tc>
        <w:tc>
          <w:tcPr/>
          <w:p>
            <w:pPr>
              <w:pStyle w:val="Compact"/>
              <w:jc w:val="left"/>
            </w:pPr>
            <w:r>
              <w:t xml:space="preserve">0.16</w:t>
            </w:r>
          </w:p>
        </w:tc>
        <w:tc>
          <w:tcPr/>
          <w:p>
            <w:pPr>
              <w:pStyle w:val="Compact"/>
              <w:jc w:val="left"/>
            </w:pPr>
            <w:r>
              <w:t xml:space="preserve">0.3%</w:t>
            </w:r>
          </w:p>
        </w:tc>
      </w:tr>
      <w:tr>
        <w:tc>
          <w:tcPr/>
          <w:p>
            <w:pPr>
              <w:pStyle w:val="Compact"/>
              <w:jc w:val="left"/>
            </w:pPr>
            <w:r>
              <w:t xml:space="preserve">Last-Mile Delivery (Scope 3 Downstream)</w:t>
            </w:r>
          </w:p>
        </w:tc>
        <w:tc>
          <w:tcPr/>
          <w:p>
            <w:pPr>
              <w:pStyle w:val="Compact"/>
              <w:jc w:val="left"/>
            </w:pPr>
            <w:r>
              <w:t xml:space="preserve">0.50</w:t>
            </w:r>
          </w:p>
        </w:tc>
        <w:tc>
          <w:tcPr/>
          <w:p>
            <w:pPr>
              <w:pStyle w:val="Compact"/>
              <w:jc w:val="left"/>
            </w:pPr>
            <w:r>
              <w:t xml:space="preserve">0.8%</w:t>
            </w:r>
          </w:p>
        </w:tc>
      </w:tr>
      <w:tr>
        <w:tc>
          <w:tcPr/>
          <w:p>
            <w:pPr>
              <w:pStyle w:val="Compact"/>
              <w:jc w:val="left"/>
            </w:pPr>
            <w:r>
              <w:t xml:space="preserve">Use Phase (Scope 3 Downstream)</w:t>
            </w:r>
          </w:p>
        </w:tc>
        <w:tc>
          <w:tcPr/>
          <w:p>
            <w:pPr>
              <w:pStyle w:val="Compact"/>
              <w:jc w:val="left"/>
            </w:pPr>
            <w:r>
              <w:t xml:space="preserve">52.50</w:t>
            </w:r>
          </w:p>
        </w:tc>
        <w:tc>
          <w:tcPr/>
          <w:p>
            <w:pPr>
              <w:pStyle w:val="Compact"/>
              <w:jc w:val="left"/>
            </w:pPr>
            <w:r>
              <w:t xml:space="preserve">85.7%</w:t>
            </w:r>
          </w:p>
        </w:tc>
      </w:tr>
      <w:tr>
        <w:tc>
          <w:tcPr/>
          <w:p>
            <w:pPr>
              <w:pStyle w:val="Compact"/>
              <w:jc w:val="left"/>
            </w:pPr>
            <w:r>
              <w:t xml:space="preserve">End-of-Life (Scope 3 Downstream)</w:t>
            </w:r>
          </w:p>
        </w:tc>
        <w:tc>
          <w:tcPr/>
          <w:p>
            <w:pPr>
              <w:pStyle w:val="Compact"/>
              <w:jc w:val="left"/>
            </w:pPr>
            <w:r>
              <w:t xml:space="preserve">0.014</w:t>
            </w:r>
          </w:p>
        </w:tc>
        <w:tc>
          <w:tcPr/>
          <w:p>
            <w:pPr>
              <w:pStyle w:val="Compact"/>
              <w:jc w:val="left"/>
            </w:pPr>
            <w:r>
              <w:t xml:space="preserve">0.0%</w:t>
            </w:r>
          </w:p>
        </w:tc>
      </w:tr>
      <w:tr>
        <w:tc>
          <w:tcPr/>
          <w:p>
            <w:pPr>
              <w:pStyle w:val="Compact"/>
              <w:jc w:val="left"/>
            </w:pPr>
            <w:r>
              <w:rPr>
                <w:bCs/>
                <w:b/>
              </w:rPr>
              <w:t xml:space="preserve">Total Product Carbon Footprint</w:t>
            </w:r>
          </w:p>
        </w:tc>
        <w:tc>
          <w:tcPr/>
          <w:p>
            <w:pPr>
              <w:pStyle w:val="Compact"/>
              <w:jc w:val="left"/>
            </w:pPr>
            <w:r>
              <w:rPr>
                <w:bCs/>
                <w:b/>
              </w:rPr>
              <w:t xml:space="preserve">63.574 kgCO2e/unit</w:t>
            </w:r>
          </w:p>
        </w:tc>
        <w:tc>
          <w:tcPr/>
          <w:p>
            <w:pPr>
              <w:pStyle w:val="Compact"/>
              <w:jc w:val="left"/>
            </w:pPr>
            <w:r>
              <w:rPr>
                <w:bCs/>
                <w:b/>
              </w:rPr>
              <w:t xml:space="preserve">100.0%</w:t>
            </w:r>
          </w:p>
        </w:tc>
      </w:tr>
    </w:tbl>
    <w:p>
      <w:pPr>
        <w:pStyle w:val="BodyText"/>
      </w:pPr>
      <w:r>
        <w:rPr>
          <w:iCs/>
          <w:i/>
        </w:rPr>
        <w:t xml:space="preserve">Note: Percentages may not sum to 100% due to rounding.</w:t>
      </w:r>
    </w:p>
    <w:bookmarkEnd w:id="53"/>
    <w:bookmarkStart w:id="54" w:name="lsr-update-application"/>
    <w:p>
      <w:pPr>
        <w:pStyle w:val="Heading3"/>
      </w:pPr>
      <w:r>
        <w:t xml:space="preserve">4.5 2026 LSR Update Application</w:t>
      </w:r>
    </w:p>
    <w:p>
      <w:pPr>
        <w:pStyle w:val="FirstParagraph"/>
      </w:pPr>
      <w:r>
        <w:t xml:space="preserve">While specific land use data for</w:t>
      </w:r>
      <w:r>
        <w:t xml:space="preserve"> </w:t>
      </w:r>
      <w:r>
        <w:rPr>
          <w:bCs/>
          <w:b/>
        </w:rPr>
        <w:t xml:space="preserve">hqrrpplzhr</w:t>
      </w:r>
      <w:r>
        <w:t xml:space="preserve">\'s supply chain or direct operations was not provided, this analysis acknowledges the application of the Land Sector and Removals (LSR) Standard. For products with significant bio-based materials or land-intensive processes, this standard would provide a more granular accounting of carbon sequestration and emissions from land-use change. In the absence of specific data, it is assumed that the primary material inputs (e.g., plastics, metals, electronics) do not currently have significant direct land-use change impacts that would alter the overall PCF significantly within the factory_gate boundary and general supply chain focus.</w:t>
      </w:r>
    </w:p>
    <w:bookmarkEnd w:id="54"/>
    <w:bookmarkStart w:id="55" w:name="scope-3-compliance-95-coverage"/>
    <w:p>
      <w:pPr>
        <w:pStyle w:val="Heading3"/>
      </w:pPr>
      <w:r>
        <w:t xml:space="preserve">4.6 Scope 3 Compliance (95% Coverage)</w:t>
      </w:r>
    </w:p>
    <w:p>
      <w:pPr>
        <w:pStyle w:val="FirstParagraph"/>
      </w:pPr>
      <w:r>
        <w:t xml:space="preserve">This analysis has endeavored to achieve at least 95% coverage for Scope 3 emissions, as required by 2026 standards. By incorporating detailed data for materials (using illustrative</w:t>
      </w:r>
      <w:r>
        <w:t xml:space="preserve"> </w:t>
      </w:r>
      <w:r>
        <w:rPr>
          <w:bCs/>
          <w:b/>
        </w:rPr>
        <w:t xml:space="preserve">ykqlerpk</w:t>
      </w:r>
      <w:r>
        <w:t xml:space="preserve">), manufacturing energy, transport, use phase, and end-of-life, the major sources of value chain emissions have been addressed. Any remaining unquantified Scope 3 categories are considered minor in their potential contribution to the overall footprint based on the product type.</w:t>
      </w:r>
    </w:p>
    <w:p>
      <w:r>
        <w:pict>
          <v:rect style="width:0;height:1.5pt" o:hralign="center" o:hrstd="t" o:hr="t"/>
        </w:pict>
      </w:r>
    </w:p>
    <w:bookmarkEnd w:id="55"/>
    <w:bookmarkEnd w:id="56"/>
    <w:bookmarkStart w:id="59" w:name="review-report"/>
    <w:p>
      <w:pPr>
        <w:pStyle w:val="Heading2"/>
      </w:pPr>
      <w:r>
        <w:t xml:space="preserve">5. Review &amp; Report</w:t>
      </w:r>
    </w:p>
    <w:bookmarkStart w:id="57" w:name="hotspots-and-reliability"/>
    <w:p>
      <w:pPr>
        <w:pStyle w:val="Heading3"/>
      </w:pPr>
      <w:r>
        <w:t xml:space="preserve">5.1 Hotspots and Reliability</w:t>
      </w:r>
    </w:p>
    <w:p>
      <w:pPr>
        <w:pStyle w:val="FirstParagraph"/>
      </w:pPr>
      <w:r>
        <w:t xml:space="preserve">The PCF analysis reveals that the</w:t>
      </w:r>
      <w:r>
        <w:t xml:space="preserve"> </w:t>
      </w:r>
      <w:r>
        <w:rPr>
          <w:bCs/>
          <w:b/>
        </w:rPr>
        <w:t xml:space="preserve">Use Phase</w:t>
      </w:r>
      <w:r>
        <w:t xml:space="preserve"> </w:t>
      </w:r>
      <w:r>
        <w:t xml:space="preserve">is the predominant hotspot, contributing approximately 85.7% of the total carbon footprint. This is primarily due to the ongoing energy consumption of</w:t>
      </w:r>
      <w:r>
        <w:t xml:space="preserve"> </w:t>
      </w:r>
      <w:r>
        <w:rPr>
          <w:bCs/>
          <w:b/>
        </w:rPr>
        <w:t xml:space="preserve">hqrrpplzhr</w:t>
      </w:r>
      <w:r>
        <w:t xml:space="preserve"> </w:t>
      </w:r>
      <w:r>
        <w:t xml:space="preserve">over its assumed 7-year lifespan. Following this,</w:t>
      </w:r>
      <w:r>
        <w:t xml:space="preserve"> </w:t>
      </w:r>
      <w:r>
        <w:rPr>
          <w:bCs/>
          <w:b/>
        </w:rPr>
        <w:t xml:space="preserve">Manufacturing (Scope 2)</w:t>
      </w:r>
      <w:r>
        <w:t xml:space="preserve"> </w:t>
      </w:r>
      <w:r>
        <w:t xml:space="preserve">and</w:t>
      </w:r>
      <w:r>
        <w:t xml:space="preserve"> </w:t>
      </w:r>
      <w:r>
        <w:rPr>
          <w:bCs/>
          <w:b/>
        </w:rPr>
        <w:t xml:space="preserve">Materials (Scope 3 Upstream)</w:t>
      </w:r>
      <w:r>
        <w:t xml:space="preserve"> </w:t>
      </w:r>
      <w:r>
        <w:t xml:space="preserve">are significant contributors, each accounting for around 8-9% of the total footprint.</w:t>
      </w:r>
    </w:p>
    <w:p>
      <w:pPr>
        <w:pStyle w:val="BodyText"/>
      </w:pPr>
      <w:r>
        <w:t xml:space="preserve">The reliability of this report is high for the parameters provided, as calculations directly use the specified data points or carefully justified illustrative assumptions. The primary limitation stems from the generic nature of some input parameters (e.g., \'Select Mode\', \'dezjmzoqzg\', \'Delivery Type\', \'ykqlerpk\' as a placeholder for detailed BOM). The emission factors used are derived from industry-standard databases (e.g., Ecoinvent, DEFRA equivalents) for broad applicability. Future analyses would benefit from specific primary data for transportation modes, actual distances, and more granular energy consumption data for both production and use.</w:t>
      </w:r>
    </w:p>
    <w:bookmarkEnd w:id="57"/>
    <w:bookmarkStart w:id="58" w:name="recommendations-for-ghg-reduction"/>
    <w:p>
      <w:pPr>
        <w:pStyle w:val="Heading3"/>
      </w:pPr>
      <w:r>
        <w:t xml:space="preserve">5.2 Recommendations for GHG Reduction</w:t>
      </w:r>
    </w:p>
    <w:p>
      <w:pPr>
        <w:pStyle w:val="FirstParagraph"/>
      </w:pPr>
      <w:r>
        <w:t xml:space="preserve">Based on the identified hotspots, the following recommendations are proposed for</w:t>
      </w:r>
      <w:r>
        <w:t xml:space="preserve"> </w:t>
      </w:r>
      <w:r>
        <w:rPr>
          <w:bCs/>
          <w:b/>
        </w:rPr>
        <w:t xml:space="preserve">vrqgpjvilu</w:t>
      </w:r>
      <w:r>
        <w:t xml:space="preserve"> </w:t>
      </w:r>
      <w:r>
        <w:t xml:space="preserve">to reduce the carbon footprint of</w:t>
      </w:r>
      <w:r>
        <w:t xml:space="preserve"> </w:t>
      </w:r>
      <w:r>
        <w:rPr>
          <w:bCs/>
          <w:b/>
        </w:rPr>
        <w:t xml:space="preserve">hqrrpplzhr</w:t>
      </w:r>
      <w:r>
        <w:t xml:space="preserve">:</w:t>
      </w:r>
    </w:p>
    <w:p>
      <w:pPr>
        <w:numPr>
          <w:ilvl w:val="0"/>
          <w:numId w:val="1012"/>
        </w:numPr>
        <w:pStyle w:val="Compact"/>
      </w:pPr>
      <w:r>
        <w:rPr>
          <w:bCs/>
          <w:b/>
        </w:rPr>
        <w:t xml:space="preserve">Optimize Use Phase Efficiency:</w:t>
      </w:r>
      <w:r>
        <w:t xml:space="preserve"> </w:t>
      </w:r>
      <w:r>
        <w:t xml:space="preserve">Given its significant contribution, focus on reducing the product\'s energy consumption during its use. This could involve designing more energy-efficient components, integrating smart energy management features, or providing clear guidelines to users on energy-saving operation.</w:t>
      </w:r>
    </w:p>
    <w:p>
      <w:pPr>
        <w:numPr>
          <w:ilvl w:val="0"/>
          <w:numId w:val="1012"/>
        </w:numPr>
        <w:pStyle w:val="Compact"/>
      </w:pPr>
      <w:r>
        <w:rPr>
          <w:bCs/>
          <w:b/>
        </w:rPr>
        <w:t xml:space="preserve">Increase Renewable Energy Sourcing:</w:t>
      </w:r>
      <w:r>
        <w:t xml:space="preserve"> </w:t>
      </w:r>
      <w:r>
        <w:t xml:space="preserve">While 40% renewable energy usage (</w:t>
      </w:r>
      <w:r>
        <w:rPr>
          <w:bCs/>
          <w:b/>
        </w:rPr>
        <w:t xml:space="preserve">nuinlkurjt</w:t>
      </w:r>
      <w:r>
        <w:t xml:space="preserve"> </w:t>
      </w:r>
      <w:r>
        <w:t xml:space="preserve">assumed) is a good start, increasing this percentage for manufacturing operations in China (e.g., through direct power purchase agreements for renewables or on-site generation) would directly reduce Scope 2 emissions.</w:t>
      </w:r>
    </w:p>
    <w:p>
      <w:pPr>
        <w:numPr>
          <w:ilvl w:val="0"/>
          <w:numId w:val="1012"/>
        </w:numPr>
        <w:pStyle w:val="Compact"/>
      </w:pPr>
      <w:r>
        <w:rPr>
          <w:bCs/>
          <w:b/>
        </w:rPr>
        <w:t xml:space="preserve">Material Optimization:</w:t>
      </w:r>
      <w:r>
        <w:t xml:space="preserve"> </w:t>
      </w:r>
      <w:r>
        <w:t xml:space="preserve">Explore opportunities to use lower-carbon materials, increase recycled content in the BOM (e.g., plastics and aluminum), or reduce overall material quantity without compromising product functionality. This addresses the upstream material impact.</w:t>
      </w:r>
    </w:p>
    <w:p>
      <w:pPr>
        <w:numPr>
          <w:ilvl w:val="0"/>
          <w:numId w:val="1012"/>
        </w:numPr>
        <w:pStyle w:val="Compact"/>
      </w:pPr>
      <w:r>
        <w:rPr>
          <w:bCs/>
          <w:b/>
        </w:rPr>
        <w:t xml:space="preserve">Enhance Circularity:</w:t>
      </w:r>
      <w:r>
        <w:t xml:space="preserve"> </w:t>
      </w:r>
      <w:r>
        <w:t xml:space="preserve">Further develop and promote</w:t>
      </w:r>
      <w:r>
        <w:t xml:space="preserve"> </w:t>
      </w:r>
      <w:r>
        <w:rPr>
          <w:bCs/>
          <w:b/>
        </w:rPr>
        <w:t xml:space="preserve">sdoxmnqyfi</w:t>
      </w:r>
      <w:r>
        <w:t xml:space="preserve"> </w:t>
      </w:r>
      <w:r>
        <w:t xml:space="preserve">(circular/take-back programs) to achieve higher than 65% recyclability (</w:t>
      </w:r>
      <w:r>
        <w:rPr>
          <w:bCs/>
          <w:b/>
        </w:rPr>
        <w:t xml:space="preserve">ujkhhhuzjp</w:t>
      </w:r>
      <w:r>
        <w:t xml:space="preserve"> </w:t>
      </w:r>
      <w:r>
        <w:t xml:space="preserve">assumed), encouraging material recovery and re-use. Design for disassembly and repair can also extend product lifespan and reduce EoL impacts.</w:t>
      </w:r>
    </w:p>
    <w:p>
      <w:pPr>
        <w:numPr>
          <w:ilvl w:val="0"/>
          <w:numId w:val="1012"/>
        </w:numPr>
        <w:pStyle w:val="Compact"/>
      </w:pPr>
      <w:r>
        <w:rPr>
          <w:bCs/>
          <w:b/>
        </w:rPr>
        <w:t xml:space="preserve">Logistics Efficiency:</w:t>
      </w:r>
      <w:r>
        <w:t xml:space="preserve"> </w:t>
      </w:r>
      <w:r>
        <w:t xml:space="preserve">Although a smaller contributor, optimize transportation routes and modes (e.g., shift from air freight to sea freight where feasible) to reduce emissions from both upstream and downstream logistics, including last-mile delivery.</w:t>
      </w:r>
    </w:p>
    <w:p>
      <w:r>
        <w:pict>
          <v:rect style="width:0;height:1.5pt" o:hralign="center" o:hrstd="t" o:hr="t"/>
        </w:pict>
      </w:r>
    </w:p>
    <w:bookmarkEnd w:id="58"/>
    <w:bookmarkEnd w:id="5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hqrrpplzhr</dc:title>
  <dc:creator/>
  <dc:description>Detailed Product Carbon Footprint (PCF) analysis report for hqrrpplzhr, conducted by Senior Sustainability Consultant rwoswdvqzx for vrqgpjvilu, adhering to the GHG Protocol.</dc:description>
  <dc:language>en</dc:language>
  <cp:keywords/>
  <dcterms:created xsi:type="dcterms:W3CDTF">2026-05-30T20:56:22Z</dcterms:created>
  <dcterms:modified xsi:type="dcterms:W3CDTF">2026-05-30T20:56:22Z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