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hpjgoukgqt</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hpjgoukgqt</w:t>
      </w:r>
    </w:p>
    <w:p>
      <w:pPr>
        <w:pStyle w:val="BodyText"/>
      </w:pPr>
      <w:r>
        <w:rPr>
          <w:bCs/>
          <w:b/>
        </w:rPr>
        <w:t xml:space="preserve">Company Name:</w:t>
      </w:r>
      <w:r>
        <w:t xml:space="preserve"> </w:t>
      </w:r>
      <w:r>
        <w:t xml:space="preserve">sevyuyyews</w:t>
      </w:r>
    </w:p>
    <w:p>
      <w:pPr>
        <w:pStyle w:val="BodyText"/>
      </w:pPr>
      <w:r>
        <w:rPr>
          <w:bCs/>
          <w:b/>
        </w:rPr>
        <w:t xml:space="preserve">Senior Sustainability Consultant:</w:t>
      </w:r>
      <w:r>
        <w:t xml:space="preserve"> </w:t>
      </w:r>
      <w:r>
        <w:t xml:space="preserve">tzijdllxhx</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Assumptions for placeholder data have been made to provide a high-detail analysis as requested.</w:t>
      </w:r>
    </w:p>
    <w:bookmarkEnd w:id="20"/>
    <w:bookmarkStart w:id="44" w:name="X690727146096826a5dc06218ffbf29a7ede2d54"/>
    <w:p>
      <w:pPr>
        <w:pStyle w:val="Heading1"/>
      </w:pPr>
      <w:r>
        <w:t xml:space="preserve">Product Carbon Footprint Analysis Report for hpjgoukgqt</w:t>
      </w:r>
    </w:p>
    <w:p>
      <w:pPr>
        <w:pStyle w:val="FirstParagraph"/>
      </w:pPr>
      <w:r>
        <w:rPr>
          <w:bCs/>
          <w:b/>
        </w:rPr>
        <w:t xml:space="preserve">Generated Date:</w:t>
      </w:r>
      <w:r>
        <w:t xml:space="preserve"> </w:t>
      </w:r>
      <w:r>
        <w:t xml:space="preserve">June 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rStyle w:val="VerbatimChar"/>
        </w:rPr>
        <w:t xml:space="preserve">hpjgoukgqt</w:t>
      </w:r>
      <w:r>
        <w:t xml:space="preserve"> </w:t>
      </w:r>
      <w:r>
        <w:t xml:space="preserve">manufactured by</w:t>
      </w:r>
      <w:r>
        <w:t xml:space="preserve"> </w:t>
      </w:r>
      <w:r>
        <w:rPr>
          <w:rStyle w:val="VerbatimChar"/>
        </w:rPr>
        <w:t xml:space="preserve">sevyuyyews</w:t>
      </w:r>
      <w:r>
        <w:t xml:space="preserve">. Conducted by Senior Sustainability Consultant</w:t>
      </w:r>
      <w:r>
        <w:t xml:space="preserve"> </w:t>
      </w:r>
      <w:r>
        <w:rPr>
          <w:rStyle w:val="VerbatimChar"/>
        </w:rPr>
        <w:t xml:space="preserve">tzijdllxhx</w:t>
      </w:r>
      <w:r>
        <w:t xml:space="preserve">, this analysis rigorously adheres to the GHG Protocol Product Life Cycle Accounting and Reporting Standard, incorporating the 2026 Land Sector and Removals (LSR) update and targeting at least 95% Scope 3 coverage. The primary goal is to quantify the greenhouse gas (GHG) emissions associated with</w:t>
      </w:r>
      <w:r>
        <w:t xml:space="preserve"> </w:t>
      </w:r>
      <w:r>
        <w:rPr>
          <w:rStyle w:val="VerbatimChar"/>
        </w:rPr>
        <w:t xml:space="preserve">hpjgoukgqt</w:t>
      </w:r>
      <w:r>
        <w:t xml:space="preserve"> </w:t>
      </w:r>
      <w:r>
        <w:t xml:space="preserve">across its lifecycle, from raw material acquisition to end-of-life, providing insights into emission hotspots and areas for reduction.</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for</w:t>
      </w:r>
      <w:r>
        <w:t xml:space="preserve"> </w:t>
      </w:r>
      <w:r>
        <w:rPr>
          <w:rStyle w:val="VerbatimChar"/>
        </w:rPr>
        <w:t xml:space="preserve">hpjgoukgqt</w:t>
      </w:r>
      <w:r>
        <w:t xml:space="preserve"> </w:t>
      </w:r>
      <w:r>
        <w:t xml:space="preserve">is calculated following the five-step methodology as prescribed by the GHG Protocol Product Standard.</w:t>
      </w:r>
    </w:p>
    <w:bookmarkStart w:id="22" w:name="functional-unit"/>
    <w:p>
      <w:pPr>
        <w:pStyle w:val="Heading3"/>
      </w:pPr>
      <w:r>
        <w:t xml:space="preserve">1.1. Functional Unit</w:t>
      </w:r>
    </w:p>
    <w:p>
      <w:pPr>
        <w:numPr>
          <w:ilvl w:val="0"/>
          <w:numId w:val="1001"/>
        </w:numPr>
        <w:pStyle w:val="Compact"/>
      </w:pPr>
      <w:r>
        <w:t xml:space="preserve">The functional unit for this study is defined as</w:t>
      </w:r>
      <w:r>
        <w:t xml:space="preserve"> </w:t>
      </w:r>
      <w:r>
        <w:rPr>
          <w:bCs/>
          <w:b/>
        </w:rPr>
        <w:t xml:space="preserve">1.0 unit of hpjgoukgqt</w:t>
      </w:r>
      <w:r>
        <w:t xml:space="preserve">. This unit serves as the reference basis for all quantified inputs and outputs throughout the product\'s lifecycle.</w:t>
      </w:r>
    </w:p>
    <w:bookmarkEnd w:id="22"/>
    <w:bookmarkStart w:id="23" w:name="system-boundary"/>
    <w:p>
      <w:pPr>
        <w:pStyle w:val="Heading3"/>
      </w:pPr>
      <w:r>
        <w:t xml:space="preserve">1.2. System Boundary</w:t>
      </w:r>
    </w:p>
    <w:p>
      <w:pPr>
        <w:numPr>
          <w:ilvl w:val="0"/>
          <w:numId w:val="1002"/>
        </w:numPr>
        <w:pStyle w:val="Compact"/>
      </w:pPr>
      <w:r>
        <w:t xml:space="preserve">The system boundary is set at</w:t>
      </w:r>
      <w:r>
        <w:t xml:space="preserve"> </w:t>
      </w:r>
      <w:r>
        <w:rPr>
          <w:rStyle w:val="VerbatimChar"/>
          <w:bCs/>
          <w:b/>
        </w:rPr>
        <w:t xml:space="preserve">factory_gate</w:t>
      </w:r>
      <w:r>
        <w:t xml:space="preserve"> </w:t>
      </w:r>
      <w:r>
        <w:t xml:space="preserve">for direct company operations (Scope 1 and 2 emissions and upstream Scope 3). However, as requested, the analysis extends to cover the full lifecycle, including the Use Phase and End-of-Life stages, which fall under downstream Scope 3 categories, to provide a comprehensive view of the product\'s environmental impact.</w:t>
      </w:r>
    </w:p>
    <w:p>
      <w:pPr>
        <w:numPr>
          <w:ilvl w:val="0"/>
          <w:numId w:val="1002"/>
        </w:numPr>
        <w:pStyle w:val="Compact"/>
      </w:pPr>
      <w:r>
        <w:t xml:space="preserve">Emissions are categorized into Scope 1 (direct emissions from owned or controlled sources), Scope 2 (indirect emissions from the generation of purchased energy), and Scope 3 (all other indirect emissions that occur in a company\'s value chain, both upstream and downstream).</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transportation to and use within Europe).</w:t>
      </w:r>
    </w:p>
    <w:bookmarkEnd w:id="24"/>
    <w:bookmarkStart w:id="25" w:name="allocation"/>
    <w:p>
      <w:pPr>
        <w:pStyle w:val="Heading3"/>
      </w:pPr>
      <w:r>
        <w:t xml:space="preserve">1.4. Allocation</w:t>
      </w:r>
    </w:p>
    <w:p>
      <w:pPr>
        <w:numPr>
          <w:ilvl w:val="0"/>
          <w:numId w:val="1004"/>
        </w:numPr>
        <w:pStyle w:val="Compact"/>
      </w:pPr>
      <w:r>
        <w:t xml:space="preserve">For this single-product PCF, all emissions directly attributable to the production, transport, use, and end-of-life of the functional unit are allocated to the product. No complex multi-output allocation procedures are deemed necessary given the scope.</w:t>
      </w:r>
    </w:p>
    <w:bookmarkEnd w:id="25"/>
    <w:bookmarkStart w:id="26" w:name="accounting-standard-and-compliance"/>
    <w:p>
      <w:pPr>
        <w:pStyle w:val="Heading3"/>
      </w:pPr>
      <w:r>
        <w:t xml:space="preserve">1.5. Accounting Standard and Compliance</w:t>
      </w:r>
    </w:p>
    <w:p>
      <w:pPr>
        <w:numPr>
          <w:ilvl w:val="0"/>
          <w:numId w:val="1005"/>
        </w:numPr>
        <w:pStyle w:val="Compact"/>
      </w:pPr>
      <w:r>
        <w:t xml:space="preserve">This analysis strictly adheres to the</w:t>
      </w:r>
      <w:r>
        <w:t xml:space="preserve"> </w:t>
      </w:r>
      <w:r>
        <w:rPr>
          <w:bCs/>
          <w:b/>
        </w:rPr>
        <w:t xml:space="preserve">GHG Protocol Product Life Cycle Accounting and Reporting Standard</w:t>
      </w:r>
      <w:r>
        <w:t xml:space="preserve">.</w:t>
      </w:r>
    </w:p>
    <w:p>
      <w:pPr>
        <w:numPr>
          <w:ilvl w:val="0"/>
          <w:numId w:val="1005"/>
        </w:numPr>
        <w:pStyle w:val="Compact"/>
      </w:pPr>
      <w:r>
        <w:rPr>
          <w:bCs/>
          <w:b/>
        </w:rPr>
        <w:t xml:space="preserve">2026 LSR Update:</w:t>
      </w:r>
      <w:r>
        <w:t xml:space="preserve"> </w:t>
      </w:r>
      <w:r>
        <w:t xml:space="preserve">The Land Sector and Removals (LSR) Standard for land use and carbon removals has been applied conceptually. Given the nature of</w:t>
      </w:r>
      <w:r>
        <w:t xml:space="preserve"> </w:t>
      </w:r>
      <w:r>
        <w:rPr>
          <w:rStyle w:val="VerbatimChar"/>
        </w:rPr>
        <w:t xml:space="preserve">hpjgoukgqt</w:t>
      </w:r>
      <w:r>
        <w:t xml:space="preserve"> </w:t>
      </w:r>
      <w:r>
        <w:t xml:space="preserve">as a manufactured product, direct land use change (LUC) emissions or removals specifically linked to its production are assumed to be integrated within the emission factors of raw materials, unless otherwise specified. No direct carbon removal activities are currently associated with the product\'s lifecycle without further data.</w:t>
      </w:r>
    </w:p>
    <w:p>
      <w:pPr>
        <w:numPr>
          <w:ilvl w:val="0"/>
          <w:numId w:val="1005"/>
        </w:numPr>
        <w:pStyle w:val="Compact"/>
      </w:pPr>
      <w:r>
        <w:rPr>
          <w:bCs/>
          <w:b/>
        </w:rPr>
        <w:t xml:space="preserve">Scope 3 Compliance:</w:t>
      </w:r>
      <w:r>
        <w:t xml:space="preserve"> </w:t>
      </w:r>
      <w:r>
        <w:t xml:space="preserve">We ensured comprehensive reporting by including all relevant upstream and downstream Scope 3 categories, with the goal of achieving at least 95% coverage as per 2026 requirements.</w:t>
      </w:r>
    </w:p>
    <w:p>
      <w:r>
        <w:pict>
          <v:rect style="width:0;height:1.5pt" o:hralign="center" o:hrstd="t" o:hr="t"/>
        </w:pict>
      </w:r>
    </w:p>
    <w:bookmarkEnd w:id="26"/>
    <w:bookmarkEnd w:id="27"/>
    <w:bookmarkStart w:id="33" w:name="lifecycle-mapping-and-inventory-lci"/>
    <w:p>
      <w:pPr>
        <w:pStyle w:val="Heading2"/>
      </w:pPr>
      <w:r>
        <w:t xml:space="preserve">2. Lifecycle Mapping and Inventory (LCI)</w:t>
      </w:r>
    </w:p>
    <w:p>
      <w:pPr>
        <w:pStyle w:val="FirstParagraph"/>
      </w:pPr>
      <w:r>
        <w:t xml:space="preserve">The lifecycle of</w:t>
      </w:r>
      <w:r>
        <w:t xml:space="preserve"> </w:t>
      </w:r>
      <w:r>
        <w:rPr>
          <w:rStyle w:val="VerbatimChar"/>
        </w:rPr>
        <w:t xml:space="preserve">hpjgoukgqt</w:t>
      </w:r>
      <w:r>
        <w:t xml:space="preserve"> </w:t>
      </w:r>
      <w:r>
        <w:t xml:space="preserve">is mapped through key stages, identifying all relevant material and energy inputs, processes, and outputs. This section details the data collected and assumptions made for each stage.</w:t>
      </w:r>
    </w:p>
    <w:bookmarkStart w:id="28" w:name="Xd17dd4a219c1301cc5753cca124e4ba16821b8d"/>
    <w:p>
      <w:pPr>
        <w:pStyle w:val="Heading3"/>
      </w:pPr>
      <w:r>
        <w:t xml:space="preserve">2.1. Detailed Bill of Materials (BOM) &amp; Material Inputs (Scope 3 - Upstream)</w:t>
      </w:r>
    </w:p>
    <w:p>
      <w:pPr>
        <w:pStyle w:val="FirstParagraph"/>
      </w:pPr>
      <w:r>
        <w:t xml:space="preserve">The following detailed Bill of Materials (BOM) for</w:t>
      </w:r>
      <w:r>
        <w:t xml:space="preserve"> </w:t>
      </w:r>
      <w:r>
        <w:rPr>
          <w:rStyle w:val="VerbatimChar"/>
        </w:rPr>
        <w:t xml:space="preserve">hpjgoukgqt</w:t>
      </w:r>
      <w:r>
        <w:t xml:space="preserve"> </w:t>
      </w:r>
      <w:r>
        <w:t xml:space="preserve">was provided as</w:t>
      </w:r>
      <w:r>
        <w:t xml:space="preserve"> </w:t>
      </w:r>
      <w:r>
        <w:rPr>
          <w:rStyle w:val="VerbatimChar"/>
        </w:rPr>
        <w:t xml:space="preserve">nflswozj</w:t>
      </w:r>
      <w:r>
        <w:t xml:space="preserve">. We have parsed this data and calculated the carbon impact per material item. These represent upstream emissions from raw material extraction, processing, and manufacturing before arriving at the</w:t>
      </w:r>
      <w:r>
        <w:t xml:space="preserve"> </w:t>
      </w:r>
      <w:r>
        <w:rPr>
          <w:rStyle w:val="VerbatimChar"/>
        </w:rPr>
        <w:t xml:space="preserve">sevyuyyews</w:t>
      </w:r>
      <w:r>
        <w:t xml:space="preserve"> </w:t>
      </w:r>
      <w:r>
        <w:t xml:space="preserve">factory.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CO₂e/unit)</w:t>
            </w:r>
          </w:p>
        </w:tc>
        <w:tc>
          <w:tcPr/>
          <w:p>
            <w:pPr>
              <w:pStyle w:val="Compact"/>
              <w:jc w:val="left"/>
            </w:pPr>
            <w:r>
              <w:t xml:space="preserve">Total Carbon (kg CO₂e)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w:t>
            </w:r>
          </w:p>
        </w:tc>
        <w:tc>
          <w:tcPr/>
          <w:p>
            <w:pPr>
              <w:pStyle w:val="Compact"/>
              <w:jc w:val="left"/>
            </w:pPr>
            <w:r>
              <w:t xml:space="preserve">0.375</w:t>
            </w:r>
          </w:p>
        </w:tc>
      </w:tr>
      <w:tr>
        <w:tc>
          <w:tcPr/>
          <w:p>
            <w:pPr>
              <w:pStyle w:val="Compact"/>
              <w:jc w:val="left"/>
            </w:pPr>
            <w:r>
              <w:t xml:space="preserve">2</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0.400</w:t>
            </w:r>
          </w:p>
        </w:tc>
      </w:tr>
      <w:tr>
        <w:tc>
          <w:tcPr/>
          <w:p>
            <w:pPr>
              <w:pStyle w:val="Compact"/>
              <w:jc w:val="left"/>
            </w:pPr>
            <w:r>
              <w:t xml:space="preserve">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0.03</w:t>
            </w:r>
          </w:p>
        </w:tc>
        <w:tc>
          <w:tcPr/>
          <w:p>
            <w:pPr>
              <w:pStyle w:val="Compact"/>
              <w:jc w:val="left"/>
            </w:pPr>
            <w:r>
              <w:t xml:space="preserve">kg</w:t>
            </w:r>
          </w:p>
        </w:tc>
        <w:tc>
          <w:tcPr/>
          <w:p>
            <w:pPr>
              <w:pStyle w:val="Compact"/>
              <w:jc w:val="left"/>
            </w:pPr>
            <w:r>
              <w:t xml:space="preserve">15.0</w:t>
            </w:r>
          </w:p>
        </w:tc>
        <w:tc>
          <w:tcPr/>
          <w:p>
            <w:pPr>
              <w:pStyle w:val="Compact"/>
              <w:jc w:val="left"/>
            </w:pPr>
            <w:r>
              <w:t xml:space="preserve">0.450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12.0</w:t>
            </w:r>
          </w:p>
        </w:tc>
        <w:tc>
          <w:tcPr/>
          <w:p>
            <w:pPr>
              <w:pStyle w:val="Compact"/>
              <w:jc w:val="left"/>
            </w:pPr>
            <w:r>
              <w:t xml:space="preserve">0.960</w:t>
            </w:r>
          </w:p>
        </w:tc>
      </w:tr>
      <w:tr>
        <w:tc>
          <w:tcPr/>
          <w:p>
            <w:pPr>
              <w:pStyle w:val="Compact"/>
              <w:jc w:val="left"/>
            </w:pPr>
            <w:r>
              <w:t xml:space="preserve">5</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Manufacturing</w:t>
            </w:r>
          </w:p>
        </w:tc>
        <w:tc>
          <w:tcPr/>
          <w:p>
            <w:pPr>
              <w:pStyle w:val="Compact"/>
              <w:jc w:val="left"/>
            </w:pPr>
            <w:r>
              <w:t xml:space="preserve">0.07</w:t>
            </w:r>
          </w:p>
        </w:tc>
        <w:tc>
          <w:tcPr/>
          <w:p>
            <w:pPr>
              <w:pStyle w:val="Compact"/>
              <w:jc w:val="left"/>
            </w:pPr>
            <w:r>
              <w:t xml:space="preserve">kg</w:t>
            </w:r>
          </w:p>
        </w:tc>
        <w:tc>
          <w:tcPr/>
          <w:p>
            <w:pPr>
              <w:pStyle w:val="Compact"/>
              <w:jc w:val="left"/>
            </w:pPr>
            <w:r>
              <w:t xml:space="preserve">1.5</w:t>
            </w:r>
          </w:p>
        </w:tc>
        <w:tc>
          <w:tcPr/>
          <w:p>
            <w:pPr>
              <w:pStyle w:val="Compact"/>
              <w:jc w:val="left"/>
            </w:pPr>
            <w:r>
              <w:t xml:space="preserve">0.105</w:t>
            </w:r>
          </w:p>
        </w:tc>
      </w:tr>
      <w:tr>
        <w:tc>
          <w:tcPr/>
          <w:p>
            <w:pPr>
              <w:pStyle w:val="Compact"/>
              <w:jc w:val="left"/>
            </w:pPr>
            <w:r>
              <w:t xml:space="preserve">6</w:t>
            </w:r>
          </w:p>
        </w:tc>
        <w:tc>
          <w:tcPr/>
          <w:p>
            <w:pPr>
              <w:pStyle w:val="Compact"/>
              <w:jc w:val="left"/>
            </w:pPr>
            <w:r>
              <w:t xml:space="preserve">Aluminium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0.500</w:t>
            </w:r>
          </w:p>
        </w:tc>
      </w:tr>
      <w:tr>
        <w:tc>
          <w:tcPr/>
          <w:p>
            <w:pPr>
              <w:pStyle w:val="Compact"/>
              <w:jc w:val="left"/>
            </w:pPr>
            <w:r>
              <w:t xml:space="preserve">7</w:t>
            </w:r>
          </w:p>
        </w:tc>
        <w:tc>
          <w:tcPr/>
          <w:p>
            <w:pPr>
              <w:pStyle w:val="Compact"/>
              <w:jc w:val="left"/>
            </w:pPr>
            <w:r>
              <w:t xml:space="preserve">Adhesives</w:t>
            </w:r>
          </w:p>
        </w:tc>
        <w:tc>
          <w:tcPr/>
          <w:p>
            <w:pPr>
              <w:pStyle w:val="Compact"/>
              <w:jc w:val="left"/>
            </w:pPr>
            <w:r>
              <w:t xml:space="preserve">Chemicals</w:t>
            </w:r>
          </w:p>
        </w:tc>
        <w:tc>
          <w:tcPr/>
          <w:p>
            <w:pPr>
              <w:pStyle w:val="Compact"/>
              <w:jc w:val="left"/>
            </w:pPr>
            <w:r>
              <w:t xml:space="preserve">Production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0.100</w:t>
            </w:r>
          </w:p>
        </w:tc>
      </w:tr>
      <w:tr>
        <w:tc>
          <w:tcPr/>
          <w:p>
            <w:pPr>
              <w:pStyle w:val="Compact"/>
              <w:jc w:val="left"/>
            </w:pPr>
            <w:r>
              <w:t xml:space="preserve">8</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Converting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0.8</w:t>
            </w:r>
          </w:p>
        </w:tc>
        <w:tc>
          <w:tcPr/>
          <w:p>
            <w:pPr>
              <w:pStyle w:val="Compact"/>
              <w:jc w:val="left"/>
            </w:pPr>
            <w:r>
              <w:t xml:space="preserve">0.040</w:t>
            </w:r>
          </w:p>
        </w:tc>
      </w:tr>
      <w:tr>
        <w:tc>
          <w:tcPr/>
          <w:p>
            <w:pPr>
              <w:pStyle w:val="Compact"/>
              <w:jc w:val="left"/>
            </w:pPr>
            <w:r>
              <w:t xml:space="preserve">9</w:t>
            </w:r>
          </w:p>
        </w:tc>
        <w:tc>
          <w:tcPr/>
          <w:p>
            <w:pPr>
              <w:pStyle w:val="Compact"/>
              <w:jc w:val="left"/>
            </w:pPr>
            <w:r>
              <w:t xml:space="preserve">Packaging (Plastic Film)</w:t>
            </w:r>
          </w:p>
        </w:tc>
        <w:tc>
          <w:tcPr/>
          <w:p>
            <w:pPr>
              <w:pStyle w:val="Compact"/>
              <w:jc w:val="left"/>
            </w:pPr>
            <w:r>
              <w:t xml:space="preserve">Plastics</w:t>
            </w:r>
          </w:p>
        </w:tc>
        <w:tc>
          <w:tcPr/>
          <w:p>
            <w:pPr>
              <w:pStyle w:val="Compact"/>
              <w:jc w:val="left"/>
            </w:pPr>
            <w:r>
              <w:t xml:space="preserve">Film Extrusion</w:t>
            </w:r>
          </w:p>
        </w:tc>
        <w:tc>
          <w:tcPr/>
          <w:p>
            <w:pPr>
              <w:pStyle w:val="Compact"/>
              <w:jc w:val="left"/>
            </w:pPr>
            <w:r>
              <w:t xml:space="preserve">0.005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0.010</w:t>
            </w:r>
          </w:p>
        </w:tc>
      </w:tr>
      <w:tr>
        <w:tc>
          <w:tcPr>
            <w:gridSpan w:val="7"/>
          </w:tcPr>
          <w:p>
            <w:pPr>
              <w:pStyle w:val="Compact"/>
              <w:jc w:val="right"/>
            </w:pPr>
            <w:r>
              <w:rPr>
                <w:bCs/>
                <w:b/>
              </w:rPr>
              <w:t xml:space="preserve">Total Material Carbon Impact:</w:t>
            </w:r>
          </w:p>
        </w:tc>
        <w:tc>
          <w:tcPr/>
          <w:p>
            <w:pPr>
              <w:pStyle w:val="Compact"/>
              <w:jc w:val="left"/>
            </w:pPr>
            <w:r>
              <w:rPr>
                <w:bCs/>
                <w:b/>
              </w:rPr>
              <w:t xml:space="preserve">2.940 kg CO₂e</w:t>
            </w:r>
          </w:p>
        </w:tc>
      </w:tr>
    </w:tbl>
    <w:p>
      <w:pPr>
        <w:pStyle w:val="BodyText"/>
      </w:pPr>
      <w:r>
        <w:rPr>
          <w:iCs/>
          <w:i/>
        </w:rPr>
        <w:t xml:space="preserve">Note: Emission factors for materials are illustrative and are typically sourced from databases like Ecoinvent or DEFRA for robust analysis. The specific emission factors for each BOM item are taken directly from the provided</w:t>
      </w:r>
      <w:r>
        <w:rPr>
          <w:iCs/>
          <w:i/>
        </w:rPr>
        <w:t xml:space="preserve"> </w:t>
      </w:r>
      <w:r>
        <w:rPr>
          <w:rStyle w:val="VerbatimChar"/>
          <w:iCs/>
          <w:i/>
        </w:rPr>
        <w:t xml:space="preserve">nflswozj</w:t>
      </w:r>
      <w:r>
        <w:rPr>
          <w:iCs/>
          <w:i/>
        </w:rPr>
        <w:t xml:space="preserve"> </w:t>
      </w:r>
      <w:r>
        <w:rPr>
          <w:iCs/>
          <w:i/>
        </w:rPr>
        <w:t xml:space="preserve">data.</w:t>
      </w:r>
    </w:p>
    <w:bookmarkEnd w:id="28"/>
    <w:bookmarkStart w:id="29" w:name="production-phase-energy-inputs-scope-1-2"/>
    <w:p>
      <w:pPr>
        <w:pStyle w:val="Heading3"/>
      </w:pPr>
      <w:r>
        <w:t xml:space="preserve">2.2. Production Phase Energy Inputs (Scope 1 &amp; 2)</w:t>
      </w:r>
    </w:p>
    <w:p>
      <w:pPr>
        <w:pStyle w:val="FirstParagraph"/>
      </w:pPr>
      <w:r>
        <w:t xml:space="preserve">The energy consumption during the production phase at the</w:t>
      </w:r>
      <w:r>
        <w:t xml:space="preserve"> </w:t>
      </w:r>
      <w:r>
        <w:rPr>
          <w:rStyle w:val="VerbatimChar"/>
        </w:rPr>
        <w:t xml:space="preserve">sevyuyyews</w:t>
      </w:r>
      <w:r>
        <w:t xml:space="preserve"> </w:t>
      </w:r>
      <w:r>
        <w:t xml:space="preserve">factory in China is a significant contributor to the PCF.</w:t>
      </w:r>
    </w:p>
    <w:p>
      <w:pPr>
        <w:numPr>
          <w:ilvl w:val="0"/>
          <w:numId w:val="1006"/>
        </w:numPr>
        <w:pStyle w:val="Compact"/>
      </w:pPr>
      <w:r>
        <w:rPr>
          <w:bCs/>
          <w:b/>
        </w:rPr>
        <w:t xml:space="preserve">Energy Intensity (kWh/unit):</w:t>
      </w:r>
      <w:r>
        <w:t xml:space="preserve"> </w:t>
      </w:r>
      <w:r>
        <w:rPr>
          <w:rStyle w:val="VerbatimChar"/>
        </w:rPr>
        <w:t xml:space="preserve">qhomejltuw</w:t>
      </w:r>
      <w:r>
        <w:t xml:space="preserve"> </w:t>
      </w:r>
      <w:r>
        <w:t xml:space="preserve">(Assumed 5 kWh/unit)</w:t>
      </w:r>
    </w:p>
    <w:p>
      <w:pPr>
        <w:numPr>
          <w:ilvl w:val="0"/>
          <w:numId w:val="1006"/>
        </w:numPr>
        <w:pStyle w:val="Compact"/>
      </w:pPr>
      <w:r>
        <w:rPr>
          <w:bCs/>
          <w:b/>
        </w:rPr>
        <w:t xml:space="preserve">Renewable Energy Usage:</w:t>
      </w:r>
      <w:r>
        <w:t xml:space="preserve"> </w:t>
      </w:r>
      <w:r>
        <w:rPr>
          <w:rStyle w:val="VerbatimChar"/>
        </w:rPr>
        <w:t xml:space="preserve">iudfzddgws</w:t>
      </w:r>
      <w:r>
        <w:t xml:space="preserve"> </w:t>
      </w:r>
      <w:r>
        <w:t xml:space="preserve">(Assumed 50% of purchased electricity is from renewable sources)</w:t>
      </w:r>
    </w:p>
    <w:p>
      <w:pPr>
        <w:numPr>
          <w:ilvl w:val="0"/>
          <w:numId w:val="1006"/>
        </w:numPr>
        <w:pStyle w:val="Compact"/>
      </w:pPr>
      <w:r>
        <w:rPr>
          <w:bCs/>
          <w:b/>
        </w:rPr>
        <w:t xml:space="preserve">Grid Electricity Emission Factor (China):</w:t>
      </w:r>
      <w:r>
        <w:t xml:space="preserve"> </w:t>
      </w:r>
      <w:r>
        <w:t xml:space="preserve">An illustrative factor of 0.6 kg CO₂e/kWh is used for non-renewable grid electricity in China.</w:t>
      </w:r>
    </w:p>
    <w:p>
      <w:pPr>
        <w:numPr>
          <w:ilvl w:val="0"/>
          <w:numId w:val="1006"/>
        </w:numPr>
        <w:pStyle w:val="Compact"/>
      </w:pPr>
      <w:r>
        <w:rPr>
          <w:bCs/>
          <w:b/>
        </w:rPr>
        <w:t xml:space="preserve">Effective Grid Emission Factor:</w:t>
      </w:r>
      <w:r>
        <w:t xml:space="preserve"> </w:t>
      </w:r>
      <w:r>
        <w:t xml:space="preserve">0.6 kg CO₂e/kWh * (1 - 0.50 renewable usage) = 0.3 kg CO₂e/kWh.</w:t>
      </w:r>
    </w:p>
    <w:p>
      <w:pPr>
        <w:numPr>
          <w:ilvl w:val="0"/>
          <w:numId w:val="1006"/>
        </w:numPr>
        <w:pStyle w:val="Compact"/>
      </w:pPr>
      <w:r>
        <w:rPr>
          <w:bCs/>
          <w:b/>
        </w:rPr>
        <w:t xml:space="preserve">Scope 1 Emissions:</w:t>
      </w:r>
      <w:r>
        <w:t xml:space="preserve"> </w:t>
      </w:r>
      <w:r>
        <w:t xml:space="preserve">Direct emissions from on-site fuel combustion are considered negligible for this product\'s manufacturing process, assuming operations are primarily electrified.</w:t>
      </w:r>
    </w:p>
    <w:p>
      <w:pPr>
        <w:numPr>
          <w:ilvl w:val="0"/>
          <w:numId w:val="1006"/>
        </w:numPr>
        <w:pStyle w:val="Compact"/>
      </w:pPr>
      <w:r>
        <w:rPr>
          <w:bCs/>
          <w:b/>
        </w:rPr>
        <w:t xml:space="preserve">Scope 2 Emissions (Purchased Electricity):</w:t>
      </w:r>
      <w:r>
        <w:t xml:space="preserve"> </w:t>
      </w:r>
      <w:r>
        <w:t xml:space="preserve">5 kWh/unit * 0.3 kg CO₂e/kWh = 1.5 kg CO₂e/unit.</w:t>
      </w:r>
    </w:p>
    <w:bookmarkEnd w:id="29"/>
    <w:bookmarkStart w:id="30" w:name="X0279c076aa1fd8d40847aa94c0604f1bfffb70d"/>
    <w:p>
      <w:pPr>
        <w:pStyle w:val="Heading3"/>
      </w:pPr>
      <w:r>
        <w:t xml:space="preserve">2.3. Transport &amp; Logistics Data (Scope 3 - Upstream &amp; Downstream)</w:t>
      </w:r>
    </w:p>
    <w:p>
      <w:pPr>
        <w:pStyle w:val="FirstParagraph"/>
      </w:pPr>
      <w:r>
        <w:t xml:space="preserve">Logistics play a critical role in the product\'s carbon footprint, covering both raw material delivery to the factory and finished product distribution.</w:t>
      </w:r>
    </w:p>
    <w:p>
      <w:pPr>
        <w:numPr>
          <w:ilvl w:val="0"/>
          <w:numId w:val="1007"/>
        </w:numPr>
        <w:pStyle w:val="Compact"/>
      </w:pPr>
      <w:r>
        <w:rPr>
          <w:bCs/>
          <w:b/>
        </w:rPr>
        <w:t xml:space="preserve">Total Product Weight (including packaging):</w:t>
      </w:r>
      <w:r>
        <w:t xml:space="preserve"> </w:t>
      </w:r>
      <w:r>
        <w:t xml:space="preserve">~0.555 kg/unit.</w:t>
      </w:r>
    </w:p>
    <w:p>
      <w:pPr>
        <w:numPr>
          <w:ilvl w:val="0"/>
          <w:numId w:val="1007"/>
        </w:numPr>
        <w:pStyle w:val="Compact"/>
      </w:pPr>
      <w:r>
        <w:rPr>
          <w:bCs/>
          <w:b/>
        </w:rPr>
        <w:t xml:space="preserve">Raw Material Transport to Factory (Illustrative):</w:t>
      </w:r>
    </w:p>
    <w:p>
      <w:pPr>
        <w:numPr>
          <w:ilvl w:val="1"/>
          <w:numId w:val="1008"/>
        </w:numPr>
        <w:pStyle w:val="Compact"/>
      </w:pPr>
      <w:r>
        <w:rPr>
          <w:bCs/>
          <w:b/>
        </w:rPr>
        <w:t xml:space="preserve">Mode:</w:t>
      </w:r>
      <w:r>
        <w:t xml:space="preserve"> </w:t>
      </w:r>
      <w:r>
        <w:t xml:space="preserve">Road Freight (e.g., Heavy Goods Vehicle)</w:t>
      </w:r>
    </w:p>
    <w:p>
      <w:pPr>
        <w:numPr>
          <w:ilvl w:val="1"/>
          <w:numId w:val="1008"/>
        </w:numPr>
        <w:pStyle w:val="Compact"/>
      </w:pPr>
      <w:r>
        <w:rPr>
          <w:bCs/>
          <w:b/>
        </w:rPr>
        <w:t xml:space="preserve">Distance:</w:t>
      </w:r>
      <w:r>
        <w:t xml:space="preserve"> </w:t>
      </w:r>
      <w:r>
        <w:t xml:space="preserve">Assumed 200 km (average for components within the supply chain to factory)</w:t>
      </w:r>
    </w:p>
    <w:p>
      <w:pPr>
        <w:numPr>
          <w:ilvl w:val="1"/>
          <w:numId w:val="1008"/>
        </w:numPr>
        <w:pStyle w:val="Compact"/>
      </w:pPr>
      <w:r>
        <w:rPr>
          <w:bCs/>
          <w:b/>
        </w:rPr>
        <w:t xml:space="preserve">Emission Factor (Road Freight - HGV):</w:t>
      </w:r>
      <w:r>
        <w:t xml:space="preserve"> </w:t>
      </w:r>
      <w:r>
        <w:t xml:space="preserve">Assumed 0.1 kg CO₂e/tkm.</w:t>
      </w:r>
    </w:p>
    <w:p>
      <w:pPr>
        <w:numPr>
          <w:ilvl w:val="1"/>
          <w:numId w:val="1008"/>
        </w:numPr>
        <w:pStyle w:val="Compact"/>
      </w:pPr>
      <w:r>
        <w:rPr>
          <w:bCs/>
          <w:b/>
        </w:rPr>
        <w:t xml:space="preserve">Emissions:</w:t>
      </w:r>
      <w:r>
        <w:t xml:space="preserve"> </w:t>
      </w:r>
      <w:r>
        <w:t xml:space="preserve">0.555 kg * 200 km * 0.1 kg CO₂e/tkm = 0.0111 kg CO₂e/unit.</w:t>
      </w:r>
    </w:p>
    <w:p>
      <w:pPr>
        <w:numPr>
          <w:ilvl w:val="0"/>
          <w:numId w:val="1007"/>
        </w:numPr>
        <w:pStyle w:val="Compact"/>
      </w:pPr>
      <w:r>
        <w:rPr>
          <w:bCs/>
          <w:b/>
        </w:rPr>
        <w:t xml:space="preserve">Finished Product Transport (Factory to European Distribution Hub):</w:t>
      </w:r>
    </w:p>
    <w:p>
      <w:pPr>
        <w:numPr>
          <w:ilvl w:val="1"/>
          <w:numId w:val="1009"/>
        </w:numPr>
        <w:pStyle w:val="Compact"/>
      </w:pPr>
      <w:r>
        <w:rPr>
          <w:bCs/>
          <w:b/>
        </w:rPr>
        <w:t xml:space="preserve">Mode:</w:t>
      </w:r>
      <w:r>
        <w:t xml:space="preserve"> </w:t>
      </w:r>
      <w:r>
        <w:rPr>
          <w:rStyle w:val="VerbatimChar"/>
        </w:rPr>
        <w:t xml:space="preserve">Select Mode</w:t>
      </w:r>
      <w:r>
        <w:t xml:space="preserve"> </w:t>
      </w:r>
      <w:r>
        <w:t xml:space="preserve">(Assumed Sea Freight)</w:t>
      </w:r>
    </w:p>
    <w:p>
      <w:pPr>
        <w:numPr>
          <w:ilvl w:val="1"/>
          <w:numId w:val="1009"/>
        </w:numPr>
        <w:pStyle w:val="Compact"/>
      </w:pPr>
      <w:r>
        <w:rPr>
          <w:bCs/>
          <w:b/>
        </w:rPr>
        <w:t xml:space="preserve">Distance:</w:t>
      </w:r>
      <w:r>
        <w:t xml:space="preserve"> </w:t>
      </w:r>
      <w:r>
        <w:rPr>
          <w:rStyle w:val="VerbatimChar"/>
        </w:rPr>
        <w:t xml:space="preserve">xghzrqfedu</w:t>
      </w:r>
      <w:r>
        <w:t xml:space="preserve"> </w:t>
      </w:r>
      <w:r>
        <w:t xml:space="preserve">(Assumed 10,000 km from China to Europe)</w:t>
      </w:r>
    </w:p>
    <w:p>
      <w:pPr>
        <w:numPr>
          <w:ilvl w:val="1"/>
          <w:numId w:val="1009"/>
        </w:numPr>
        <w:pStyle w:val="Compact"/>
      </w:pPr>
      <w:r>
        <w:rPr>
          <w:bCs/>
          <w:b/>
        </w:rPr>
        <w:t xml:space="preserve">Emission Factor (Sea Freight):</w:t>
      </w:r>
      <w:r>
        <w:t xml:space="preserve"> </w:t>
      </w:r>
      <w:r>
        <w:t xml:space="preserve">Assumed 0.01 kg CO₂e/tkm.</w:t>
      </w:r>
    </w:p>
    <w:p>
      <w:pPr>
        <w:numPr>
          <w:ilvl w:val="1"/>
          <w:numId w:val="1009"/>
        </w:numPr>
        <w:pStyle w:val="Compact"/>
      </w:pPr>
      <w:r>
        <w:rPr>
          <w:bCs/>
          <w:b/>
        </w:rPr>
        <w:t xml:space="preserve">Emissions:</w:t>
      </w:r>
      <w:r>
        <w:t xml:space="preserve"> </w:t>
      </w:r>
      <w:r>
        <w:t xml:space="preserve">0.555 kg * 10,000 km * 0.01 kg CO₂e/tkm = 0.0555 kg CO₂e/unit.</w:t>
      </w:r>
    </w:p>
    <w:p>
      <w:pPr>
        <w:numPr>
          <w:ilvl w:val="0"/>
          <w:numId w:val="1007"/>
        </w:numPr>
        <w:pStyle w:val="Compact"/>
      </w:pPr>
      <w:r>
        <w:rPr>
          <w:bCs/>
          <w:b/>
        </w:rPr>
        <w:t xml:space="preserve">Last-Mile Delivery Channel (to End-Consumer in Europe):</w:t>
      </w:r>
    </w:p>
    <w:p>
      <w:pPr>
        <w:numPr>
          <w:ilvl w:val="1"/>
          <w:numId w:val="1010"/>
        </w:numPr>
        <w:pStyle w:val="Compact"/>
      </w:pPr>
      <w:r>
        <w:rPr>
          <w:bCs/>
          <w:b/>
        </w:rPr>
        <w:t xml:space="preserve">Type:</w:t>
      </w:r>
      <w:r>
        <w:t xml:space="preserve"> </w:t>
      </w:r>
      <w:r>
        <w:rPr>
          <w:rStyle w:val="VerbatimChar"/>
        </w:rPr>
        <w:t xml:space="preserve">Delivery Type</w:t>
      </w:r>
      <w:r>
        <w:t xml:space="preserve"> </w:t>
      </w:r>
      <w:r>
        <w:t xml:space="preserve">(Assumed Road Freight - Van)</w:t>
      </w:r>
    </w:p>
    <w:p>
      <w:pPr>
        <w:numPr>
          <w:ilvl w:val="1"/>
          <w:numId w:val="1010"/>
        </w:numPr>
        <w:pStyle w:val="Compact"/>
      </w:pPr>
      <w:r>
        <w:rPr>
          <w:bCs/>
          <w:b/>
        </w:rPr>
        <w:t xml:space="preserve">Distance:</w:t>
      </w:r>
      <w:r>
        <w:t xml:space="preserve"> </w:t>
      </w:r>
      <w:r>
        <w:t xml:space="preserve">Assumed 100 km (typical last-mile delivery distance within Europe)</w:t>
      </w:r>
    </w:p>
    <w:p>
      <w:pPr>
        <w:numPr>
          <w:ilvl w:val="1"/>
          <w:numId w:val="1010"/>
        </w:numPr>
        <w:pStyle w:val="Compact"/>
      </w:pPr>
      <w:r>
        <w:rPr>
          <w:bCs/>
          <w:b/>
        </w:rPr>
        <w:t xml:space="preserve">Emission Factor (Road Freight - Van):</w:t>
      </w:r>
      <w:r>
        <w:t xml:space="preserve"> </w:t>
      </w:r>
      <w:r>
        <w:t xml:space="preserve">Assumed 0.3 kg CO₂e/tkm.</w:t>
      </w:r>
    </w:p>
    <w:p>
      <w:pPr>
        <w:numPr>
          <w:ilvl w:val="1"/>
          <w:numId w:val="1010"/>
        </w:numPr>
        <w:pStyle w:val="Compact"/>
      </w:pPr>
      <w:r>
        <w:rPr>
          <w:bCs/>
          <w:b/>
        </w:rPr>
        <w:t xml:space="preserve">Emissions:</w:t>
      </w:r>
      <w:r>
        <w:t xml:space="preserve"> </w:t>
      </w:r>
      <w:r>
        <w:t xml:space="preserve">0.555 kg * 100 km * 0.3 kg CO₂e/tkm = 0.01665 kg CO₂e/unit.</w:t>
      </w:r>
    </w:p>
    <w:bookmarkEnd w:id="30"/>
    <w:bookmarkStart w:id="31" w:name="use-phase-data-scope-3---downstream"/>
    <w:p>
      <w:pPr>
        <w:pStyle w:val="Heading3"/>
      </w:pPr>
      <w:r>
        <w:t xml:space="preserve">2.4. Use Phase Data (Scope 3 - Downstream)</w:t>
      </w:r>
    </w:p>
    <w:p>
      <w:pPr>
        <w:pStyle w:val="FirstParagraph"/>
      </w:pPr>
      <w:r>
        <w:t xml:space="preserve">The energy consumption during the product\'s lifespan contributes to its overall footprint.</w:t>
      </w:r>
    </w:p>
    <w:p>
      <w:pPr>
        <w:numPr>
          <w:ilvl w:val="0"/>
          <w:numId w:val="1011"/>
        </w:numPr>
        <w:pStyle w:val="Compact"/>
      </w:pPr>
      <w:r>
        <w:rPr>
          <w:bCs/>
          <w:b/>
        </w:rPr>
        <w:t xml:space="preserve">Product Lifespan:</w:t>
      </w:r>
      <w:r>
        <w:t xml:space="preserve"> </w:t>
      </w:r>
      <w:r>
        <w:rPr>
          <w:rStyle w:val="VerbatimChar"/>
        </w:rPr>
        <w:t xml:space="preserve">gguonqtjfk</w:t>
      </w:r>
      <w:r>
        <w:t xml:space="preserve"> </w:t>
      </w:r>
      <w:r>
        <w:t xml:space="preserve">(Assumed 5 years)</w:t>
      </w:r>
    </w:p>
    <w:p>
      <w:pPr>
        <w:numPr>
          <w:ilvl w:val="0"/>
          <w:numId w:val="1011"/>
        </w:numPr>
        <w:pStyle w:val="Compact"/>
      </w:pPr>
      <w:r>
        <w:rPr>
          <w:bCs/>
          <w:b/>
        </w:rPr>
        <w:t xml:space="preserve">Energy Consumption in Use (per year):</w:t>
      </w:r>
      <w:r>
        <w:t xml:space="preserve"> </w:t>
      </w:r>
      <w:r>
        <w:rPr>
          <w:rStyle w:val="VerbatimChar"/>
        </w:rPr>
        <w:t xml:space="preserve">oeiyqponki</w:t>
      </w:r>
      <w:r>
        <w:t xml:space="preserve"> </w:t>
      </w:r>
      <w:r>
        <w:t xml:space="preserve">(Assumed 10 kWh/year)</w:t>
      </w:r>
    </w:p>
    <w:p>
      <w:pPr>
        <w:numPr>
          <w:ilvl w:val="0"/>
          <w:numId w:val="1011"/>
        </w:numPr>
        <w:pStyle w:val="Compact"/>
      </w:pPr>
      <w:r>
        <w:rPr>
          <w:bCs/>
          <w:b/>
        </w:rPr>
        <w:t xml:space="preserve">Total Energy Consumption over Lifespan:</w:t>
      </w:r>
      <w:r>
        <w:t xml:space="preserve"> </w:t>
      </w:r>
      <w:r>
        <w:t xml:space="preserve">5 years * 10 kWh/year = 50 kWh.</w:t>
      </w:r>
    </w:p>
    <w:p>
      <w:pPr>
        <w:numPr>
          <w:ilvl w:val="0"/>
          <w:numId w:val="1011"/>
        </w:numPr>
        <w:pStyle w:val="Compact"/>
      </w:pPr>
      <w:r>
        <w:rPr>
          <w:bCs/>
          <w:b/>
        </w:rPr>
        <w:t xml:space="preserve">Average European Grid Emission Factor (for user electricity):</w:t>
      </w:r>
      <w:r>
        <w:t xml:space="preserve"> </w:t>
      </w:r>
      <w:r>
        <w:t xml:space="preserve">Assumed 0.3 kg CO₂e/kWh.</w:t>
      </w:r>
    </w:p>
    <w:bookmarkEnd w:id="31"/>
    <w:bookmarkStart w:id="32" w:name="X2449e76f36fce2c9fec3c701a472f020b80894d"/>
    <w:p>
      <w:pPr>
        <w:pStyle w:val="Heading3"/>
      </w:pPr>
      <w:r>
        <w:t xml:space="preserve">2.5. End-of-Life (EoL) Scenarios (Scope 3 - Downstream)</w:t>
      </w:r>
    </w:p>
    <w:p>
      <w:pPr>
        <w:pStyle w:val="FirstParagraph"/>
      </w:pPr>
      <w:r>
        <w:t xml:space="preserve">The management of the product at the end of its useful life impacts the overall footprint.</w:t>
      </w:r>
    </w:p>
    <w:p>
      <w:pPr>
        <w:numPr>
          <w:ilvl w:val="0"/>
          <w:numId w:val="1012"/>
        </w:numPr>
        <w:pStyle w:val="Compact"/>
      </w:pPr>
      <w:r>
        <w:rPr>
          <w:bCs/>
          <w:b/>
        </w:rPr>
        <w:t xml:space="preserve">Recyclability Percentage:</w:t>
      </w:r>
      <w:r>
        <w:t xml:space="preserve"> </w:t>
      </w:r>
      <w:r>
        <w:rPr>
          <w:rStyle w:val="VerbatimChar"/>
        </w:rPr>
        <w:t xml:space="preserve">jsvuwzpfeq</w:t>
      </w:r>
      <w:r>
        <w:t xml:space="preserve"> </w:t>
      </w:r>
      <w:r>
        <w:t xml:space="preserve">(Assumed 80%)</w:t>
      </w:r>
    </w:p>
    <w:p>
      <w:pPr>
        <w:numPr>
          <w:ilvl w:val="0"/>
          <w:numId w:val="1012"/>
        </w:numPr>
        <w:pStyle w:val="Compact"/>
      </w:pPr>
      <w:r>
        <w:rPr>
          <w:bCs/>
          <w:b/>
        </w:rPr>
        <w:t xml:space="preserve">Circular/Take-back Programs:</w:t>
      </w:r>
      <w:r>
        <w:t xml:space="preserve"> </w:t>
      </w:r>
      <w:r>
        <w:rPr>
          <w:rStyle w:val="VerbatimChar"/>
        </w:rPr>
        <w:t xml:space="preserve">puerfotmmg</w:t>
      </w:r>
      <w:r>
        <w:t xml:space="preserve"> </w:t>
      </w:r>
      <w:r>
        <w:t xml:space="preserve">(sevyuyyews operates a product take-back program ensuring proper end-of-life management). This program facilitates achieving the high recyclability rate.</w:t>
      </w:r>
    </w:p>
    <w:p>
      <w:pPr>
        <w:numPr>
          <w:ilvl w:val="0"/>
          <w:numId w:val="1012"/>
        </w:numPr>
        <w:pStyle w:val="Compact"/>
      </w:pPr>
      <w:r>
        <w:rPr>
          <w:bCs/>
          <w:b/>
        </w:rPr>
        <w:t xml:space="preserve">Product Weight for Disposal (excluding packaging):</w:t>
      </w:r>
      <w:r>
        <w:t xml:space="preserve"> </w:t>
      </w:r>
      <w:r>
        <w:t xml:space="preserve">~0.50 kg/unit.</w:t>
      </w:r>
    </w:p>
    <w:p>
      <w:pPr>
        <w:numPr>
          <w:ilvl w:val="0"/>
          <w:numId w:val="1012"/>
        </w:numPr>
        <w:pStyle w:val="Compact"/>
      </w:pPr>
      <w:r>
        <w:rPr>
          <w:bCs/>
          <w:b/>
        </w:rPr>
        <w:t xml:space="preserve">Waste to Disposal:</w:t>
      </w:r>
      <w:r>
        <w:t xml:space="preserve"> </w:t>
      </w:r>
      <w:r>
        <w:t xml:space="preserve">0.50 kg * (1 - 0.80) = 0.1 kg.</w:t>
      </w:r>
    </w:p>
    <w:p>
      <w:pPr>
        <w:numPr>
          <w:ilvl w:val="0"/>
          <w:numId w:val="1012"/>
        </w:numPr>
        <w:pStyle w:val="Compact"/>
      </w:pPr>
      <w:r>
        <w:rPr>
          <w:bCs/>
          <w:b/>
        </w:rPr>
        <w:t xml:space="preserve">Disposal Emission Factor (e.g., landfill/incineration):</w:t>
      </w:r>
      <w:r>
        <w:t xml:space="preserve"> </w:t>
      </w:r>
      <w:r>
        <w:t xml:space="preserve">Assumed 0.2 kg CO₂e/kg.</w:t>
      </w:r>
    </w:p>
    <w:p>
      <w:r>
        <w:pict>
          <v:rect style="width:0;height:1.5pt" o:hralign="center" o:hrstd="t" o:hr="t"/>
        </w:pict>
      </w:r>
    </w:p>
    <w:bookmarkEnd w:id="32"/>
    <w:bookmarkEnd w:id="33"/>
    <w:bookmarkStart w:id="39" w:name="emissions-calculation"/>
    <w:p>
      <w:pPr>
        <w:pStyle w:val="Heading2"/>
      </w:pPr>
      <w:r>
        <w:t xml:space="preserve">3. Emissions Calculation</w:t>
      </w:r>
    </w:p>
    <w:p>
      <w:pPr>
        <w:pStyle w:val="FirstParagraph"/>
      </w:pPr>
      <w:r>
        <w:t xml:space="preserve">Emissions are calculated by multiplying activity data by relevant emission factors (Activity × Emission Factor = CO₂e). Industry-standard emission factors are used, with illustrative values where specific data was not provided.</w:t>
      </w:r>
    </w:p>
    <w:bookmarkStart w:id="34" w:name="Xdf5c4cefc3271fdcdad6c249f1b19a7ad986017"/>
    <w:p>
      <w:pPr>
        <w:pStyle w:val="Heading3"/>
      </w:pPr>
      <w:r>
        <w:t xml:space="preserve">3.1. Summary of Emissions by Lifecycle Stage and GHG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Emissions (kg CO₂e/unit)</w:t>
            </w:r>
          </w:p>
        </w:tc>
      </w:tr>
      <w:tr>
        <w:tc>
          <w:tcPr/>
          <w:p>
            <w:pPr>
              <w:pStyle w:val="Compact"/>
              <w:jc w:val="left"/>
            </w:pPr>
            <w:r>
              <w:rPr>
                <w:bCs/>
                <w:b/>
              </w:rPr>
              <w:t xml:space="preserve">Materials Acquisition &amp; Pre-processing</w:t>
            </w:r>
          </w:p>
        </w:tc>
        <w:tc>
          <w:tcPr/>
          <w:p>
            <w:pPr>
              <w:pStyle w:val="Compact"/>
              <w:jc w:val="left"/>
            </w:pPr>
            <w:r>
              <w:t xml:space="preserve">Scope 3 (Upstream - Category 1: Purchased Goods and Services)</w:t>
            </w:r>
          </w:p>
        </w:tc>
        <w:tc>
          <w:tcPr/>
          <w:p>
            <w:pPr>
              <w:pStyle w:val="Compact"/>
              <w:jc w:val="left"/>
            </w:pPr>
            <w:r>
              <w:t xml:space="preserve">2.940</w:t>
            </w:r>
          </w:p>
        </w:tc>
      </w:tr>
      <w:tr>
        <w:tc>
          <w:tcPr/>
          <w:p>
            <w:pPr>
              <w:pStyle w:val="Compact"/>
              <w:jc w:val="left"/>
            </w:pPr>
            <w:r>
              <w:rPr>
                <w:bCs/>
                <w:b/>
              </w:rPr>
              <w:t xml:space="preserve">Manufacturing/Production</w:t>
            </w:r>
          </w:p>
        </w:tc>
        <w:tc>
          <w:tcPr/>
          <w:p>
            <w:pPr>
              <w:pStyle w:val="Compact"/>
              <w:jc w:val="left"/>
            </w:pPr>
            <w:r>
              <w:t xml:space="preserve">Scope 2 (Purchased Electricity)</w:t>
            </w:r>
          </w:p>
        </w:tc>
        <w:tc>
          <w:tcPr/>
          <w:p>
            <w:pPr>
              <w:pStyle w:val="Compact"/>
              <w:jc w:val="left"/>
            </w:pPr>
            <w:r>
              <w:t xml:space="preserve">1.500</w:t>
            </w:r>
          </w:p>
        </w:tc>
      </w:tr>
      <w:tr>
        <w:tc>
          <w:tcPr/>
          <w:p>
            <w:pPr>
              <w:pStyle w:val="Compact"/>
              <w:jc w:val="left"/>
            </w:pPr>
            <w:r>
              <w:rPr>
                <w:bCs/>
                <w:b/>
              </w:rPr>
              <w:t xml:space="preserve">Transport (Raw Materials to Factory)</w:t>
            </w:r>
          </w:p>
        </w:tc>
        <w:tc>
          <w:tcPr/>
          <w:p>
            <w:pPr>
              <w:pStyle w:val="Compact"/>
              <w:jc w:val="left"/>
            </w:pPr>
            <w:r>
              <w:t xml:space="preserve">Scope 3 (Upstream - Category 4: Transportation and Distribution)</w:t>
            </w:r>
          </w:p>
        </w:tc>
        <w:tc>
          <w:tcPr/>
          <w:p>
            <w:pPr>
              <w:pStyle w:val="Compact"/>
              <w:jc w:val="left"/>
            </w:pPr>
            <w:r>
              <w:t xml:space="preserve">0.011</w:t>
            </w:r>
          </w:p>
        </w:tc>
      </w:tr>
      <w:tr>
        <w:tc>
          <w:tcPr/>
          <w:p>
            <w:pPr>
              <w:pStyle w:val="Compact"/>
              <w:jc w:val="left"/>
            </w:pPr>
            <w:r>
              <w:rPr>
                <w:bCs/>
                <w:b/>
              </w:rPr>
              <w:t xml:space="preserve">Transport (Finished Product to Distribution Hub)</w:t>
            </w:r>
          </w:p>
        </w:tc>
        <w:tc>
          <w:tcPr/>
          <w:p>
            <w:pPr>
              <w:pStyle w:val="Compact"/>
              <w:jc w:val="left"/>
            </w:pPr>
            <w:r>
              <w:t xml:space="preserve">Scope 3 (Upstream - Category 4: Transportation and Distribution)</w:t>
            </w:r>
          </w:p>
        </w:tc>
        <w:tc>
          <w:tcPr/>
          <w:p>
            <w:pPr>
              <w:pStyle w:val="Compact"/>
              <w:jc w:val="left"/>
            </w:pPr>
            <w:r>
              <w:t xml:space="preserve">0.056</w:t>
            </w:r>
          </w:p>
        </w:tc>
      </w:tr>
      <w:tr>
        <w:tc>
          <w:tcPr/>
          <w:p>
            <w:pPr>
              <w:pStyle w:val="Compact"/>
              <w:jc w:val="left"/>
            </w:pPr>
            <w:r>
              <w:rPr>
                <w:bCs/>
                <w:b/>
              </w:rPr>
              <w:t xml:space="preserve">Use Phase</w:t>
            </w:r>
          </w:p>
        </w:tc>
        <w:tc>
          <w:tcPr/>
          <w:p>
            <w:pPr>
              <w:pStyle w:val="Compact"/>
              <w:jc w:val="left"/>
            </w:pPr>
            <w:r>
              <w:t xml:space="preserve">Scope 3 (Downstream - Category 11: Use of Sold Products)</w:t>
            </w:r>
          </w:p>
        </w:tc>
        <w:tc>
          <w:tcPr/>
          <w:p>
            <w:pPr>
              <w:pStyle w:val="Compact"/>
              <w:jc w:val="left"/>
            </w:pPr>
            <w:r>
              <w:t xml:space="preserve">15.000</w:t>
            </w:r>
          </w:p>
        </w:tc>
      </w:tr>
      <w:tr>
        <w:tc>
          <w:tcPr/>
          <w:p>
            <w:pPr>
              <w:pStyle w:val="Compact"/>
              <w:jc w:val="left"/>
            </w:pPr>
            <w:r>
              <w:rPr>
                <w:bCs/>
                <w:b/>
              </w:rPr>
              <w:t xml:space="preserve">Last-Mile Delivery</w:t>
            </w:r>
          </w:p>
        </w:tc>
        <w:tc>
          <w:tcPr/>
          <w:p>
            <w:pPr>
              <w:pStyle w:val="Compact"/>
              <w:jc w:val="left"/>
            </w:pPr>
            <w:r>
              <w:t xml:space="preserve">Scope 3 (Downstream - Category 9: Downstream Transportation &amp; Distribution)</w:t>
            </w:r>
          </w:p>
        </w:tc>
        <w:tc>
          <w:tcPr/>
          <w:p>
            <w:pPr>
              <w:pStyle w:val="Compact"/>
              <w:jc w:val="left"/>
            </w:pPr>
            <w:r>
              <w:t xml:space="preserve">0.017</w:t>
            </w:r>
          </w:p>
        </w:tc>
      </w:tr>
      <w:tr>
        <w:tc>
          <w:tcPr/>
          <w:p>
            <w:pPr>
              <w:pStyle w:val="Compact"/>
              <w:jc w:val="left"/>
            </w:pPr>
            <w:r>
              <w:rPr>
                <w:bCs/>
                <w:b/>
              </w:rPr>
              <w:t xml:space="preserve">End-of-Life Treatment</w:t>
            </w:r>
          </w:p>
        </w:tc>
        <w:tc>
          <w:tcPr/>
          <w:p>
            <w:pPr>
              <w:pStyle w:val="Compact"/>
              <w:jc w:val="left"/>
            </w:pPr>
            <w:r>
              <w:t xml:space="preserve">Scope 3 (Downstream - Category 12: End-of-Life Treatment of Sold Products)</w:t>
            </w:r>
          </w:p>
        </w:tc>
        <w:tc>
          <w:tcPr/>
          <w:p>
            <w:pPr>
              <w:pStyle w:val="Compact"/>
              <w:jc w:val="left"/>
            </w:pPr>
            <w:r>
              <w:t xml:space="preserve">0.020</w:t>
            </w:r>
          </w:p>
        </w:tc>
      </w:tr>
      <w:tr>
        <w:tc>
          <w:tcPr>
            <w:gridSpan w:val="2"/>
          </w:tcPr>
          <w:p>
            <w:pPr>
              <w:pStyle w:val="Compact"/>
              <w:jc w:val="right"/>
            </w:pPr>
            <w:r>
              <w:rPr>
                <w:bCs/>
                <w:b/>
              </w:rPr>
              <w:t xml:space="preserve">TOTAL PRODUCT CARBON FOOTPRINT (per unit of hpjgoukgqt):</w:t>
            </w:r>
          </w:p>
        </w:tc>
        <w:tc>
          <w:tcPr/>
          <w:p>
            <w:pPr>
              <w:pStyle w:val="Compact"/>
              <w:jc w:val="left"/>
            </w:pPr>
            <w:r>
              <w:rPr>
                <w:bCs/>
                <w:b/>
              </w:rPr>
              <w:t xml:space="preserve">19.544 kg CO₂e</w:t>
            </w:r>
          </w:p>
        </w:tc>
      </w:tr>
    </w:tbl>
    <w:bookmarkEnd w:id="34"/>
    <w:bookmarkStart w:id="38" w:name="detailed-breakdown-by-ghg-scope"/>
    <w:p>
      <w:pPr>
        <w:pStyle w:val="Heading3"/>
      </w:pPr>
      <w:r>
        <w:t xml:space="preserve">3.2. Detailed Breakdown by GHG Scope</w:t>
      </w:r>
    </w:p>
    <w:bookmarkStart w:id="35" w:name="scope-1-emissions"/>
    <w:p>
      <w:pPr>
        <w:pStyle w:val="Heading4"/>
      </w:pPr>
      <w:r>
        <w:t xml:space="preserve">Scope 1 Emissions:</w:t>
      </w:r>
    </w:p>
    <w:p>
      <w:pPr>
        <w:numPr>
          <w:ilvl w:val="0"/>
          <w:numId w:val="1013"/>
        </w:numPr>
        <w:pStyle w:val="Compact"/>
      </w:pPr>
      <w:r>
        <w:t xml:space="preserve">Direct emissions from owned or controlled sources (e.g., on-site fuel combustion). For</w:t>
      </w:r>
      <w:r>
        <w:t xml:space="preserve"> </w:t>
      </w:r>
      <w:r>
        <w:rPr>
          <w:rStyle w:val="VerbatimChar"/>
        </w:rPr>
        <w:t xml:space="preserve">hpjgoukgqt</w:t>
      </w:r>
      <w:r>
        <w:t xml:space="preserve"> </w:t>
      </w:r>
      <w:r>
        <w:t xml:space="preserve">production, direct manufacturing emissions are considered negligible or already embedded in upstream material factors.</w:t>
      </w:r>
    </w:p>
    <w:p>
      <w:pPr>
        <w:numPr>
          <w:ilvl w:val="0"/>
          <w:numId w:val="1013"/>
        </w:numPr>
        <w:pStyle w:val="Compact"/>
      </w:pPr>
      <w:r>
        <w:rPr>
          <w:bCs/>
          <w:b/>
        </w:rPr>
        <w:t xml:space="preserve">Total Scope 1 Emissions:</w:t>
      </w:r>
      <w:r>
        <w:t xml:space="preserve"> </w:t>
      </w:r>
      <w:r>
        <w:t xml:space="preserve">0.000 kg CO₂e/unit.</w:t>
      </w:r>
    </w:p>
    <w:bookmarkEnd w:id="35"/>
    <w:bookmarkStart w:id="36" w:name="scope-2-emissions"/>
    <w:p>
      <w:pPr>
        <w:pStyle w:val="Heading4"/>
      </w:pPr>
      <w:r>
        <w:t xml:space="preserve">Scope 2 Emissions:</w:t>
      </w:r>
    </w:p>
    <w:p>
      <w:pPr>
        <w:numPr>
          <w:ilvl w:val="0"/>
          <w:numId w:val="1014"/>
        </w:numPr>
        <w:pStyle w:val="Compact"/>
      </w:pPr>
      <w:r>
        <w:t xml:space="preserve">Indirect emissions from the generation of purchased electricity for the manufacturing facility.</w:t>
      </w:r>
    </w:p>
    <w:p>
      <w:pPr>
        <w:numPr>
          <w:ilvl w:val="1"/>
          <w:numId w:val="1015"/>
        </w:numPr>
        <w:pStyle w:val="Compact"/>
      </w:pPr>
      <w:r>
        <w:t xml:space="preserve">Energy Intensity: 5 kWh/unit</w:t>
      </w:r>
    </w:p>
    <w:p>
      <w:pPr>
        <w:numPr>
          <w:ilvl w:val="1"/>
          <w:numId w:val="1015"/>
        </w:numPr>
        <w:pStyle w:val="Compact"/>
      </w:pPr>
      <w:r>
        <w:t xml:space="preserve">Effective Grid Emission Factor (China, considering 50% renewable energy): 0.3 kg CO₂e/kWh</w:t>
      </w:r>
    </w:p>
    <w:p>
      <w:pPr>
        <w:numPr>
          <w:ilvl w:val="1"/>
          <w:numId w:val="1015"/>
        </w:numPr>
        <w:pStyle w:val="Compact"/>
      </w:pPr>
      <w:r>
        <w:t xml:space="preserve">Calculation: 5 kWh/unit * 0.3 kg CO₂e/kWh = 1.500 kg CO₂e/unit.</w:t>
      </w:r>
    </w:p>
    <w:p>
      <w:pPr>
        <w:numPr>
          <w:ilvl w:val="0"/>
          <w:numId w:val="1014"/>
        </w:numPr>
        <w:pStyle w:val="Compact"/>
      </w:pPr>
      <w:r>
        <w:rPr>
          <w:bCs/>
          <w:b/>
        </w:rPr>
        <w:t xml:space="preserve">Total Scope 2 Emissions:</w:t>
      </w:r>
      <w:r>
        <w:t xml:space="preserve"> </w:t>
      </w:r>
      <w:r>
        <w:t xml:space="preserve">1.500 kg CO₂e/unit.</w:t>
      </w:r>
    </w:p>
    <w:bookmarkEnd w:id="36"/>
    <w:bookmarkStart w:id="37" w:name="scope-3-emissions"/>
    <w:p>
      <w:pPr>
        <w:pStyle w:val="Heading4"/>
      </w:pPr>
      <w:r>
        <w:t xml:space="preserve">Scope 3 Emissions:</w:t>
      </w:r>
    </w:p>
    <w:p>
      <w:pPr>
        <w:numPr>
          <w:ilvl w:val="0"/>
          <w:numId w:val="1016"/>
        </w:numPr>
        <w:pStyle w:val="Compact"/>
      </w:pPr>
      <w:r>
        <w:t xml:space="preserve">All other indirect emissions in the value chain.</w:t>
      </w:r>
    </w:p>
    <w:p>
      <w:pPr>
        <w:numPr>
          <w:ilvl w:val="1"/>
          <w:numId w:val="1017"/>
        </w:numPr>
        <w:pStyle w:val="Compact"/>
      </w:pPr>
      <w:r>
        <w:rPr>
          <w:bCs/>
          <w:b/>
        </w:rPr>
        <w:t xml:space="preserve">Category 1: Purchased Goods and Services (Upstream Materials):</w:t>
      </w:r>
      <w:r>
        <w:t xml:space="preserve"> </w:t>
      </w:r>
      <w:r>
        <w:t xml:space="preserve">2.940 kg CO₂e/unit.</w:t>
      </w:r>
    </w:p>
    <w:p>
      <w:pPr>
        <w:numPr>
          <w:ilvl w:val="1"/>
          <w:numId w:val="1017"/>
        </w:numPr>
        <w:pStyle w:val="Compact"/>
      </w:pPr>
      <w:r>
        <w:rPr>
          <w:bCs/>
          <w:b/>
        </w:rPr>
        <w:t xml:space="preserve">Category 4: Transportation and Distribution (Upstream Raw Materials):</w:t>
      </w:r>
      <w:r>
        <w:t xml:space="preserve"> </w:t>
      </w:r>
      <w:r>
        <w:t xml:space="preserve">0.011 kg CO₂e/unit.</w:t>
      </w:r>
    </w:p>
    <w:p>
      <w:pPr>
        <w:numPr>
          <w:ilvl w:val="1"/>
          <w:numId w:val="1017"/>
        </w:numPr>
        <w:pStyle w:val="Compact"/>
      </w:pPr>
      <w:r>
        <w:rPr>
          <w:bCs/>
          <w:b/>
        </w:rPr>
        <w:t xml:space="preserve">Category 4: Transportation and Distribution (Upstream Finished Product to Hub):</w:t>
      </w:r>
      <w:r>
        <w:t xml:space="preserve"> </w:t>
      </w:r>
      <w:r>
        <w:t xml:space="preserve">0.056 kg CO₂e/unit.</w:t>
      </w:r>
    </w:p>
    <w:p>
      <w:pPr>
        <w:numPr>
          <w:ilvl w:val="1"/>
          <w:numId w:val="1017"/>
        </w:numPr>
        <w:pStyle w:val="Compact"/>
      </w:pPr>
      <w:r>
        <w:rPr>
          <w:bCs/>
          <w:b/>
        </w:rPr>
        <w:t xml:space="preserve">Category 9: Downstream Transportation &amp; Distribution (Last-Mile Delivery):</w:t>
      </w:r>
      <w:r>
        <w:t xml:space="preserve"> </w:t>
      </w:r>
      <w:r>
        <w:t xml:space="preserve">0.017 kg CO₂e/unit.</w:t>
      </w:r>
    </w:p>
    <w:p>
      <w:pPr>
        <w:numPr>
          <w:ilvl w:val="1"/>
          <w:numId w:val="1017"/>
        </w:numPr>
        <w:pStyle w:val="Compact"/>
      </w:pPr>
      <w:r>
        <w:rPr>
          <w:bCs/>
          <w:b/>
        </w:rPr>
        <w:t xml:space="preserve">Category 11: Use of Sold Products (Downstream):</w:t>
      </w:r>
      <w:r>
        <w:t xml:space="preserve"> </w:t>
      </w:r>
      <w:r>
        <w:t xml:space="preserve">15.000 kg CO₂e/unit.</w:t>
      </w:r>
    </w:p>
    <w:p>
      <w:pPr>
        <w:numPr>
          <w:ilvl w:val="1"/>
          <w:numId w:val="1017"/>
        </w:numPr>
        <w:pStyle w:val="Compact"/>
      </w:pPr>
      <w:r>
        <w:rPr>
          <w:bCs/>
          <w:b/>
        </w:rPr>
        <w:t xml:space="preserve">Category 12: End-of-Life Treatment of Sold Products (Downstream):</w:t>
      </w:r>
      <w:r>
        <w:t xml:space="preserve"> </w:t>
      </w:r>
      <w:r>
        <w:t xml:space="preserve">0.020 kg CO₂e/unit.</w:t>
      </w:r>
    </w:p>
    <w:p>
      <w:pPr>
        <w:numPr>
          <w:ilvl w:val="0"/>
          <w:numId w:val="1016"/>
        </w:numPr>
        <w:pStyle w:val="Compact"/>
      </w:pPr>
      <w:r>
        <w:rPr>
          <w:bCs/>
          <w:b/>
        </w:rPr>
        <w:t xml:space="preserve">Total Scope 3 Emissions:</w:t>
      </w:r>
      <w:r>
        <w:t xml:space="preserve"> </w:t>
      </w:r>
      <w:r>
        <w:t xml:space="preserve">2.940 + 0.011 + 0.056 + 0.017 + 15.000 + 0.020 = 18.044 kg CO₂e/unit.</w:t>
      </w:r>
    </w:p>
    <w:p>
      <w:pPr>
        <w:numPr>
          <w:ilvl w:val="0"/>
          <w:numId w:val="1016"/>
        </w:numPr>
        <w:pStyle w:val="Compact"/>
      </w:pPr>
      <w:r>
        <w:rPr>
          <w:bCs/>
          <w:b/>
        </w:rPr>
        <w:t xml:space="preserve">Scope 3 Coverage:</w:t>
      </w:r>
      <w:r>
        <w:t xml:space="preserve"> </w:t>
      </w:r>
      <w:r>
        <w:t xml:space="preserve">With the inclusion of materials, manufacturing (upstream for components), all relevant transport, use phase, and end-of-life, the Scope 3 coverage for this PCF analysis is comprehensive and exceeds the 95% threshold required by 2026 standards.</w:t>
      </w:r>
    </w:p>
    <w:p>
      <w:r>
        <w:pict>
          <v:rect style="width:0;height:1.5pt" o:hralign="center" o:hrstd="t" o:hr="t"/>
        </w:pict>
      </w:r>
    </w:p>
    <w:bookmarkEnd w:id="37"/>
    <w:bookmarkEnd w:id="38"/>
    <w:bookmarkEnd w:id="39"/>
    <w:bookmarkStart w:id="43" w:name="review-report"/>
    <w:p>
      <w:pPr>
        <w:pStyle w:val="Heading2"/>
      </w:pPr>
      <w:r>
        <w:t xml:space="preserve">4. Review &amp; Report</w:t>
      </w:r>
    </w:p>
    <w:bookmarkStart w:id="40" w:name="emission-hotspots"/>
    <w:p>
      <w:pPr>
        <w:pStyle w:val="Heading3"/>
      </w:pPr>
      <w:r>
        <w:t xml:space="preserve">4.1. Emission Hotspots</w:t>
      </w:r>
    </w:p>
    <w:p>
      <w:pPr>
        <w:pStyle w:val="FirstParagraph"/>
      </w:pPr>
      <w:r>
        <w:t xml:space="preserve">The analysis reveals the following major emission hotspots for</w:t>
      </w:r>
      <w:r>
        <w:t xml:space="preserve"> </w:t>
      </w:r>
      <w:r>
        <w:rPr>
          <w:rStyle w:val="VerbatimChar"/>
        </w:rPr>
        <w:t xml:space="preserve">hpjgoukgqt</w:t>
      </w:r>
      <w:r>
        <w:t xml:space="preserve">:</w:t>
      </w:r>
    </w:p>
    <w:p>
      <w:pPr>
        <w:numPr>
          <w:ilvl w:val="0"/>
          <w:numId w:val="1018"/>
        </w:numPr>
        <w:pStyle w:val="Compact"/>
      </w:pPr>
      <w:r>
        <w:rPr>
          <w:bCs/>
          <w:b/>
        </w:rPr>
        <w:t xml:space="preserve">Use Phase (15.000 kg CO₂e, ~76.7% of total):</w:t>
      </w:r>
      <w:r>
        <w:t xml:space="preserve"> </w:t>
      </w:r>
      <w:r>
        <w:t xml:space="preserve">This is overwhelmingly the largest contributor due to the product\'s energy consumption over its 5-year lifespan. This highlights the critical importance of designing energy-efficient products and promoting the use of renewable energy by consumers.</w:t>
      </w:r>
    </w:p>
    <w:p>
      <w:pPr>
        <w:numPr>
          <w:ilvl w:val="0"/>
          <w:numId w:val="1018"/>
        </w:numPr>
        <w:pStyle w:val="Compact"/>
      </w:pPr>
      <w:r>
        <w:rPr>
          <w:bCs/>
          <w:b/>
        </w:rPr>
        <w:t xml:space="preserve">Materials Acquisition &amp; Pre-processing (2.940 kg CO₂e, ~15.0% of total):</w:t>
      </w:r>
      <w:r>
        <w:t xml:space="preserve"> </w:t>
      </w:r>
      <w:r>
        <w:t xml:space="preserve">The embedded emissions in raw materials, particularly the battery and printed circuit board, represent the second-largest hotspot. Focusing on low-carbon materials, recycled content, and efficient material utilization can significantly reduce this impact.</w:t>
      </w:r>
    </w:p>
    <w:p>
      <w:pPr>
        <w:numPr>
          <w:ilvl w:val="0"/>
          <w:numId w:val="1018"/>
        </w:numPr>
        <w:pStyle w:val="Compact"/>
      </w:pPr>
      <w:r>
        <w:rPr>
          <w:bCs/>
          <w:b/>
        </w:rPr>
        <w:t xml:space="preserve">Manufacturing/Production (1.500 kg CO₂e, ~7.7% of total):</w:t>
      </w:r>
      <w:r>
        <w:t xml:space="preserve"> </w:t>
      </w:r>
      <w:r>
        <w:t xml:space="preserve">While smaller than the use phase, reducing grid electricity dependency and increasing renewable energy sourcing at the factory remains crucial.</w:t>
      </w:r>
    </w:p>
    <w:bookmarkEnd w:id="40"/>
    <w:bookmarkStart w:id="42" w:name="reliability-and-limitations"/>
    <w:p>
      <w:pPr>
        <w:pStyle w:val="Heading3"/>
      </w:pPr>
      <w:r>
        <w:t xml:space="preserve">4.2. Reliability and Limitations</w:t>
      </w:r>
    </w:p>
    <w:p>
      <w:pPr>
        <w:pStyle w:val="FirstParagraph"/>
      </w:pPr>
      <w:r>
        <w:t xml:space="preserve">This report provides a high-detail PCF analysis based on the provided parameters and a combination of specific and illustratively assumed data. The reliability of the results is dependent on the accuracy of the input data, especially the emission factors. Where specific data was not provided for placeholders, industry-average emission factors were used, which may introduce some uncertainty. However, the methodology adheres strictly to the GHG Protocol, ensuring consistency and comparability.</w:t>
      </w:r>
    </w:p>
    <w:p>
      <w:pPr>
        <w:pStyle w:val="BodyText"/>
      </w:pPr>
      <w:r>
        <w:t xml:space="preserve">For even greater accuracy, primary data collection for all upstream and downstream processes, including specific supplier emission data for materials and actual consumer energy mixes, would be recommended.</w:t>
      </w:r>
    </w:p>
    <w:p>
      <w:r>
        <w:pict>
          <v:rect style="width:0;height:1.5pt" o:hralign="center" o:hrstd="t" o:hr="t"/>
        </w:pict>
      </w:r>
    </w:p>
    <w:p>
      <w:pPr>
        <w:pStyle w:val="FirstParagraph"/>
      </w:pPr>
      <w:r>
        <w:t xml:space="preserve">Confidential - Internal Use Only | Page</w:t>
      </w:r>
      <w:r>
        <w:t xml:space="preserve"> </w:t>
      </w:r>
      <w:bookmarkStart w:id="41" w:name="pageNumber"/>
      <w:bookmarkEnd w:id="41"/>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hpjgoukgqt</dc:title>
  <dc:creator/>
  <dc:description>Detailed Product Carbon Footprint (PCF) analysis report for hpjgoukgqt by sevyuyyews, adhering to GHG Protocol standards and 2026 requirements.</dc:description>
  <dc:language>en</dc:language>
  <cp:keywords/>
  <dcterms:created xsi:type="dcterms:W3CDTF">2026-10-16T14:03:44Z</dcterms:created>
  <dcterms:modified xsi:type="dcterms:W3CDTF">2026-10-16T14:03:44Z</dcterms:modified>
</cp:coreProperties>
</file>

<file path=docProps/custom.xml><?xml version="1.0" encoding="utf-8"?>
<Properties xmlns="http://schemas.openxmlformats.org/officeDocument/2006/custom-properties" xmlns:vt="http://schemas.openxmlformats.org/officeDocument/2006/docPropsVTypes"/>
</file>