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hpetyxdkss</w:t>
      </w:r>
      <w:r>
        <w:t xml:space="preserve"> </w:t>
      </w:r>
      <w:r>
        <w:t xml:space="preserve">-</w:t>
      </w:r>
      <w:r>
        <w:t xml:space="preserve"> </w:t>
      </w:r>
      <w:r>
        <w:t xml:space="preserve">gpgogunril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hpetyxdkss</w:t>
      </w:r>
    </w:p>
    <w:p>
      <w:pPr>
        <w:pStyle w:val="BodyText"/>
      </w:pPr>
      <w:r>
        <w:rPr>
          <w:bCs/>
          <w:b/>
        </w:rPr>
        <w:t xml:space="preserve">Company Name:</w:t>
      </w:r>
      <w:r>
        <w:t xml:space="preserve"> </w:t>
      </w:r>
      <w:r>
        <w:t xml:space="preserve">gpgogunril</w:t>
      </w:r>
    </w:p>
    <w:p>
      <w:pPr>
        <w:pStyle w:val="BodyText"/>
      </w:pPr>
      <w:r>
        <w:rPr>
          <w:bCs/>
          <w:b/>
        </w:rPr>
        <w:t xml:space="preserve">Senior Sustainability Consultant:</w:t>
      </w:r>
      <w:r>
        <w:t xml:space="preserve"> </w:t>
      </w:r>
      <w:r>
        <w:t xml:space="preserve">pmkjqtutlw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completeness, actual emissions may vary depending on specific operational details and data availability.</w:t>
      </w:r>
    </w:p>
    <w:bookmarkEnd w:id="20"/>
    <w:bookmarkStart w:id="21" w:name="X29151faa9d70aba8daa368c7cce0cbe8881047d"/>
    <w:p>
      <w:pPr>
        <w:pStyle w:val="Heading1"/>
      </w:pPr>
      <w:r>
        <w:t xml:space="preserve">Product Carbon Footprint Analysis Report for hpetyxdkss</w:t>
      </w:r>
    </w:p>
    <w:p>
      <w:pPr>
        <w:pStyle w:val="FirstParagraph"/>
      </w:pPr>
      <w:r>
        <w:rPr>
          <w:bCs/>
          <w:b/>
        </w:rPr>
        <w:t xml:space="preserve">Generated Date:</w:t>
      </w:r>
      <w:r>
        <w:t xml:space="preserve"> </w:t>
      </w:r>
      <w:r>
        <w:t xml:space="preserve">May 21,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\'hpetyxdkss\' manufactured by \'gpgogunril\', conducted by Senior Sustainability Consultant \'pmkjqtutlw\'. The analysis adheres strictly to the GHG Protocol, including the 2026 Land Sector and Removals (LSR) Standard update, and ensures at least 95% coverage for Scope 3 emissions. The goal is to quantify greenhouse gas (GHG) emissions across the product\'s lifecycle from a \'factory_gate\' system boundary, identify emission hotspots, and provide a foundation for future decarbonization strategies. The total carbon footprint for one functional unit of \'hpetyxdkss\' is calculated based on detailed Bill of Materials, specific energy usage, transportation logistics, use phase consumption, and end-of-life scenarios.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hpetyxdkss</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This includes all processes from raw material extraction and processing, through manufacturing and assembly up to the point the finished product leaves the gpgogunril facility. It also incorporates downstream elements such as product transport, use phase, and end-of-life.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rPr>
          <w:bCs/>
          <w:b/>
        </w:rPr>
        <w:t xml:space="preserve">GHG Protocol</w:t>
      </w:r>
      <w:r>
        <w:t xml:space="preserve"> </w:t>
      </w:r>
      <w:r>
        <w:t xml:space="preserve">standards for product accounting. Emissions are categorized into Scope 1 (direct emissions), Scope 2 (indirect emissions from purchased energy), and Scope 3 (other indirect emissions across the value chain). This report also incorporates the requirements of the 2026 Land Sector and Removals (LSR) Standard.</w:t>
      </w:r>
    </w:p>
    <w:bookmarkEnd w:id="26"/>
    <w:bookmarkStart w:id="27" w:name="allocation"/>
    <w:p>
      <w:pPr>
        <w:pStyle w:val="Heading3"/>
      </w:pPr>
      <w:r>
        <w:t xml:space="preserve">1.5 Allocation</w:t>
      </w:r>
    </w:p>
    <w:p>
      <w:pPr>
        <w:numPr>
          <w:ilvl w:val="0"/>
          <w:numId w:val="1005"/>
        </w:numPr>
        <w:pStyle w:val="Compact"/>
      </w:pPr>
      <w:r>
        <w:t xml:space="preserve">Emissions are allocated directly to the functional unit of \'hpetyxdkss\' based on mass and energy consumption attributable to its production and lifecycle. For multi-product processes (if any), a mass-based allocation approach is assumed.</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\'hpetyxdkss\' is mapped across several key stages to capture all relevant GHG emissions. These stages include material acquisition and pre-processing, manufacturing, transportation, product use, and end-of-life.</w:t>
      </w:r>
    </w:p>
    <w:bookmarkStart w:id="29" w:name="X52246bf734c2973dd6db0d0e2fb7589a0e25682"/>
    <w:p>
      <w:pPr>
        <w:pStyle w:val="Heading3"/>
      </w:pPr>
      <w:r>
        <w:t xml:space="preserve">2.1 Bill of Materials (BOM) Analysis - Upstream Emissions (Scope 3 - Purchased Goods and Services)</w:t>
      </w:r>
    </w:p>
    <w:p>
      <w:pPr>
        <w:pStyle w:val="FirstParagraph"/>
      </w:pPr>
      <w:r>
        <w:t xml:space="preserve">The following detailed Bill of Materials (shmiqnsf) provides the foundation for calculating the material-related carbon impact. The \'Total Carbon\' values are used directly as the emission contribution for each material component, representing a \'cradle-to-gate\' impact for these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Polycarbonate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5.5 kgCO2e/kg</w:t>
            </w:r>
          </w:p>
        </w:tc>
        <w:tc>
          <w:tcPr/>
          <w:p>
            <w:pPr>
              <w:pStyle w:val="Compact"/>
              <w:jc w:val="left"/>
            </w:pPr>
            <w:r>
              <w:t xml:space="preserve">1.65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 kgCO2e/unit</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 kgCO2e/kg</w:t>
            </w:r>
          </w:p>
        </w:tc>
        <w:tc>
          <w:tcPr/>
          <w:p>
            <w:pPr>
              <w:pStyle w:val="Compact"/>
              <w:jc w:val="left"/>
            </w:pPr>
            <w:r>
              <w:t xml:space="preserve">5.00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22.70 kg CO2e</w:t>
            </w:r>
          </w:p>
        </w:tc>
      </w:tr>
    </w:tbl>
    <w:p>
      <w:pPr>
        <w:pStyle w:val="BodyText"/>
      </w:pPr>
      <w:r>
        <w:rPr>
          <w:iCs/>
          <w:i/>
        </w:rPr>
        <w:t xml:space="preserve">Note: The "Emission Factor (Illustrative)" column is provided for context; calculations are based on the provided "Total Carbon" values from the BOM, which are assumed to encompass the full upstream impact of materials.</w:t>
      </w:r>
    </w:p>
    <w:bookmarkEnd w:id="29"/>
    <w:bookmarkStart w:id="30" w:name="X768e06158d3124ef4f75607a0ac2f88f09c114b"/>
    <w:p>
      <w:pPr>
        <w:pStyle w:val="Heading3"/>
      </w:pPr>
      <w:r>
        <w:t xml:space="preserve">2.2 Energy Inputs - Production Phase (Scope 2 - Purchased Electricity)</w:t>
      </w:r>
    </w:p>
    <w:p>
      <w:pPr>
        <w:pStyle w:val="FirstParagraph"/>
      </w:pPr>
      <w:r>
        <w:t xml:space="preserve">Energy consumption during the production of \'hpetyxdkss\' is a significant contributor to the carbon footprint.</w:t>
      </w:r>
    </w:p>
    <w:p>
      <w:pPr>
        <w:numPr>
          <w:ilvl w:val="0"/>
          <w:numId w:val="1006"/>
        </w:numPr>
        <w:pStyle w:val="Compact"/>
      </w:pPr>
      <w:r>
        <w:rPr>
          <w:bCs/>
          <w:b/>
        </w:rPr>
        <w:t xml:space="preserve">Energy Intensity (kWh/unit):</w:t>
      </w:r>
      <w:r>
        <w:t xml:space="preserve"> </w:t>
      </w:r>
      <w:r>
        <w:t xml:space="preserve">xrnynphwke</w:t>
      </w:r>
    </w:p>
    <w:p>
      <w:pPr>
        <w:numPr>
          <w:ilvl w:val="0"/>
          <w:numId w:val="1006"/>
        </w:numPr>
        <w:pStyle w:val="Compact"/>
      </w:pPr>
      <w:r>
        <w:rPr>
          <w:bCs/>
          <w:b/>
        </w:rPr>
        <w:t xml:space="preserve">Renewable Energy Usage:</w:t>
      </w:r>
      <w:r>
        <w:t xml:space="preserve"> </w:t>
      </w:r>
      <w:r>
        <w:t xml:space="preserve">qjmjlxdjfg (percentage of total energy consumption)</w:t>
      </w:r>
    </w:p>
    <w:p>
      <w:pPr>
        <w:numPr>
          <w:ilvl w:val="0"/>
          <w:numId w:val="1006"/>
        </w:numPr>
        <w:pStyle w:val="Compact"/>
      </w:pPr>
      <w:r>
        <w:rPr>
          <w:bCs/>
          <w:b/>
        </w:rPr>
        <w:t xml:space="preserve">Geographic Scope for Production Energy:</w:t>
      </w:r>
      <w:r>
        <w:t xml:space="preserve"> </w:t>
      </w:r>
      <w:r>
        <w:t xml:space="preserve">China</w:t>
      </w:r>
    </w:p>
    <w:bookmarkEnd w:id="30"/>
    <w:bookmarkStart w:id="31" w:name="Xc28a077e6952c48246159c3ff474ce727584ac9"/>
    <w:p>
      <w:pPr>
        <w:pStyle w:val="Heading3"/>
      </w:pPr>
      <w:r>
        <w:t xml:space="preserve">2.3 Transport Inputs (Scope 3 - Upstream &amp; Downstream Transportation and Distribution)</w:t>
      </w:r>
    </w:p>
    <w:p>
      <w:pPr>
        <w:pStyle w:val="FirstParagraph"/>
      </w:pPr>
      <w:r>
        <w:t xml:space="preserve">Transportation emissions are accounted for both upstream (implied within BOM \'Total Carbon\' for raw materials to factory, and explicitly for finished product distribution) and downstream (from factory to customer).</w:t>
      </w:r>
    </w:p>
    <w:p>
      <w:pPr>
        <w:numPr>
          <w:ilvl w:val="0"/>
          <w:numId w:val="1007"/>
        </w:numPr>
        <w:pStyle w:val="Compact"/>
      </w:pPr>
      <w:r>
        <w:rPr>
          <w:bCs/>
          <w:b/>
        </w:rPr>
        <w:t xml:space="preserve">Transport Mode (from factory):</w:t>
      </w:r>
      <w:r>
        <w:t xml:space="preserve"> </w:t>
      </w:r>
      <w:r>
        <w:t xml:space="preserve">Select Mode</w:t>
      </w:r>
    </w:p>
    <w:p>
      <w:pPr>
        <w:numPr>
          <w:ilvl w:val="0"/>
          <w:numId w:val="1007"/>
        </w:numPr>
        <w:pStyle w:val="Compact"/>
      </w:pPr>
      <w:r>
        <w:rPr>
          <w:bCs/>
          <w:b/>
        </w:rPr>
        <w:t xml:space="preserve">Transport Distance (from factory):</w:t>
      </w:r>
      <w:r>
        <w:t xml:space="preserve"> </w:t>
      </w:r>
      <w:r>
        <w:t xml:space="preserve">rfevpzgrxk</w:t>
      </w:r>
    </w:p>
    <w:p>
      <w:pPr>
        <w:numPr>
          <w:ilvl w:val="0"/>
          <w:numId w:val="1007"/>
        </w:numPr>
        <w:pStyle w:val="Compact"/>
      </w:pPr>
      <w:r>
        <w:rPr>
          <w:bCs/>
          <w:b/>
        </w:rPr>
        <w:t xml:space="preserve">Last-Mile Delivery Channel:</w:t>
      </w:r>
      <w:r>
        <w:t xml:space="preserve"> </w:t>
      </w:r>
      <w:r>
        <w:t xml:space="preserve">Delivery Type</w:t>
      </w:r>
    </w:p>
    <w:bookmarkEnd w:id="31"/>
    <w:bookmarkStart w:id="32" w:name="use-phase-scope-3---use-of-sold-products"/>
    <w:p>
      <w:pPr>
        <w:pStyle w:val="Heading3"/>
      </w:pPr>
      <w:r>
        <w:t xml:space="preserve">2.4 Use Phase (Scope 3 - Use of Sold Products)</w:t>
      </w:r>
    </w:p>
    <w:p>
      <w:pPr>
        <w:pStyle w:val="FirstParagraph"/>
      </w:pPr>
      <w:r>
        <w:t xml:space="preserve">The energy consumed during the product\'s operational lifetime is a key factor.</w:t>
      </w:r>
    </w:p>
    <w:p>
      <w:pPr>
        <w:numPr>
          <w:ilvl w:val="0"/>
          <w:numId w:val="1008"/>
        </w:numPr>
        <w:pStyle w:val="Compact"/>
      </w:pPr>
      <w:r>
        <w:rPr>
          <w:bCs/>
          <w:b/>
        </w:rPr>
        <w:t xml:space="preserve">Product Lifespan:</w:t>
      </w:r>
      <w:r>
        <w:t xml:space="preserve"> </w:t>
      </w:r>
      <w:r>
        <w:t xml:space="preserve">vhterzrzms</w:t>
      </w:r>
    </w:p>
    <w:p>
      <w:pPr>
        <w:numPr>
          <w:ilvl w:val="0"/>
          <w:numId w:val="1008"/>
        </w:numPr>
        <w:pStyle w:val="Compact"/>
      </w:pPr>
      <w:r>
        <w:rPr>
          <w:bCs/>
          <w:b/>
        </w:rPr>
        <w:t xml:space="preserve">Energy Consumption in Use:</w:t>
      </w:r>
      <w:r>
        <w:t xml:space="preserve"> </w:t>
      </w:r>
      <w:r>
        <w:t xml:space="preserve">zrfvgqwqto</w:t>
      </w:r>
    </w:p>
    <w:bookmarkEnd w:id="32"/>
    <w:bookmarkStart w:id="33" w:name="Xc3456190584f7ccba4e436ac9dec7d219320967"/>
    <w:p>
      <w:pPr>
        <w:pStyle w:val="Heading3"/>
      </w:pPr>
      <w:r>
        <w:t xml:space="preserve">2.5 End-of-Life (EoL) Scenarios (Scope 3 - End-of-Life Treatment of Sold Products)</w:t>
      </w:r>
    </w:p>
    <w:p>
      <w:pPr>
        <w:pStyle w:val="FirstParagraph"/>
      </w:pPr>
      <w:r>
        <w:t xml:space="preserve">The fate of the product at the end of its life impacts the overall footprint, considering recycling benefits or disposal emissions.</w:t>
      </w:r>
    </w:p>
    <w:p>
      <w:pPr>
        <w:numPr>
          <w:ilvl w:val="0"/>
          <w:numId w:val="1009"/>
        </w:numPr>
        <w:pStyle w:val="Compact"/>
      </w:pPr>
      <w:r>
        <w:rPr>
          <w:bCs/>
          <w:b/>
        </w:rPr>
        <w:t xml:space="preserve">Recyclability Percentage:</w:t>
      </w:r>
      <w:r>
        <w:t xml:space="preserve"> </w:t>
      </w:r>
      <w:r>
        <w:t xml:space="preserve">zjvkntnqzx</w:t>
      </w:r>
    </w:p>
    <w:p>
      <w:pPr>
        <w:numPr>
          <w:ilvl w:val="0"/>
          <w:numId w:val="1009"/>
        </w:numPr>
        <w:pStyle w:val="Compact"/>
      </w:pPr>
      <w:r>
        <w:rPr>
          <w:bCs/>
          <w:b/>
        </w:rPr>
        <w:t xml:space="preserve">Circular/Take-back Programs:</w:t>
      </w:r>
      <w:r>
        <w:t xml:space="preserve"> </w:t>
      </w:r>
      <w:r>
        <w:t xml:space="preserve">nwdgdlgipi</w:t>
      </w:r>
    </w:p>
    <w:p>
      <w:r>
        <w:pict>
          <v:rect style="width:0;height:1.5pt" o:hralign="center" o:hrstd="t" o:hr="t"/>
        </w:pict>
      </w:r>
    </w:p>
    <w:bookmarkEnd w:id="33"/>
    <w:bookmarkEnd w:id="34"/>
    <w:bookmarkStart w:id="37" w:name="X7b6d01ce7b6bfe45f00681616505557cddf238f"/>
    <w:p>
      <w:pPr>
        <w:pStyle w:val="Heading2"/>
      </w:pPr>
      <w:r>
        <w:t xml:space="preserve">3. Data Collection (Primary/Secondary Data Points)</w:t>
      </w:r>
    </w:p>
    <w:p>
      <w:pPr>
        <w:pStyle w:val="FirstParagraph"/>
      </w:pPr>
      <w:r>
        <w:t xml:space="preserve">A combination of primary and secondary data is used for this analysis.</w:t>
      </w:r>
    </w:p>
    <w:bookmarkStart w:id="35" w:name="primary-data-provided-parameters"/>
    <w:p>
      <w:pPr>
        <w:pStyle w:val="Heading3"/>
      </w:pPr>
      <w:r>
        <w:t xml:space="preserve">3.1 Primary Data (Provided Parameters)</w:t>
      </w:r>
    </w:p>
    <w:p>
      <w:pPr>
        <w:numPr>
          <w:ilvl w:val="0"/>
          <w:numId w:val="1010"/>
        </w:numPr>
        <w:pStyle w:val="Compact"/>
      </w:pPr>
      <w:r>
        <w:rPr>
          <w:bCs/>
          <w:b/>
        </w:rPr>
        <w:t xml:space="preserve">Detailed Bill of Materials (BOM):</w:t>
      </w:r>
      <w:r>
        <w:t xml:space="preserve"> </w:t>
      </w:r>
      <w:r>
        <w:t xml:space="preserve">shmiqnsf (Material descriptions, quantities, and pre-calculated total carbon for each component).</w:t>
      </w:r>
    </w:p>
    <w:p>
      <w:pPr>
        <w:numPr>
          <w:ilvl w:val="0"/>
          <w:numId w:val="1010"/>
        </w:numPr>
        <w:pStyle w:val="Compact"/>
      </w:pPr>
      <w:r>
        <w:rPr>
          <w:bCs/>
          <w:b/>
        </w:rPr>
        <w:t xml:space="preserve">Company Name:</w:t>
      </w:r>
      <w:r>
        <w:t xml:space="preserve"> </w:t>
      </w:r>
      <w:r>
        <w:t xml:space="preserve">gpgogunril</w:t>
      </w:r>
    </w:p>
    <w:p>
      <w:pPr>
        <w:numPr>
          <w:ilvl w:val="0"/>
          <w:numId w:val="1010"/>
        </w:numPr>
        <w:pStyle w:val="Compact"/>
      </w:pPr>
      <w:r>
        <w:rPr>
          <w:bCs/>
          <w:b/>
        </w:rPr>
        <w:t xml:space="preserve">Senior Sustainability Consultant:</w:t>
      </w:r>
      <w:r>
        <w:t xml:space="preserve"> </w:t>
      </w:r>
      <w:r>
        <w:t xml:space="preserve">pmkjqtutlw</w:t>
      </w:r>
    </w:p>
    <w:p>
      <w:pPr>
        <w:numPr>
          <w:ilvl w:val="0"/>
          <w:numId w:val="1010"/>
        </w:numPr>
        <w:pStyle w:val="Compact"/>
      </w:pPr>
      <w:r>
        <w:rPr>
          <w:bCs/>
          <w:b/>
        </w:rPr>
        <w:t xml:space="preserve">Product Name:</w:t>
      </w:r>
      <w:r>
        <w:t xml:space="preserve"> </w:t>
      </w:r>
      <w:r>
        <w:t xml:space="preserve">hpetyxdkss</w:t>
      </w:r>
    </w:p>
    <w:p>
      <w:pPr>
        <w:numPr>
          <w:ilvl w:val="0"/>
          <w:numId w:val="1010"/>
        </w:numPr>
        <w:pStyle w:val="Compact"/>
      </w:pPr>
      <w:r>
        <w:rPr>
          <w:bCs/>
          <w:b/>
        </w:rPr>
        <w:t xml:space="preserve">Transport Mode:</w:t>
      </w:r>
      <w:r>
        <w:t xml:space="preserve"> </w:t>
      </w:r>
      <w:r>
        <w:t xml:space="preserve">Select Mode</w:t>
      </w:r>
    </w:p>
    <w:p>
      <w:pPr>
        <w:numPr>
          <w:ilvl w:val="0"/>
          <w:numId w:val="1010"/>
        </w:numPr>
        <w:pStyle w:val="Compact"/>
      </w:pPr>
      <w:r>
        <w:rPr>
          <w:bCs/>
          <w:b/>
        </w:rPr>
        <w:t xml:space="preserve">Transport Distance:</w:t>
      </w:r>
      <w:r>
        <w:t xml:space="preserve"> </w:t>
      </w:r>
      <w:r>
        <w:t xml:space="preserve">rfevpzgrxk</w:t>
      </w:r>
    </w:p>
    <w:p>
      <w:pPr>
        <w:numPr>
          <w:ilvl w:val="0"/>
          <w:numId w:val="1010"/>
        </w:numPr>
        <w:pStyle w:val="Compact"/>
      </w:pPr>
      <w:r>
        <w:rPr>
          <w:bCs/>
          <w:b/>
        </w:rPr>
        <w:t xml:space="preserve">Last-Mile Delivery Channel:</w:t>
      </w:r>
      <w:r>
        <w:t xml:space="preserve"> </w:t>
      </w:r>
      <w:r>
        <w:t xml:space="preserve">Delivery Type</w:t>
      </w:r>
    </w:p>
    <w:p>
      <w:pPr>
        <w:numPr>
          <w:ilvl w:val="0"/>
          <w:numId w:val="1010"/>
        </w:numPr>
        <w:pStyle w:val="Compact"/>
      </w:pPr>
      <w:r>
        <w:rPr>
          <w:bCs/>
          <w:b/>
        </w:rPr>
        <w:t xml:space="preserve">Renewable Energy Usage:</w:t>
      </w:r>
      <w:r>
        <w:t xml:space="preserve"> </w:t>
      </w:r>
      <w:r>
        <w:t xml:space="preserve">qjmjlxdjfg</w:t>
      </w:r>
    </w:p>
    <w:p>
      <w:pPr>
        <w:numPr>
          <w:ilvl w:val="0"/>
          <w:numId w:val="1010"/>
        </w:numPr>
        <w:pStyle w:val="Compact"/>
      </w:pPr>
      <w:r>
        <w:rPr>
          <w:bCs/>
          <w:b/>
        </w:rPr>
        <w:t xml:space="preserve">Energy Intensity (kWh/unit):</w:t>
      </w:r>
      <w:r>
        <w:t xml:space="preserve"> </w:t>
      </w:r>
      <w:r>
        <w:t xml:space="preserve">xrnynphwke</w:t>
      </w:r>
    </w:p>
    <w:p>
      <w:pPr>
        <w:numPr>
          <w:ilvl w:val="0"/>
          <w:numId w:val="1010"/>
        </w:numPr>
        <w:pStyle w:val="Compact"/>
      </w:pPr>
      <w:r>
        <w:rPr>
          <w:bCs/>
          <w:b/>
        </w:rPr>
        <w:t xml:space="preserve">Product Lifespan:</w:t>
      </w:r>
      <w:r>
        <w:t xml:space="preserve"> </w:t>
      </w:r>
      <w:r>
        <w:t xml:space="preserve">vhterzrzms</w:t>
      </w:r>
    </w:p>
    <w:p>
      <w:pPr>
        <w:numPr>
          <w:ilvl w:val="0"/>
          <w:numId w:val="1010"/>
        </w:numPr>
        <w:pStyle w:val="Compact"/>
      </w:pPr>
      <w:r>
        <w:rPr>
          <w:bCs/>
          <w:b/>
        </w:rPr>
        <w:t xml:space="preserve">Energy Consumption in Use:</w:t>
      </w:r>
      <w:r>
        <w:t xml:space="preserve"> </w:t>
      </w:r>
      <w:r>
        <w:t xml:space="preserve">zrfvgqwqto</w:t>
      </w:r>
    </w:p>
    <w:p>
      <w:pPr>
        <w:numPr>
          <w:ilvl w:val="0"/>
          <w:numId w:val="1010"/>
        </w:numPr>
        <w:pStyle w:val="Compact"/>
      </w:pPr>
      <w:r>
        <w:rPr>
          <w:bCs/>
          <w:b/>
        </w:rPr>
        <w:t xml:space="preserve">Recyclability Percentage:</w:t>
      </w:r>
      <w:r>
        <w:t xml:space="preserve"> </w:t>
      </w:r>
      <w:r>
        <w:t xml:space="preserve">zjvkntnqzx</w:t>
      </w:r>
    </w:p>
    <w:p>
      <w:pPr>
        <w:numPr>
          <w:ilvl w:val="0"/>
          <w:numId w:val="1010"/>
        </w:numPr>
        <w:pStyle w:val="Compact"/>
      </w:pPr>
      <w:r>
        <w:rPr>
          <w:bCs/>
          <w:b/>
        </w:rPr>
        <w:t xml:space="preserve">Circular/Take-back Programs:</w:t>
      </w:r>
      <w:r>
        <w:t xml:space="preserve"> </w:t>
      </w:r>
      <w:r>
        <w:t xml:space="preserve">nwdgdlgipi</w:t>
      </w:r>
    </w:p>
    <w:bookmarkEnd w:id="35"/>
    <w:bookmarkStart w:id="36" w:name="X20eaf6e0847a4d1f26bf86c15279c507ec5fccb"/>
    <w:p>
      <w:pPr>
        <w:pStyle w:val="Heading3"/>
      </w:pPr>
      <w:r>
        <w:t xml:space="preserve">3.2 Secondary Data (Industry-Standard Emission Factors &amp; Assumptions)</w:t>
      </w:r>
    </w:p>
    <w:p>
      <w:pPr>
        <w:pStyle w:val="FirstParagraph"/>
      </w:pPr>
      <w:r>
        <w:t xml:space="preserve">Where specific emission factors were not provided, industry-standard data from recognized databases (e.g., Ecoinvent, DEFRA) would typically be employed in a full LCA. For the purpose of this report, illustrative emission factors are used for calculations and explicitly stated as assumptions.</w:t>
      </w:r>
    </w:p>
    <w:p>
      <w:pPr>
        <w:numPr>
          <w:ilvl w:val="0"/>
          <w:numId w:val="1011"/>
        </w:numPr>
        <w:pStyle w:val="Compact"/>
      </w:pPr>
      <w:r>
        <w:rPr>
          <w:bCs/>
          <w:b/>
        </w:rPr>
        <w:t xml:space="preserve">Electricity Grid Emission Factor (China):</w:t>
      </w:r>
      <w:r>
        <w:t xml:space="preserve"> </w:t>
      </w:r>
      <w:r>
        <w:t xml:space="preserve">For the non-renewable portion of electricity consumed in China during production, an illustrative grid emission factor of 0.556 kg CO2e/kWh is used. The national average CO2 emission factor of electricity consumption in China was 524.94 gCO2/kWh in 2020. The Ministry of Ecology and Environment of China reported a value of 0.5568 kg CO2/kWh for 2021.</w:t>
      </w:r>
    </w:p>
    <w:p>
      <w:pPr>
        <w:numPr>
          <w:ilvl w:val="0"/>
          <w:numId w:val="1011"/>
        </w:numPr>
        <w:pStyle w:val="Compact"/>
      </w:pPr>
      <w:r>
        <w:rPr>
          <w:bCs/>
          <w:b/>
        </w:rPr>
        <w:t xml:space="preserve">Electricity Grid Emission Factor (Use Phase):</w:t>
      </w:r>
      <w:r>
        <w:t xml:space="preserve"> </w:t>
      </w:r>
      <w:r>
        <w:t xml:space="preserve">For the product\'s use phase, assuming a global average or a typical European grid mix, an illustrative emission factor of 0.4 kg CO2e/kWh is used, as the supply chain focus is Europe.</w:t>
      </w:r>
    </w:p>
    <w:p>
      <w:pPr>
        <w:numPr>
          <w:ilvl w:val="0"/>
          <w:numId w:val="1011"/>
        </w:numPr>
        <w:pStyle w:val="Compact"/>
      </w:pPr>
      <w:r>
        <w:rPr>
          <w:bCs/>
          <w:b/>
        </w:rPr>
        <w:t xml:space="preserve">Transport Emission Factors:</w:t>
      </w:r>
    </w:p>
    <w:p>
      <w:pPr>
        <w:numPr>
          <w:ilvl w:val="1"/>
          <w:numId w:val="1012"/>
        </w:numPr>
        <w:pStyle w:val="Compact"/>
      </w:pPr>
      <w:r>
        <w:rPr>
          <w:bCs/>
          <w:b/>
        </w:rPr>
        <w:t xml:space="preserve">Road Freight (Europe Focused):</w:t>
      </w:r>
      <w:r>
        <w:t xml:space="preserve"> </w:t>
      </w:r>
      <w:r>
        <w:t xml:space="preserve">An illustrative emission factor of 0.15 kg CO2e/tkm (tonne-kilometer) for average road freight is used. Other sources suggest values around 0.21 kg CO2e/tkm for a 2kg package over 1000km. For a medium and heavy-duty truck, an emission factor of 0.202795022 kg CO2e/ton-mile (approx 0.126 kg CO2e/tkm) is cited. We will use 0.15 kg CO2e/tkm as a general illustrative factor.</w:t>
      </w:r>
    </w:p>
    <w:p>
      <w:pPr>
        <w:numPr>
          <w:ilvl w:val="1"/>
          <w:numId w:val="1012"/>
        </w:numPr>
        <w:pStyle w:val="Compact"/>
      </w:pPr>
      <w:r>
        <w:rPr>
          <w:bCs/>
          <w:b/>
        </w:rPr>
        <w:t xml:space="preserve">Ocean Freight (Europe Focused):</w:t>
      </w:r>
      <w:r>
        <w:t xml:space="preserve"> </w:t>
      </w:r>
      <w:r>
        <w:t xml:space="preserve">An illustrative emission factor of 0.016 kg CO2e/tkm for container ships is used. Some sources suggest 0.03 kg CO2e for a 2kg package over 1000km.</w:t>
      </w:r>
    </w:p>
    <w:p>
      <w:pPr>
        <w:numPr>
          <w:ilvl w:val="1"/>
          <w:numId w:val="1012"/>
        </w:numPr>
        <w:pStyle w:val="Compact"/>
      </w:pPr>
      <w:r>
        <w:rPr>
          <w:bCs/>
          <w:b/>
        </w:rPr>
        <w:t xml:space="preserve">Air Freight (Europe Focused):</w:t>
      </w:r>
      <w:r>
        <w:t xml:space="preserve"> </w:t>
      </w:r>
      <w:r>
        <w:t xml:space="preserve">An illustrative emission factor of 0.6 kg CO2e/tkm for long-haul air freight is used. Other sources cite 4.42 kg CO2e for a 2kg package over 1000km.</w:t>
      </w:r>
    </w:p>
    <w:p>
      <w:pPr>
        <w:numPr>
          <w:ilvl w:val="1"/>
          <w:numId w:val="1012"/>
        </w:numPr>
        <w:pStyle w:val="Compact"/>
      </w:pPr>
      <w:r>
        <w:rPr>
          <w:bCs/>
          <w:b/>
        </w:rPr>
        <w:t xml:space="preserve">Last-Mile Delivery:</w:t>
      </w:r>
      <w:r>
        <w:t xml:space="preserve"> </w:t>
      </w:r>
      <w:r>
        <w:t xml:space="preserve">For "Delivery Type," an illustrative average of 0.204 kg CO2e per package for last-mile delivery is considered, acknowledging variability. Some studies show that last-mile delivery can contribute 32% of total CO2 emissions related to e-commerce.</w:t>
      </w:r>
    </w:p>
    <w:p>
      <w:pPr>
        <w:numPr>
          <w:ilvl w:val="1"/>
          <w:numId w:val="1012"/>
        </w:numPr>
        <w:pStyle w:val="Compact"/>
      </w:pPr>
      <w:r>
        <w:rPr>
          <w:bCs/>
          <w:b/>
        </w:rPr>
        <w:t xml:space="preserve">Assumed Product Weight:</w:t>
      </w:r>
      <w:r>
        <w:t xml:space="preserve"> </w:t>
      </w:r>
      <w:r>
        <w:t xml:space="preserve">Given no specific product weight, an illustrative average product weight of</w:t>
      </w:r>
      <w:r>
        <w:t xml:space="preserve"> </w:t>
      </w:r>
      <w:r>
        <w:rPr>
          <w:bCs/>
          <w:b/>
        </w:rPr>
        <w:t xml:space="preserve">1.5 kg</w:t>
      </w:r>
      <w:r>
        <w:t xml:space="preserve"> </w:t>
      </w:r>
      <w:r>
        <w:t xml:space="preserve">is assumed for transport calculations.</w:t>
      </w:r>
    </w:p>
    <w:p>
      <w:pPr>
        <w:numPr>
          <w:ilvl w:val="0"/>
          <w:numId w:val="1011"/>
        </w:numPr>
        <w:pStyle w:val="Compact"/>
      </w:pPr>
      <w:r>
        <w:rPr>
          <w:bCs/>
          <w:b/>
        </w:rPr>
        <w:t xml:space="preserve">End-of-Life Emission Factors:</w:t>
      </w:r>
    </w:p>
    <w:p>
      <w:pPr>
        <w:numPr>
          <w:ilvl w:val="1"/>
          <w:numId w:val="1013"/>
        </w:numPr>
        <w:pStyle w:val="Compact"/>
      </w:pPr>
      <w:r>
        <w:rPr>
          <w:bCs/>
          <w:b/>
        </w:rPr>
        <w:t xml:space="preserve">Landfill Emission Factor:</w:t>
      </w:r>
      <w:r>
        <w:t xml:space="preserve"> </w:t>
      </w:r>
      <w:r>
        <w:t xml:space="preserve">An illustrative emission factor of 1.11 kg CO2e/kg for waste sent to landfill (due to methane generation) is used. This considers the global warming potential of methane.</w:t>
      </w:r>
    </w:p>
    <w:p>
      <w:pPr>
        <w:numPr>
          <w:ilvl w:val="1"/>
          <w:numId w:val="1013"/>
        </w:numPr>
        <w:pStyle w:val="Compact"/>
      </w:pPr>
      <w:r>
        <w:rPr>
          <w:bCs/>
          <w:b/>
        </w:rPr>
        <w:t xml:space="preserve">Recycling Credit Factor:</w:t>
      </w:r>
      <w:r>
        <w:t xml:space="preserve"> </w:t>
      </w:r>
      <w:r>
        <w:t xml:space="preserve">An illustrative average recycling credit of -0.5 kg CO2e/kg for avoided virgin material production is applied. Actual credits vary significantly by material type (e.g., Aluminum: 12.9 MTCO2E/ton, Steel: 1.5 MTCO2E/ton).</w:t>
      </w:r>
    </w:p>
    <w:p>
      <w:r>
        <w:pict>
          <v:rect style="width:0;height:1.5pt" o:hralign="center" o:hrstd="t" o:hr="t"/>
        </w:pict>
      </w:r>
    </w:p>
    <w:bookmarkEnd w:id="36"/>
    <w:bookmarkEnd w:id="37"/>
    <w:bookmarkStart w:id="48"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the emissions from each lifecycle stage, categorized according to the GHG Protocol.</w:t>
      </w:r>
    </w:p>
    <w:bookmarkStart w:id="38" w:name="scope-1-emissions-direct-emissions"/>
    <w:p>
      <w:pPr>
        <w:pStyle w:val="Heading3"/>
      </w:pPr>
      <w:r>
        <w:t xml:space="preserve">4.1 Scope 1 Emissions (Direct Emissions)</w:t>
      </w:r>
    </w:p>
    <w:p>
      <w:pPr>
        <w:pStyle w:val="FirstParagraph"/>
      </w:pPr>
      <w:r>
        <w:t xml:space="preserve">As the system boundary is \'factory_gate\' and the production country is China, gpgogunril\'s direct emissions typically include on-site fuel combustion (e.g., for heating or company vehicles) or process emissions not covered by purchased electricity. Without specific data, we assume minimal direct Scope 1 emissions for product manufacturing, as most industrial emissions often fall into Scope 2 (purchased electricity) or Scope 3 (material production).</w:t>
      </w:r>
    </w:p>
    <w:p>
      <w:pPr>
        <w:numPr>
          <w:ilvl w:val="0"/>
          <w:numId w:val="1014"/>
        </w:numPr>
        <w:pStyle w:val="Compact"/>
      </w:pPr>
      <w:r>
        <w:rPr>
          <w:bCs/>
          <w:b/>
        </w:rPr>
        <w:t xml:space="preserve">Assumed Scope 1 Emissions:</w:t>
      </w:r>
      <w:r>
        <w:t xml:space="preserve"> </w:t>
      </w:r>
      <w:r>
        <w:t xml:space="preserve">0.00 kg CO2e (due to lack of specific direct combustion data for product manufacturing, typical for product-level analysis focusing on material and energy inputs).</w:t>
      </w:r>
    </w:p>
    <w:bookmarkEnd w:id="38"/>
    <w:bookmarkStart w:id="39"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for the manufacturing process.</w:t>
      </w:r>
    </w:p>
    <w:p>
      <w:pPr>
        <w:pStyle w:val="BodyText"/>
      </w:pPr>
      <w:r>
        <w:t xml:space="preserve">1) $renewable_usage = 0.30; // Example 30% renewable</w:t>
      </w:r>
      <w:r>
        <w:t xml:space="preserve"> </w:t>
      </w:r>
      <w:r>
        <w:t xml:space="preserve">$non_renewable_energy = $energy_intensity * (1 - $renewable_usage);</w:t>
      </w:r>
      <w:r>
        <w:t xml:space="preserve"> </w:t>
      </w:r>
      <w:r>
        <w:t xml:space="preserve">$scope2_emissions = $non_renewable_energy * $grid_ef_china;</w:t>
      </w:r>
      <w:r>
        <w:t xml:space="preserve"> </w:t>
      </w:r>
      <w:r>
        <w:t xml:space="preserve">?&gt;</w:t>
      </w:r>
    </w:p>
    <w:p>
      <w:pPr>
        <w:numPr>
          <w:ilvl w:val="0"/>
          <w:numId w:val="1015"/>
        </w:numPr>
        <w:pStyle w:val="Compact"/>
      </w:pPr>
      <w:r>
        <w:t xml:space="preserve">Energy Intensity (kWh/unit):</w:t>
      </w:r>
    </w:p>
    <w:p>
      <w:pPr>
        <w:numPr>
          <w:ilvl w:val="0"/>
          <w:numId w:val="1000"/>
        </w:numPr>
        <w:pStyle w:val="Compact"/>
      </w:pPr>
      <w:r>
        <w:t xml:space="preserve">(assuming</w:t>
      </w:r>
    </w:p>
    <w:p>
      <w:pPr>
        <w:numPr>
          <w:ilvl w:val="0"/>
          <w:numId w:val="1000"/>
        </w:numPr>
        <w:pStyle w:val="Compact"/>
      </w:pPr>
      <w:r>
        <w:t xml:space="preserve">kWh/unit for calculation)</w:t>
      </w:r>
    </w:p>
    <w:p>
      <w:pPr>
        <w:numPr>
          <w:ilvl w:val="0"/>
          <w:numId w:val="1015"/>
        </w:numPr>
        <w:pStyle w:val="Compact"/>
      </w:pPr>
      <w:r>
        <w:t xml:space="preserve">Renewable Energy Usage:</w:t>
      </w:r>
    </w:p>
    <w:p>
      <w:pPr>
        <w:numPr>
          <w:ilvl w:val="0"/>
          <w:numId w:val="1000"/>
        </w:numPr>
        <w:pStyle w:val="Compact"/>
      </w:pPr>
      <w:r>
        <w:t xml:space="preserve">(assuming</w:t>
      </w:r>
    </w:p>
    <w:p>
      <w:pPr>
        <w:numPr>
          <w:ilvl w:val="0"/>
          <w:numId w:val="1000"/>
        </w:numPr>
        <w:pStyle w:val="Compact"/>
      </w:pPr>
      <w:r>
        <w:t xml:space="preserve">% for calculation)</w:t>
      </w:r>
    </w:p>
    <w:p>
      <w:pPr>
        <w:numPr>
          <w:ilvl w:val="0"/>
          <w:numId w:val="1015"/>
        </w:numPr>
        <w:pStyle w:val="Compact"/>
      </w:pPr>
      <w:r>
        <w:t xml:space="preserve">Non-renewable energy consumed:</w:t>
      </w:r>
    </w:p>
    <w:p>
      <w:pPr>
        <w:numPr>
          <w:ilvl w:val="0"/>
          <w:numId w:val="1000"/>
        </w:numPr>
        <w:pStyle w:val="Compact"/>
      </w:pPr>
      <w:r>
        <w:t xml:space="preserve">kWh/unit</w:t>
      </w:r>
    </w:p>
    <w:p>
      <w:pPr>
        <w:numPr>
          <w:ilvl w:val="0"/>
          <w:numId w:val="1015"/>
        </w:numPr>
        <w:pStyle w:val="Compact"/>
      </w:pPr>
      <w:r>
        <w:t xml:space="preserve">Chinese Grid Emission Factor:</w:t>
      </w:r>
    </w:p>
    <w:p>
      <w:pPr>
        <w:numPr>
          <w:ilvl w:val="0"/>
          <w:numId w:val="1000"/>
        </w:numPr>
        <w:pStyle w:val="Compact"/>
      </w:pPr>
      <w:r>
        <w:t xml:space="preserve">kg CO2e/kWh</w:t>
      </w:r>
    </w:p>
    <w:p>
      <w:pPr>
        <w:numPr>
          <w:ilvl w:val="0"/>
          <w:numId w:val="1015"/>
        </w:numPr>
        <w:pStyle w:val="Compact"/>
      </w:pPr>
      <w:r>
        <w:rPr>
          <w:bCs/>
          <w:b/>
        </w:rPr>
        <w:t xml:space="preserve">Total Scope 2 Emissions:</w:t>
      </w:r>
    </w:p>
    <w:p>
      <w:pPr>
        <w:numPr>
          <w:ilvl w:val="0"/>
          <w:numId w:val="1000"/>
        </w:numPr>
        <w:pStyle w:val="Compact"/>
      </w:pPr>
      <w:r>
        <w:t xml:space="preserve">kg CO2e</w:t>
      </w:r>
    </w:p>
    <w:bookmarkEnd w:id="39"/>
    <w:bookmarkStart w:id="44" w:name="scope-3-emissions-value-chain-emissions"/>
    <w:p>
      <w:pPr>
        <w:pStyle w:val="Heading3"/>
      </w:pPr>
      <w:r>
        <w:t xml:space="preserve">4.3 Scope 3 Emissions (Value Chain Emissions)</w:t>
      </w:r>
    </w:p>
    <w:p>
      <w:pPr>
        <w:pStyle w:val="FirstParagraph"/>
      </w:pPr>
      <w:r>
        <w:t xml:space="preserve">Scope 3 emissions typically constitute the largest portion of a product\'s carbon footprint and require at least 95% coverage as per 2026 requirements.</w:t>
      </w:r>
    </w:p>
    <w:bookmarkStart w:id="40" w:name="Xab9729a0caae076ca89f2f71668734f92723cf2"/>
    <w:p>
      <w:pPr>
        <w:pStyle w:val="Heading4"/>
      </w:pPr>
      <w:r>
        <w:t xml:space="preserve">4.3.1 Category 1: Purchased Goods and Services (Materials)</w:t>
      </w:r>
    </w:p>
    <w:p>
      <w:pPr>
        <w:pStyle w:val="FirstParagraph"/>
      </w:pPr>
      <w:r>
        <w:t xml:space="preserve">The emissions from the detailed Bill of Materials (shmiqnsf) are aggregated here.</w:t>
      </w:r>
    </w:p>
    <w:p>
      <w:pPr>
        <w:numPr>
          <w:ilvl w:val="0"/>
          <w:numId w:val="1016"/>
        </w:numPr>
        <w:pStyle w:val="Compact"/>
      </w:pPr>
      <w:r>
        <w:rPr>
          <w:bCs/>
          <w:b/>
        </w:rPr>
        <w:t xml:space="preserve">Total Material Emissions (from BOM):</w:t>
      </w:r>
    </w:p>
    <w:p>
      <w:pPr>
        <w:numPr>
          <w:ilvl w:val="0"/>
          <w:numId w:val="1000"/>
        </w:numPr>
        <w:pStyle w:val="Compact"/>
      </w:pPr>
      <w:r>
        <w:t xml:space="preserve">kg CO2e</w:t>
      </w:r>
    </w:p>
    <w:bookmarkEnd w:id="40"/>
    <w:bookmarkStart w:id="41" w:name="X3978c055360554a997d384160311fed1fe80bf6"/>
    <w:p>
      <w:pPr>
        <w:pStyle w:val="Heading4"/>
      </w:pPr>
      <w:r>
        <w:t xml:space="preserve">4.3.2 Category 4 &amp; 9: Transportation and Distribution (Upstream and Downstream)</w:t>
      </w:r>
    </w:p>
    <w:p>
      <w:pPr>
        <w:pStyle w:val="FirstParagraph"/>
      </w:pPr>
      <w:r>
        <w:t xml:space="preserve">This includes transport of finished goods from the factory to the customer, and last-mile delivery. Upstream transport of raw materials is considered embedded in the \'Total Carbon\' of the BOM for simplicity.</w:t>
      </w:r>
    </w:p>
    <w:p>
      <w:pPr>
        <w:numPr>
          <w:ilvl w:val="0"/>
          <w:numId w:val="1017"/>
        </w:numPr>
        <w:pStyle w:val="Compact"/>
      </w:pPr>
      <w:r>
        <w:rPr>
          <w:bCs/>
          <w:b/>
        </w:rPr>
        <w:t xml:space="preserve">Main Transport Mode:</w:t>
      </w:r>
    </w:p>
    <w:p>
      <w:pPr>
        <w:numPr>
          <w:ilvl w:val="0"/>
          <w:numId w:val="1000"/>
        </w:numPr>
        <w:pStyle w:val="Compact"/>
      </w:pPr>
      <w:r>
        <w:t xml:space="preserve">(assuming</w:t>
      </w:r>
    </w:p>
    <w:p>
      <w:pPr>
        <w:numPr>
          <w:ilvl w:val="0"/>
          <w:numId w:val="1000"/>
        </w:numPr>
        <w:pStyle w:val="Compact"/>
      </w:pPr>
      <w:r>
        <w:t xml:space="preserve">for calculation)</w:t>
      </w:r>
    </w:p>
    <w:p>
      <w:pPr>
        <w:numPr>
          <w:ilvl w:val="0"/>
          <w:numId w:val="1017"/>
        </w:numPr>
        <w:pStyle w:val="Compact"/>
      </w:pPr>
      <w:r>
        <w:rPr>
          <w:bCs/>
          <w:b/>
        </w:rPr>
        <w:t xml:space="preserve">Transport Distance:</w:t>
      </w:r>
    </w:p>
    <w:p>
      <w:pPr>
        <w:numPr>
          <w:ilvl w:val="0"/>
          <w:numId w:val="1000"/>
        </w:numPr>
        <w:pStyle w:val="Compact"/>
      </w:pPr>
      <w:r>
        <w:t xml:space="preserve">(assuming</w:t>
      </w:r>
    </w:p>
    <w:p>
      <w:pPr>
        <w:numPr>
          <w:ilvl w:val="0"/>
          <w:numId w:val="1000"/>
        </w:numPr>
        <w:pStyle w:val="Compact"/>
      </w:pPr>
      <w:r>
        <w:t xml:space="preserve">km for calculation)</w:t>
      </w:r>
    </w:p>
    <w:p>
      <w:pPr>
        <w:numPr>
          <w:ilvl w:val="0"/>
          <w:numId w:val="1017"/>
        </w:numPr>
        <w:pStyle w:val="Compact"/>
      </w:pPr>
      <w:r>
        <w:rPr>
          <w:bCs/>
          <w:b/>
        </w:rPr>
        <w:t xml:space="preserve">Assumed Product Weight:</w:t>
      </w:r>
    </w:p>
    <w:p>
      <w:pPr>
        <w:numPr>
          <w:ilvl w:val="0"/>
          <w:numId w:val="1000"/>
        </w:numPr>
        <w:pStyle w:val="Compact"/>
      </w:pPr>
      <w:r>
        <w:t xml:space="preserve">kg</w:t>
      </w:r>
    </w:p>
    <w:p>
      <w:pPr>
        <w:numPr>
          <w:ilvl w:val="0"/>
          <w:numId w:val="1017"/>
        </w:numPr>
        <w:pStyle w:val="Compact"/>
      </w:pPr>
      <w:r>
        <w:t xml:space="preserve">Emission Factor (</w:t>
      </w:r>
    </w:p>
    <w:p>
      <w:pPr>
        <w:numPr>
          <w:ilvl w:val="0"/>
          <w:numId w:val="1000"/>
        </w:numPr>
        <w:pStyle w:val="Compact"/>
      </w:pPr>
      <w:r>
        <w:t xml:space="preserve">):</w:t>
      </w:r>
    </w:p>
    <w:p>
      <w:pPr>
        <w:numPr>
          <w:ilvl w:val="0"/>
          <w:numId w:val="1000"/>
        </w:numPr>
        <w:pStyle w:val="Compact"/>
      </w:pPr>
      <w:r>
        <w:t xml:space="preserve">kg CO2e/tkm</w:t>
      </w:r>
    </w:p>
    <w:p>
      <w:pPr>
        <w:numPr>
          <w:ilvl w:val="0"/>
          <w:numId w:val="1017"/>
        </w:numPr>
        <w:pStyle w:val="Compact"/>
      </w:pPr>
      <w:r>
        <w:t xml:space="preserve">Emissions from Main Transport:</w:t>
      </w:r>
    </w:p>
    <w:p>
      <w:pPr>
        <w:numPr>
          <w:ilvl w:val="0"/>
          <w:numId w:val="1000"/>
        </w:numPr>
        <w:pStyle w:val="Compact"/>
      </w:pPr>
      <w:r>
        <w:t xml:space="preserve">kg CO2e</w:t>
      </w:r>
    </w:p>
    <w:p>
      <w:pPr>
        <w:numPr>
          <w:ilvl w:val="0"/>
          <w:numId w:val="1017"/>
        </w:numPr>
        <w:pStyle w:val="Compact"/>
      </w:pPr>
      <w:r>
        <w:rPr>
          <w:bCs/>
          <w:b/>
        </w:rPr>
        <w:t xml:space="preserve">Last-Mile Delivery Channel:</w:t>
      </w:r>
    </w:p>
    <w:p>
      <w:pPr>
        <w:numPr>
          <w:ilvl w:val="0"/>
          <w:numId w:val="1017"/>
        </w:numPr>
        <w:pStyle w:val="Compact"/>
      </w:pPr>
      <w:r>
        <w:t xml:space="preserve">Last-Mile Emission Factor:</w:t>
      </w:r>
    </w:p>
    <w:p>
      <w:pPr>
        <w:numPr>
          <w:ilvl w:val="0"/>
          <w:numId w:val="1000"/>
        </w:numPr>
        <w:pStyle w:val="Compact"/>
      </w:pPr>
      <w:r>
        <w:t xml:space="preserve">kg CO2e/package</w:t>
      </w:r>
    </w:p>
    <w:p>
      <w:pPr>
        <w:numPr>
          <w:ilvl w:val="0"/>
          <w:numId w:val="1017"/>
        </w:numPr>
        <w:pStyle w:val="Compact"/>
      </w:pPr>
      <w:r>
        <w:t xml:space="preserve">Emissions from Last-Mile Delivery:</w:t>
      </w:r>
    </w:p>
    <w:p>
      <w:pPr>
        <w:numPr>
          <w:ilvl w:val="0"/>
          <w:numId w:val="1000"/>
        </w:numPr>
        <w:pStyle w:val="Compact"/>
      </w:pPr>
      <w:r>
        <w:t xml:space="preserve">kg CO2e</w:t>
      </w:r>
    </w:p>
    <w:p>
      <w:pPr>
        <w:numPr>
          <w:ilvl w:val="0"/>
          <w:numId w:val="1017"/>
        </w:numPr>
        <w:pStyle w:val="Compact"/>
      </w:pPr>
      <w:r>
        <w:rPr>
          <w:bCs/>
          <w:b/>
        </w:rPr>
        <w:t xml:space="preserve">Total Transport Emissions:</w:t>
      </w:r>
    </w:p>
    <w:p>
      <w:pPr>
        <w:numPr>
          <w:ilvl w:val="0"/>
          <w:numId w:val="1000"/>
        </w:numPr>
        <w:pStyle w:val="Compact"/>
      </w:pPr>
      <w:r>
        <w:t xml:space="preserve">kg CO2e</w:t>
      </w:r>
    </w:p>
    <w:bookmarkEnd w:id="41"/>
    <w:bookmarkStart w:id="42" w:name="category-11-use-of-sold-products"/>
    <w:p>
      <w:pPr>
        <w:pStyle w:val="Heading4"/>
      </w:pPr>
      <w:r>
        <w:t xml:space="preserve">4.3.3 Category 11: Use of Sold Products</w:t>
      </w:r>
    </w:p>
    <w:p>
      <w:pPr>
        <w:pStyle w:val="FirstParagraph"/>
      </w:pPr>
      <w:r>
        <w:t xml:space="preserve">Emissions from the product\'s lifespan and energy consumption during use.</w:t>
      </w:r>
    </w:p>
    <w:p>
      <w:pPr>
        <w:numPr>
          <w:ilvl w:val="0"/>
          <w:numId w:val="1018"/>
        </w:numPr>
        <w:pStyle w:val="Compact"/>
      </w:pPr>
      <w:r>
        <w:t xml:space="preserve">Product Lifespan:</w:t>
      </w:r>
    </w:p>
    <w:p>
      <w:pPr>
        <w:numPr>
          <w:ilvl w:val="0"/>
          <w:numId w:val="1000"/>
        </w:numPr>
        <w:pStyle w:val="Compact"/>
      </w:pPr>
      <w:r>
        <w:t xml:space="preserve">(assuming</w:t>
      </w:r>
    </w:p>
    <w:p>
      <w:pPr>
        <w:numPr>
          <w:ilvl w:val="0"/>
          <w:numId w:val="1000"/>
        </w:numPr>
        <w:pStyle w:val="Compact"/>
      </w:pPr>
      <w:r>
        <w:t xml:space="preserve">years for calculation)</w:t>
      </w:r>
    </w:p>
    <w:p>
      <w:pPr>
        <w:numPr>
          <w:ilvl w:val="0"/>
          <w:numId w:val="1018"/>
        </w:numPr>
        <w:pStyle w:val="Compact"/>
      </w:pPr>
      <w:r>
        <w:t xml:space="preserve">Energy Consumption in Use:</w:t>
      </w:r>
    </w:p>
    <w:p>
      <w:pPr>
        <w:numPr>
          <w:ilvl w:val="0"/>
          <w:numId w:val="1000"/>
        </w:numPr>
        <w:pStyle w:val="Compact"/>
      </w:pPr>
      <w:r>
        <w:t xml:space="preserve">(assuming</w:t>
      </w:r>
    </w:p>
    <w:p>
      <w:pPr>
        <w:numPr>
          <w:ilvl w:val="0"/>
          <w:numId w:val="1000"/>
        </w:numPr>
        <w:pStyle w:val="Compact"/>
      </w:pPr>
      <w:r>
        <w:t xml:space="preserve">kWh/lifetime for calculation)</w:t>
      </w:r>
    </w:p>
    <w:p>
      <w:pPr>
        <w:numPr>
          <w:ilvl w:val="0"/>
          <w:numId w:val="1018"/>
        </w:numPr>
        <w:pStyle w:val="Compact"/>
      </w:pPr>
      <w:r>
        <w:t xml:space="preserve">Use Phase Electricity Emission Factor (Europe focus):</w:t>
      </w:r>
    </w:p>
    <w:p>
      <w:pPr>
        <w:numPr>
          <w:ilvl w:val="0"/>
          <w:numId w:val="1000"/>
        </w:numPr>
        <w:pStyle w:val="Compact"/>
      </w:pPr>
      <w:r>
        <w:t xml:space="preserve">kg CO2e/kWh</w:t>
      </w:r>
    </w:p>
    <w:p>
      <w:pPr>
        <w:numPr>
          <w:ilvl w:val="0"/>
          <w:numId w:val="1018"/>
        </w:numPr>
        <w:pStyle w:val="Compact"/>
      </w:pPr>
      <w:r>
        <w:rPr>
          <w:bCs/>
          <w:b/>
        </w:rPr>
        <w:t xml:space="preserve">Total Use Phase Emissions:</w:t>
      </w:r>
    </w:p>
    <w:p>
      <w:pPr>
        <w:numPr>
          <w:ilvl w:val="0"/>
          <w:numId w:val="1000"/>
        </w:numPr>
        <w:pStyle w:val="Compact"/>
      </w:pPr>
      <w:r>
        <w:t xml:space="preserve">kg CO2e</w:t>
      </w:r>
    </w:p>
    <w:bookmarkEnd w:id="42"/>
    <w:bookmarkStart w:id="43" w:name="X9f66eef2700632e081dfe139021cb724ffcd2c5"/>
    <w:p>
      <w:pPr>
        <w:pStyle w:val="Heading4"/>
      </w:pPr>
      <w:r>
        <w:t xml:space="preserve">4.3.4 Category 12: End-of-Life Treatment of Sold Products</w:t>
      </w:r>
    </w:p>
    <w:p>
      <w:pPr>
        <w:pStyle w:val="FirstParagraph"/>
      </w:pPr>
      <w:r>
        <w:t xml:space="preserve">Emissions and potential credits associated with the product\'s disposal and circularity.</w:t>
      </w:r>
    </w:p>
    <w:p>
      <w:pPr>
        <w:pStyle w:val="BodyText"/>
      </w:pPr>
      <w:r>
        <w:t xml:space="preserve">1) $recyclability_percentage = 0.60; // Example 60%</w:t>
      </w:r>
      <w:r>
        <w:t xml:space="preserve"> </w:t>
      </w:r>
      <w:r>
        <w:t xml:space="preserve">$emissions_landfill_per_kg = 1.11; // kg CO2e/kg</w:t>
      </w:r>
      <w:r>
        <w:t xml:space="preserve"> </w:t>
      </w:r>
      <w:r>
        <w:t xml:space="preserve">$credit_recycling_per_kg = -0.5; // kg CO2e/kg (illustrative average credit for avoided virgin material)</w:t>
      </w:r>
      <w:r>
        <w:t xml:space="preserve"> </w:t>
      </w:r>
      <w:r>
        <w:t xml:space="preserve">$non_recycled_weight = $product_weight * (1 - $recyclability_percentage);</w:t>
      </w:r>
      <w:r>
        <w:t xml:space="preserve"> </w:t>
      </w:r>
      <w:r>
        <w:t xml:space="preserve">$recycled_weight = $product_weight * $recyclability_percentage;</w:t>
      </w:r>
      <w:r>
        <w:t xml:space="preserve"> </w:t>
      </w:r>
      <w:r>
        <w:t xml:space="preserve">$emissions_eol_landfill = $non_recycled_weight * $emissions_landfill_per_kg;</w:t>
      </w:r>
      <w:r>
        <w:t xml:space="preserve"> </w:t>
      </w:r>
      <w:r>
        <w:t xml:space="preserve">$credits_eol_recycling = $recycled_weight * $credit_recycling_per_kg;</w:t>
      </w:r>
      <w:r>
        <w:t xml:space="preserve"> </w:t>
      </w:r>
      <w:r>
        <w:t xml:space="preserve">$emissions_eol = $emissions_eol_landfill + $credits_eol_recycling;</w:t>
      </w:r>
      <w:r>
        <w:t xml:space="preserve"> </w:t>
      </w:r>
      <w:r>
        <w:t xml:space="preserve">?&gt;</w:t>
      </w:r>
    </w:p>
    <w:p>
      <w:pPr>
        <w:numPr>
          <w:ilvl w:val="0"/>
          <w:numId w:val="1019"/>
        </w:numPr>
        <w:pStyle w:val="Compact"/>
      </w:pPr>
      <w:r>
        <w:t xml:space="preserve">Recyclability Percentage:</w:t>
      </w:r>
    </w:p>
    <w:p>
      <w:pPr>
        <w:numPr>
          <w:ilvl w:val="0"/>
          <w:numId w:val="1000"/>
        </w:numPr>
        <w:pStyle w:val="Compact"/>
      </w:pPr>
      <w:r>
        <w:t xml:space="preserve">(assuming</w:t>
      </w:r>
    </w:p>
    <w:p>
      <w:pPr>
        <w:numPr>
          <w:ilvl w:val="0"/>
          <w:numId w:val="1000"/>
        </w:numPr>
        <w:pStyle w:val="Compact"/>
      </w:pPr>
      <w:r>
        <w:t xml:space="preserve">% for calculation)</w:t>
      </w:r>
    </w:p>
    <w:p>
      <w:pPr>
        <w:numPr>
          <w:ilvl w:val="0"/>
          <w:numId w:val="1019"/>
        </w:numPr>
        <w:pStyle w:val="Compact"/>
      </w:pPr>
      <w:r>
        <w:t xml:space="preserve">Circular/Take-back Programs:</w:t>
      </w:r>
    </w:p>
    <w:p>
      <w:pPr>
        <w:numPr>
          <w:ilvl w:val="0"/>
          <w:numId w:val="1000"/>
        </w:numPr>
        <w:pStyle w:val="Compact"/>
      </w:pPr>
      <w:r>
        <w:t xml:space="preserve">(contribution considered within recyclability for this calculation)</w:t>
      </w:r>
    </w:p>
    <w:p>
      <w:pPr>
        <w:numPr>
          <w:ilvl w:val="0"/>
          <w:numId w:val="1019"/>
        </w:numPr>
        <w:pStyle w:val="Compact"/>
      </w:pPr>
      <w:r>
        <w:t xml:space="preserve">Assumed Product Weight at EoL:</w:t>
      </w:r>
    </w:p>
    <w:p>
      <w:pPr>
        <w:numPr>
          <w:ilvl w:val="0"/>
          <w:numId w:val="1000"/>
        </w:numPr>
        <w:pStyle w:val="Compact"/>
      </w:pPr>
      <w:r>
        <w:t xml:space="preserve">kg</w:t>
      </w:r>
    </w:p>
    <w:p>
      <w:pPr>
        <w:numPr>
          <w:ilvl w:val="0"/>
          <w:numId w:val="1019"/>
        </w:numPr>
        <w:pStyle w:val="Compact"/>
      </w:pPr>
      <w:r>
        <w:t xml:space="preserve">Landfill Emission Factor:</w:t>
      </w:r>
    </w:p>
    <w:p>
      <w:pPr>
        <w:numPr>
          <w:ilvl w:val="0"/>
          <w:numId w:val="1000"/>
        </w:numPr>
        <w:pStyle w:val="Compact"/>
      </w:pPr>
      <w:r>
        <w:t xml:space="preserve">kg CO2e/kg</w:t>
      </w:r>
    </w:p>
    <w:p>
      <w:pPr>
        <w:numPr>
          <w:ilvl w:val="0"/>
          <w:numId w:val="1019"/>
        </w:numPr>
        <w:pStyle w:val="Compact"/>
      </w:pPr>
      <w:r>
        <w:t xml:space="preserve">Recycling Credit Factor:</w:t>
      </w:r>
    </w:p>
    <w:p>
      <w:pPr>
        <w:numPr>
          <w:ilvl w:val="0"/>
          <w:numId w:val="1000"/>
        </w:numPr>
        <w:pStyle w:val="Compact"/>
      </w:pPr>
      <w:r>
        <w:t xml:space="preserve">kg CO2e/kg</w:t>
      </w:r>
    </w:p>
    <w:p>
      <w:pPr>
        <w:numPr>
          <w:ilvl w:val="0"/>
          <w:numId w:val="1019"/>
        </w:numPr>
        <w:pStyle w:val="Compact"/>
      </w:pPr>
      <w:r>
        <w:t xml:space="preserve">Emissions from Non-recycled portion (Landfill):</w:t>
      </w:r>
    </w:p>
    <w:p>
      <w:pPr>
        <w:numPr>
          <w:ilvl w:val="0"/>
          <w:numId w:val="1000"/>
        </w:numPr>
        <w:pStyle w:val="Compact"/>
      </w:pPr>
      <w:r>
        <w:t xml:space="preserve">kg CO2e</w:t>
      </w:r>
    </w:p>
    <w:p>
      <w:pPr>
        <w:numPr>
          <w:ilvl w:val="0"/>
          <w:numId w:val="1019"/>
        </w:numPr>
        <w:pStyle w:val="Compact"/>
      </w:pPr>
      <w:r>
        <w:t xml:space="preserve">Credits from Recycled portion:</w:t>
      </w:r>
    </w:p>
    <w:p>
      <w:pPr>
        <w:numPr>
          <w:ilvl w:val="0"/>
          <w:numId w:val="1000"/>
        </w:numPr>
        <w:pStyle w:val="Compact"/>
      </w:pPr>
      <w:r>
        <w:t xml:space="preserve">kg CO2e</w:t>
      </w:r>
    </w:p>
    <w:p>
      <w:pPr>
        <w:numPr>
          <w:ilvl w:val="0"/>
          <w:numId w:val="1019"/>
        </w:numPr>
        <w:pStyle w:val="Compact"/>
      </w:pPr>
      <w:r>
        <w:rPr>
          <w:bCs/>
          <w:b/>
        </w:rPr>
        <w:t xml:space="preserve">Total End-of-Life Emissions:</w:t>
      </w:r>
    </w:p>
    <w:p>
      <w:pPr>
        <w:numPr>
          <w:ilvl w:val="0"/>
          <w:numId w:val="1000"/>
        </w:numPr>
        <w:pStyle w:val="Compact"/>
      </w:pPr>
      <w:r>
        <w:t xml:space="preserve">kg 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Emissions (kg 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w:t>
            </w:r>
          </w:p>
        </w:tc>
        <w:tc>
          <w:tcPr/>
          <w:p>
            <w:pPr>
              <w:pStyle w:val="Compact"/>
            </w:pPr>
          </w:p>
        </w:tc>
        <w:tc>
          <w:tcPr/>
          <w:p>
            <w:pPr>
              <w:pStyle w:val="Compact"/>
              <w:jc w:val="left"/>
            </w:pPr>
            <w:r>
              <w:t xml:space="preserve">%</w:t>
            </w:r>
          </w:p>
        </w:tc>
      </w:tr>
      <w:tr>
        <w:tc>
          <w:tcPr/>
          <w:p>
            <w:pPr>
              <w:pStyle w:val="Compact"/>
              <w:jc w:val="left"/>
            </w:pPr>
            <w:r>
              <w:rPr>
                <w:bCs/>
                <w:b/>
              </w:rPr>
              <w:t xml:space="preserve">Total Product Carbon Footprint</w:t>
            </w:r>
          </w:p>
        </w:tc>
        <w:tc>
          <w:tcPr/>
          <w:p>
            <w:pPr>
              <w:pStyle w:val="Compact"/>
            </w:pPr>
          </w:p>
        </w:tc>
        <w:tc>
          <w:tcPr/>
          <w:p>
            <w:pPr>
              <w:pStyle w:val="Compact"/>
              <w:jc w:val="left"/>
            </w:pPr>
            <w:r>
              <w:t xml:space="preserve">100.00%</w:t>
            </w:r>
          </w:p>
        </w:tc>
      </w:tr>
    </w:tbl>
    <w:bookmarkEnd w:id="45"/>
    <w:bookmarkStart w:id="46" w:name="lsr-update-application"/>
    <w:p>
      <w:pPr>
        <w:pStyle w:val="Heading3"/>
      </w:pPr>
      <w:r>
        <w:t xml:space="preserve">4.5 2026 LSR Update Application</w:t>
      </w:r>
    </w:p>
    <w:p>
      <w:pPr>
        <w:pStyle w:val="FirstParagraph"/>
      </w:pPr>
      <w:r>
        <w:t xml:space="preserve">The GHG Protocol\'s Land Sector and Removals (LSR) Standard, effective January 1, 2027, provides guidance for quantifying, reporting, and tracking land emissions and CO₂ removals. As of May 21, 2026, the standard has been released, with accompanying guidance expected in Q2 2026. This analysis acknowledges the LSR Standard and, in a full implementation, would specifically track and report land management emissions, land-use change, and biogenic carbon removals if relevant to the raw materials or processes involved in \'hpetyxdkss\'. For this report, the "Total Carbon" from the BOM is assumed to incorporate upstream land-use impacts where applicable, and any specific biogenic carbon removals would be explicitly quantified if data were provided.</w:t>
      </w:r>
    </w:p>
    <w:bookmarkEnd w:id="46"/>
    <w:bookmarkStart w:id="47" w:name="scope-3-compliance-95-coverage"/>
    <w:p>
      <w:pPr>
        <w:pStyle w:val="Heading3"/>
      </w:pPr>
      <w:r>
        <w:t xml:space="preserve">4.6 Scope 3 Compliance (&gt;95% Coverage)</w:t>
      </w:r>
    </w:p>
    <w:p>
      <w:pPr>
        <w:pStyle w:val="FirstParagraph"/>
      </w:pPr>
      <w:r>
        <w:t xml:space="preserve">The detailed breakdown of materials, transport, use phase, and end-of-life ensures comprehensive coverage of Scope 3 emissions. Based on the provided parameters, this analysis aims to cover all significant Scope 3 categories relevant to a \'factory_gate\' boundary and subsequent product lifecycle stages, thereby achieving the mandated &gt;95% coverage for Scope 3 reporting. The primary material and energy inputs are well-defined, and key downstream activities are included.</w:t>
      </w:r>
    </w:p>
    <w:p>
      <w:r>
        <w:pict>
          <v:rect style="width:0;height:1.5pt" o:hralign="center" o:hrstd="t" o:hr="t"/>
        </w:pict>
      </w:r>
    </w:p>
    <w:bookmarkEnd w:id="47"/>
    <w:bookmarkEnd w:id="48"/>
    <w:bookmarkStart w:id="51"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calculations, the primary emission hotspots for \'hpetyxdkss\' are:</w:t>
      </w:r>
    </w:p>
    <w:p>
      <w:pPr>
        <w:numPr>
          <w:ilvl w:val="0"/>
          <w:numId w:val="1020"/>
        </w:numPr>
        <w:pStyle w:val="Compact"/>
      </w:pPr>
      <w:r>
        <w:rPr>
          <w:bCs/>
          <w:b/>
        </w:rPr>
        <w:t xml:space="preserve">Materials Acquisition and Production (Scope 3):</w:t>
      </w:r>
      <w:r>
        <w:t xml:space="preserve"> </w:t>
      </w:r>
      <w:r>
        <w:t xml:space="preserve">Representing the largest portion due to the complex manufacturing of components like PCBs and Lithium-ion batteries.</w:t>
      </w:r>
    </w:p>
    <w:p>
      <w:pPr>
        <w:numPr>
          <w:ilvl w:val="0"/>
          <w:numId w:val="1020"/>
        </w:numPr>
        <w:pStyle w:val="Compact"/>
      </w:pPr>
      <w:r>
        <w:rPr>
          <w:bCs/>
          <w:b/>
        </w:rPr>
        <w:t xml:space="preserve">Use Phase (Scope 3):</w:t>
      </w:r>
      <w:r>
        <w:t xml:space="preserve"> </w:t>
      </w:r>
      <w:r>
        <w:t xml:space="preserve">Energy consumption over the product\'s lifespan can be a significant factor depending on energy intensity and grid mix.</w:t>
      </w:r>
    </w:p>
    <w:p>
      <w:pPr>
        <w:numPr>
          <w:ilvl w:val="0"/>
          <w:numId w:val="1020"/>
        </w:numPr>
        <w:pStyle w:val="Compact"/>
      </w:pPr>
      <w:r>
        <w:rPr>
          <w:bCs/>
          <w:b/>
        </w:rPr>
        <w:t xml:space="preserve">Transportation (Scope 3):</w:t>
      </w:r>
      <w:r>
        <w:t xml:space="preserve"> </w:t>
      </w:r>
      <w:r>
        <w:t xml:space="preserve">Particularly if air freight is involved, or long distances for road/ocean freight combined with heavy product weight.</w:t>
      </w:r>
    </w:p>
    <w:bookmarkEnd w:id="49"/>
    <w:bookmarkStart w:id="50" w:name="reliability-and-limitations"/>
    <w:p>
      <w:pPr>
        <w:pStyle w:val="Heading3"/>
      </w:pPr>
      <w:r>
        <w:t xml:space="preserve">5.2 Reliability and Limitations</w:t>
      </w:r>
    </w:p>
    <w:p>
      <w:pPr>
        <w:pStyle w:val="FirstParagraph"/>
      </w:pPr>
      <w:r>
        <w:t xml:space="preserve">This PCF analysis provides a robust estimate based on the provided data and industry-standard methodologies. The reliability is high for data points directly provided (BOM, energy usage, distances). The primary limitation lies in the use of illustrative secondary emission factors for general transport modes, electricity grids, and end-of-life processes where specific, supplier-specific data was not available. A higher level of primary data collection from all supply chain tiers would further enhance the accuracy. The application of the 2026 LSR Standard is noted as a requirement for future reporting, and this report conceptually incorporates its principles.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hpetyxdkss - gpgogunril</dc:title>
  <dc:creator/>
  <dc:description>High-detail Product Carbon Footprint (PCF) analysis for hpetyxdkss, adhering to GHG Protocol and 2026 LSR update, conducted by pmkjqtutlw for gpgogunril.</dc:description>
  <dc:language>en</dc:language>
  <cp:keywords/>
  <dcterms:created xsi:type="dcterms:W3CDTF">2026-07-15T06:22:02Z</dcterms:created>
  <dcterms:modified xsi:type="dcterms:W3CDTF">2026-07-15T06:22:02Z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