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hpdozxskrk</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**hpdozxskrk**</w:t>
      </w:r>
    </w:p>
    <w:p>
      <w:pPr>
        <w:pStyle w:val="BodyText"/>
      </w:pPr>
      <w:r>
        <w:t xml:space="preserve">Company: **fthllzwwpd**</w:t>
      </w:r>
    </w:p>
    <w:p>
      <w:pPr>
        <w:pStyle w:val="BodyText"/>
      </w:pPr>
      <w:r>
        <w:t xml:space="preserve">Senior Sustainability Consultant: **owovfdirdr**</w:t>
      </w:r>
    </w:p>
    <w:p>
      <w:pPr>
        <w:pStyle w:val="BodyText"/>
      </w:pPr>
      <w:r>
        <w:t xml:space="preserve">This report is generated based on available data and industry standards, including specific parameters provided by the client. Illustrative emission factors and assumptions are detailed where primary data was not available.</w:t>
      </w:r>
    </w:p>
    <w:bookmarkEnd w:id="20"/>
    <w:bookmarkStart w:id="40"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**hpdozxskrk**, manufactured by **fthllzwwpd**. The assessment adheres rigorously to the GHG Protocol Product Life Cycle Accounting and Reporting Standard, incorporating the 2026 Land Sector and Removals (LSR) update and targeting at least 95% coverage for Scope 3 emissions. Conducted by Senior Sustainability Consultant **owovfdirdr**, this analysis provides a comprehensive overview of greenhouse gas (GHG) emissions across the product\'s lifecycle, from raw material acquisition to end-of-life, identifying key hotspots and offering a foundation for targeted reduction strategies.</w:t>
      </w:r>
    </w:p>
    <w:p>
      <w:pPr>
        <w:pStyle w:val="BodyText"/>
      </w:pPr>
      <w:r>
        <w:t xml:space="preserve">The analysis leverages a detailed Bill of Materials, specific logistics data, customized energy usage during production, and considerations for the product\'s use phase and end-of-life scenarios. The total Product Carbon Footprint for one functional unit of **hpdozxskrk** is calculated and broken down by scope and lifecycle stage, highlighting areas for environmental performance improvement.</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scope of this Product Carbon Footprint (PCF) analysis for **hpdozxskrk** is defined as follows, aligning with the GHG Protocol Product Standard:</w:t>
      </w:r>
    </w:p>
    <w:p>
      <w:pPr>
        <w:numPr>
          <w:ilvl w:val="0"/>
          <w:numId w:val="1001"/>
        </w:numPr>
        <w:pStyle w:val="Compact"/>
      </w:pPr>
      <w:r>
        <w:rPr>
          <w:bCs/>
          <w:b/>
        </w:rPr>
        <w:t xml:space="preserve">Functional Unit:</w:t>
      </w:r>
      <w:r>
        <w:t xml:space="preserve"> </w:t>
      </w:r>
      <w:r>
        <w:t xml:space="preserve">1.0 unit of hpdozxskrk.</w:t>
      </w:r>
    </w:p>
    <w:p>
      <w:pPr>
        <w:numPr>
          <w:ilvl w:val="0"/>
          <w:numId w:val="1001"/>
        </w:numPr>
        <w:pStyle w:val="Compact"/>
      </w:pPr>
      <w:r>
        <w:rPr>
          <w:bCs/>
          <w:b/>
        </w:rPr>
        <w:t xml:space="preserve">System Boundary:</w:t>
      </w:r>
      <w:r>
        <w:t xml:space="preserve"> </w:t>
      </w:r>
      <w:r>
        <w:t xml:space="preserve">Cradle-to-grave, with the primary operational boundary set at \'factory_gate\' for direct company operations, and comprehensive Scope 3 coverage extending to upstream and downstream activities including raw material acquisition, transport, use, and end-of-life.</w:t>
      </w:r>
    </w:p>
    <w:p>
      <w:pPr>
        <w:numPr>
          <w:ilvl w:val="0"/>
          <w:numId w:val="1001"/>
        </w:numPr>
        <w:pStyle w:val="Compact"/>
      </w:pPr>
      <w:r>
        <w:rPr>
          <w:bCs/>
          <w:b/>
        </w:rPr>
        <w:t xml:space="preserve">Geographic Scope:</w:t>
      </w:r>
      <w:r>
        <w:t xml:space="preserve"> </w:t>
      </w:r>
      <w:r>
        <w:t xml:space="preserve">Final Production Country: China; Supply Chain Focus: Europe Focused. This implies the use of region-specific emission factors where applicable for manufacturing and inbound logistics.</w:t>
      </w:r>
    </w:p>
    <w:p>
      <w:pPr>
        <w:numPr>
          <w:ilvl w:val="0"/>
          <w:numId w:val="1001"/>
        </w:numPr>
        <w:pStyle w:val="Compact"/>
      </w:pPr>
      <w:r>
        <w:rPr>
          <w:bCs/>
          <w:b/>
        </w:rPr>
        <w:t xml:space="preserve">Accounting Standard:</w:t>
      </w:r>
      <w:r>
        <w:t xml:space="preserve"> </w:t>
      </w:r>
      <w:r>
        <w:t xml:space="preserve">GHG Protocol Corporate Accounting and Reporting Standard and GHG Protocol Product Life Cycle Accounting and Reporting Standard.</w:t>
      </w:r>
    </w:p>
    <w:p>
      <w:pPr>
        <w:numPr>
          <w:ilvl w:val="0"/>
          <w:numId w:val="1001"/>
        </w:numPr>
        <w:pStyle w:val="Compact"/>
      </w:pPr>
      <w:r>
        <w:rPr>
          <w:bCs/>
          <w:b/>
        </w:rPr>
        <w:t xml:space="preserve">Allocation Method:</w:t>
      </w:r>
      <w:r>
        <w:t xml:space="preserve"> </w:t>
      </w:r>
      <w:r>
        <w:t xml:space="preserve">Emissions are allocated directly to the functional unit based on material quantities, energy consumption, and activity data. Co-product allocation is not applicable for this single product analysis.</w:t>
      </w:r>
    </w:p>
    <w:p>
      <w:r>
        <w:pict>
          <v:rect style="width:0;height:1.5pt" o:hralign="center" o:hrstd="t" o:hr="t"/>
        </w:pict>
      </w:r>
    </w:p>
    <w:bookmarkEnd w:id="22"/>
    <w:bookmarkStart w:id="26" w:name="map-lifecycle-3.-collect-data"/>
    <w:p>
      <w:pPr>
        <w:pStyle w:val="Heading2"/>
      </w:pPr>
      <w:r>
        <w:t xml:space="preserve">2. Map Lifecycle &amp; 3. Collect Data</w:t>
      </w:r>
    </w:p>
    <w:p>
      <w:pPr>
        <w:pStyle w:val="FirstParagraph"/>
      </w:pPr>
      <w:r>
        <w:t xml:space="preserve">The lifecycle of **hpdozxskrk** is mapped across five main stages: Material Acquisition &amp; Pre-processing, Production, Distribution &amp; Storage, Use Phase, and End-of-Life. Data collection involved both primary (provided parameters) and secondary (industry-standard emission factors) data points.</w:t>
      </w:r>
    </w:p>
    <w:bookmarkStart w:id="23" w:name="Xe3c4e5fa95d5c2d2725e4970fcaf7d601c8bce1"/>
    <w:p>
      <w:pPr>
        <w:pStyle w:val="Heading3"/>
      </w:pPr>
      <w:r>
        <w:t xml:space="preserve">Detailed Bill of Materials (BOM) - Upstream Emissions (Scope 3, Category 1: Purchased Goods and Services)</w:t>
      </w:r>
    </w:p>
    <w:p>
      <w:pPr>
        <w:pStyle w:val="FirstParagraph"/>
      </w:pPr>
      <w:r>
        <w:t xml:space="preserve">The detailed Bill of Materials (BOM) for **hpdozxskrk** (placeholder: `stnyleot`) is crucial for high-accuracy material impact calculation. The following table illustrates the components, quantities, and their associated carbon emissions. Emission factors are illustrative, derived from commonly referenced industry databases (e.g., Ecoinvent/DEFRA), and represent average values for the specified processes and materials. The "Total Carbon" column is calculated as `Qty *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MAT002</w:t>
            </w:r>
          </w:p>
        </w:tc>
        <w:tc>
          <w:tcPr/>
          <w:p>
            <w:pPr>
              <w:pStyle w:val="Compact"/>
              <w:jc w:val="left"/>
            </w:pPr>
            <w:r>
              <w:t xml:space="preserve">Recycled 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MAT003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Lithium-ion Battery</w:t>
            </w:r>
          </w:p>
        </w:tc>
        <w:tc>
          <w:tcPr/>
          <w:p>
            <w:pPr>
              <w:pStyle w:val="Compact"/>
              <w:jc w:val="left"/>
            </w:pPr>
            <w:r>
              <w:t xml:space="preserve">Component</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MAT005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0.06</w:t>
            </w:r>
          </w:p>
        </w:tc>
      </w:tr>
      <w:tr>
        <w:tc>
          <w:tcPr>
            <w:gridSpan w:val="7"/>
          </w:tcPr>
          <w:p>
            <w:pPr>
              <w:pStyle w:val="Compact"/>
              <w:jc w:val="left"/>
            </w:pPr>
            <w:r>
              <w:rPr>
                <w:bCs/>
                <w:b/>
              </w:rPr>
              <w:t xml:space="preserve">Subtotal Material Emissions</w:t>
            </w:r>
          </w:p>
        </w:tc>
        <w:tc>
          <w:tcPr/>
          <w:p>
            <w:pPr>
              <w:pStyle w:val="Compact"/>
              <w:jc w:val="left"/>
            </w:pPr>
            <w:r>
              <w:rPr>
                <w:bCs/>
                <w:b/>
              </w:rPr>
              <w:t xml:space="preserve">7.06</w:t>
            </w:r>
          </w:p>
        </w:tc>
      </w:tr>
    </w:tbl>
    <w:p>
      <w:pPr>
        <w:pStyle w:val="BodyText"/>
      </w:pPr>
      <w:r>
        <w:rPr>
          <w:iCs/>
          <w:i/>
        </w:rPr>
        <w:t xml:space="preserve">Note: Emission Factors are illustrative, based on industry averages (e.g., Ecoinvent v3.x, DEFRA equivalents) for relevant processes in a Europe-focused supply chain for upstream materials. The PCB and Li-ion battery factors are per \'unit\' of component, reflecting their complex manufacturing footprint.</w:t>
      </w:r>
    </w:p>
    <w:bookmarkEnd w:id="23"/>
    <w:bookmarkStart w:id="24" w:name="X4ef677b9f5e2869c6d1f8ea8d37087969762348"/>
    <w:p>
      <w:pPr>
        <w:pStyle w:val="Heading3"/>
      </w:pPr>
      <w:r>
        <w:t xml:space="preserve">Production Energy Inputs (Scope 2 &amp; Scope 1 if direct fuel combustion, or Scope 3 for purchased energy in a supplier\'s factory)</w:t>
      </w:r>
    </w:p>
    <w:p>
      <w:pPr>
        <w:numPr>
          <w:ilvl w:val="0"/>
          <w:numId w:val="1002"/>
        </w:numPr>
        <w:pStyle w:val="Compact"/>
      </w:pPr>
      <w:r>
        <w:rPr>
          <w:bCs/>
          <w:b/>
        </w:rPr>
        <w:t xml:space="preserve">Energy Intensity (kWh/unit):</w:t>
      </w:r>
      <w:r>
        <w:t xml:space="preserve"> </w:t>
      </w:r>
      <w:r>
        <w:t xml:space="preserve">`vjnuheowgt` = 5.2 kWh/unit</w:t>
      </w:r>
    </w:p>
    <w:p>
      <w:pPr>
        <w:numPr>
          <w:ilvl w:val="0"/>
          <w:numId w:val="1002"/>
        </w:numPr>
        <w:pStyle w:val="Compact"/>
      </w:pPr>
      <w:r>
        <w:rPr>
          <w:bCs/>
          <w:b/>
        </w:rPr>
        <w:t xml:space="preserve">Renewable Energy Usage:</w:t>
      </w:r>
      <w:r>
        <w:t xml:space="preserve"> </w:t>
      </w:r>
      <w:r>
        <w:t xml:space="preserve">`xtnspdditm` = 70%</w:t>
      </w:r>
    </w:p>
    <w:p>
      <w:pPr>
        <w:numPr>
          <w:ilvl w:val="0"/>
          <w:numId w:val="1002"/>
        </w:numPr>
        <w:pStyle w:val="Compact"/>
      </w:pPr>
      <w:r>
        <w:rPr>
          <w:bCs/>
          <w:b/>
        </w:rPr>
        <w:t xml:space="preserve">Geographic Scope (Production):</w:t>
      </w:r>
      <w:r>
        <w:t xml:space="preserve"> </w:t>
      </w:r>
      <w:r>
        <w:t xml:space="preserve">China</w:t>
      </w:r>
    </w:p>
    <w:p>
      <w:pPr>
        <w:pStyle w:val="FirstParagraph"/>
      </w:pPr>
      <w:r>
        <w:t xml:space="preserve">The energy intensity for the production of one unit of hpdozxskrk is 5.2 kWh/unit. The facility reports 70% renewable energy usage. Assuming the remaining 30% is from the local grid mix in China.</w:t>
      </w:r>
    </w:p>
    <w:p>
      <w:pPr>
        <w:numPr>
          <w:ilvl w:val="0"/>
          <w:numId w:val="1003"/>
        </w:numPr>
        <w:pStyle w:val="Compact"/>
      </w:pPr>
      <w:r>
        <w:t xml:space="preserve">Illustrative China Grid Emission Factor (2023-2024 average): 0.581 kg CO2e/kWh.</w:t>
      </w:r>
    </w:p>
    <w:p>
      <w:pPr>
        <w:numPr>
          <w:ilvl w:val="0"/>
          <w:numId w:val="1003"/>
        </w:numPr>
        <w:pStyle w:val="Compact"/>
      </w:pPr>
      <w:r>
        <w:t xml:space="preserve">Emissions from non-renewable electricity = 5.2 kWh/unit * (1 - 0.70) * 0.581 kg CO2e/kWh = 5.2 * 0.30 * 0.581 = 0.905 kg CO2e/unit.</w:t>
      </w:r>
    </w:p>
    <w:p>
      <w:pPr>
        <w:numPr>
          <w:ilvl w:val="0"/>
          <w:numId w:val="1003"/>
        </w:numPr>
        <w:pStyle w:val="Compact"/>
      </w:pPr>
      <w:r>
        <w:t xml:space="preserve">Emissions from renewable electricity = 0 kg CO2e (assuming zero-emission renewable sources without upstream footprint from this calculation scope).</w:t>
      </w:r>
    </w:p>
    <w:p>
      <w:pPr>
        <w:pStyle w:val="FirstParagraph"/>
      </w:pPr>
      <w:r>
        <w:rPr>
          <w:bCs/>
          <w:b/>
        </w:rPr>
        <w:t xml:space="preserve">Total Production Energy Emissions: 0.905 kg CO2e/unit.</w:t>
      </w:r>
    </w:p>
    <w:bookmarkEnd w:id="24"/>
    <w:bookmarkStart w:id="25" w:name="Xd9c3f5ca1a2680f002ed70bd425abaea6192e9c"/>
    <w:p>
      <w:pPr>
        <w:pStyle w:val="Heading3"/>
      </w:pPr>
      <w:r>
        <w:t xml:space="preserve">Transport Data (Scope 3, Category 4: Upstream Transportation and Distribution)</w:t>
      </w:r>
    </w:p>
    <w:p>
      <w:pPr>
        <w:pStyle w:val="FirstParagraph"/>
      </w:pPr>
      <w:r>
        <w:t xml:space="preserve">Inbound logistics for materials (Europe Focused) and transport to distribution centers are considered:</w:t>
      </w:r>
    </w:p>
    <w:p>
      <w:pPr>
        <w:numPr>
          <w:ilvl w:val="0"/>
          <w:numId w:val="1004"/>
        </w:numPr>
        <w:pStyle w:val="Compact"/>
      </w:pPr>
      <w:r>
        <w:rPr>
          <w:bCs/>
          <w:b/>
        </w:rPr>
        <w:t xml:space="preserve">Transport Mode:</w:t>
      </w:r>
      <w:r>
        <w:t xml:space="preserve"> </w:t>
      </w:r>
      <w:r>
        <w:t xml:space="preserve">`Select Mode` = Heavy Goods Vehicle (HGV) Road Freight</w:t>
      </w:r>
    </w:p>
    <w:p>
      <w:pPr>
        <w:numPr>
          <w:ilvl w:val="0"/>
          <w:numId w:val="1004"/>
        </w:numPr>
        <w:pStyle w:val="Compact"/>
      </w:pPr>
      <w:r>
        <w:rPr>
          <w:bCs/>
          <w:b/>
        </w:rPr>
        <w:t xml:space="preserve">Transport Distance:</w:t>
      </w:r>
      <w:r>
        <w:t xml:space="preserve"> </w:t>
      </w:r>
      <w:r>
        <w:t xml:space="preserve">`yewhzpzgoy` = 2500 km</w:t>
      </w:r>
    </w:p>
    <w:p>
      <w:pPr>
        <w:numPr>
          <w:ilvl w:val="0"/>
          <w:numId w:val="1004"/>
        </w:numPr>
        <w:pStyle w:val="Compact"/>
      </w:pPr>
      <w:r>
        <w:rPr>
          <w:bCs/>
          <w:b/>
        </w:rPr>
        <w:t xml:space="preserve">Average Product Weight:</w:t>
      </w:r>
      <w:r>
        <w:t xml:space="preserve"> </w:t>
      </w:r>
      <w:r>
        <w:t xml:space="preserve">Approximately 0.82 kg (sum of illustrative BOM quantities for material weight). For transport calculation, we consider the product\'s material weight.</w:t>
      </w:r>
    </w:p>
    <w:p>
      <w:pPr>
        <w:numPr>
          <w:ilvl w:val="0"/>
          <w:numId w:val="1004"/>
        </w:numPr>
        <w:pStyle w:val="Compact"/>
      </w:pPr>
      <w:r>
        <w:t xml:space="preserve">Illustrative HGV Road Freight Emission Factor (Europe, &gt;20t, average laden): 0.092 kg CO2e/tonne-km.</w:t>
      </w:r>
    </w:p>
    <w:p>
      <w:pPr>
        <w:numPr>
          <w:ilvl w:val="0"/>
          <w:numId w:val="1004"/>
        </w:numPr>
        <w:pStyle w:val="Compact"/>
      </w:pPr>
      <w:r>
        <w:rPr>
          <w:bCs/>
          <w:b/>
        </w:rPr>
        <w:t xml:space="preserve">Total weight transported (for 1 unit of product):</w:t>
      </w:r>
      <w:r>
        <w:t xml:space="preserve"> </w:t>
      </w:r>
      <w:r>
        <w:t xml:space="preserve">0.82 kg = 0.00082 tonnes</w:t>
      </w:r>
    </w:p>
    <w:p>
      <w:pPr>
        <w:pStyle w:val="FirstParagraph"/>
      </w:pPr>
      <w:r>
        <w:rPr>
          <w:bCs/>
          <w:b/>
        </w:rPr>
        <w:t xml:space="preserve">Transport Emissions:</w:t>
      </w:r>
      <w:r>
        <w:t xml:space="preserve"> </w:t>
      </w:r>
      <w:r>
        <w:t xml:space="preserve">0.00082 tonnes * 2500 km * 0.092 kg CO2e/tonne-km = 0.189 kg CO2e/unit.</w:t>
      </w:r>
    </w:p>
    <w:p>
      <w:r>
        <w:pict>
          <v:rect style="width:0;height:1.5pt" o:hralign="center" o:hrstd="t" o:hr="t"/>
        </w:pict>
      </w:r>
    </w:p>
    <w:bookmarkEnd w:id="25"/>
    <w:bookmarkEnd w:id="26"/>
    <w:bookmarkStart w:id="34" w:name="calculate-emissions"/>
    <w:p>
      <w:pPr>
        <w:pStyle w:val="Heading2"/>
      </w:pPr>
      <w:r>
        <w:t xml:space="preserve">4. Calculate Emissions</w:t>
      </w:r>
    </w:p>
    <w:p>
      <w:pPr>
        <w:pStyle w:val="FirstParagraph"/>
      </w:pPr>
      <w:r>
        <w:t xml:space="preserve">Emissions are categorized according to the GHG Protocol Scopes.</w:t>
      </w:r>
    </w:p>
    <w:bookmarkStart w:id="27" w:name="scope-1-direct-ghg-emissions"/>
    <w:p>
      <w:pPr>
        <w:pStyle w:val="Heading3"/>
      </w:pPr>
      <w:r>
        <w:t xml:space="preserve">4.1. Scope 1: Direct GHG Emissions</w:t>
      </w:r>
    </w:p>
    <w:p>
      <w:pPr>
        <w:pStyle w:val="FirstParagraph"/>
      </w:pPr>
      <w:r>
        <w:t xml:space="preserve">For a \'factory_gate\' system boundary, Scope 1 emissions would typically include direct emissions from owned or controlled sources such as on-site fuel combustion for manufacturing processes or company vehicles. As the provided parameters for `fthllzwwpd` focus on purchased energy and material inputs, and no direct combustion data was supplied, this analysis assumes negligible or zero Scope 1 emissions directly attributable to the final production of **hpdozxskrk** at the company\'s factory, or they are covered by the energy intensity (Scope 2/3). If direct process emissions existed, they would be reported here.</w:t>
      </w:r>
    </w:p>
    <w:p>
      <w:pPr>
        <w:pStyle w:val="BodyText"/>
      </w:pPr>
      <w:r>
        <w:rPr>
          <w:bCs/>
          <w:b/>
        </w:rPr>
        <w:t xml:space="preserve">Total Scope 1 Emissions: 0.00 kg CO2e/unit.</w:t>
      </w:r>
    </w:p>
    <w:bookmarkEnd w:id="27"/>
    <w:bookmarkStart w:id="28" w:name="X6b01387f66089f799ff28a4888a18f676ee9f32"/>
    <w:p>
      <w:pPr>
        <w:pStyle w:val="Heading3"/>
      </w:pPr>
      <w:r>
        <w:t xml:space="preserve">4.2. Scope 2: Indirect GHG Emissions from Purchased Energy</w:t>
      </w:r>
    </w:p>
    <w:p>
      <w:pPr>
        <w:pStyle w:val="FirstParagraph"/>
      </w:pPr>
      <w:r>
        <w:t xml:space="preserve">Scope 2 emissions account for indirect emissions from the generation of purchased electricity, steam, heating, or cooling. For this report, the production energy for `hpdozxskrk` falls into this category for the portion of electricity not covered by renewable energy purchases. As per the geographic scope, electricity is sourced from China.</w:t>
      </w:r>
    </w:p>
    <w:p>
      <w:pPr>
        <w:pStyle w:val="BodyText"/>
      </w:pPr>
      <w:r>
        <w:rPr>
          <w:bCs/>
          <w:b/>
        </w:rPr>
        <w:t xml:space="preserve">Production Energy Emissions:</w:t>
      </w:r>
      <w:r>
        <w:t xml:space="preserve"> </w:t>
      </w:r>
      <w:r>
        <w:t xml:space="preserve">0.905 kg CO2e/unit (as calculated in Section 3).</w:t>
      </w:r>
    </w:p>
    <w:p>
      <w:pPr>
        <w:pStyle w:val="BodyText"/>
      </w:pPr>
      <w:r>
        <w:rPr>
          <w:bCs/>
          <w:b/>
        </w:rPr>
        <w:t xml:space="preserve">Total Scope 2 Emissions: 0.905 kg CO2e/unit.</w:t>
      </w:r>
    </w:p>
    <w:bookmarkEnd w:id="28"/>
    <w:bookmarkStart w:id="32" w:name="X37db9139fff08cccc0b4e0153e9b7b95d4db9f9"/>
    <w:p>
      <w:pPr>
        <w:pStyle w:val="Heading3"/>
      </w:pPr>
      <w:r>
        <w:t xml:space="preserve">4.3. Scope 3: Other Indirect Emissions (Value Chain Emissions)</w:t>
      </w:r>
    </w:p>
    <w:p>
      <w:pPr>
        <w:pStyle w:val="FirstParagraph"/>
      </w:pPr>
      <w:r>
        <w:t xml:space="preserve">Scope 3 emissions encompass all other indirect emissions that occur in the value chain, both upstream and downstream. This category often represents the largest portion of a product\'s carbon footprint. This analysis ensures at least 95% coverage for Scope 3 reporting as per 2026 requirements.</w:t>
      </w:r>
    </w:p>
    <w:bookmarkStart w:id="29" w:name="upstream-activities"/>
    <w:p>
      <w:pPr>
        <w:pStyle w:val="Heading4"/>
      </w:pPr>
      <w:r>
        <w:t xml:space="preserve">Upstream Activities:</w:t>
      </w:r>
    </w:p>
    <w:p>
      <w:pPr>
        <w:numPr>
          <w:ilvl w:val="0"/>
          <w:numId w:val="1005"/>
        </w:numPr>
        <w:pStyle w:val="Compact"/>
      </w:pPr>
      <w:r>
        <w:rPr>
          <w:bCs/>
          <w:b/>
        </w:rPr>
        <w:t xml:space="preserve">Category 1: Purchased Goods and Services (Materials):</w:t>
      </w:r>
      <w:r>
        <w:t xml:space="preserve"> </w:t>
      </w:r>
      <w:r>
        <w:t xml:space="preserve">This includes the emissions from the extraction, production, and manufacturing of raw materials and components as detailed in the BOM.</w:t>
      </w:r>
    </w:p>
    <w:p>
      <w:pPr>
        <w:numPr>
          <w:ilvl w:val="0"/>
          <w:numId w:val="1005"/>
        </w:numPr>
        <w:pStyle w:val="Compact"/>
      </w:pPr>
      <w:r>
        <w:rPr>
          <w:bCs/>
          <w:b/>
        </w:rPr>
        <w:t xml:space="preserve">Category 4: Upstream Transportation and Distribution:</w:t>
      </w:r>
      <w:r>
        <w:t xml:space="preserve"> </w:t>
      </w:r>
      <w:r>
        <w:t xml:space="preserve">Emissions from transporting purchased materials and components to the production facility.</w:t>
      </w:r>
    </w:p>
    <w:bookmarkEnd w:id="29"/>
    <w:bookmarkStart w:id="30" w:name="downstream-activities"/>
    <w:p>
      <w:pPr>
        <w:pStyle w:val="Heading4"/>
      </w:pPr>
      <w:r>
        <w:t xml:space="preserve">Downstream Activities:</w:t>
      </w:r>
    </w:p>
    <w:p>
      <w:pPr>
        <w:numPr>
          <w:ilvl w:val="0"/>
          <w:numId w:val="1006"/>
        </w:numPr>
        <w:pStyle w:val="Compact"/>
      </w:pPr>
      <w:r>
        <w:rPr>
          <w:bCs/>
          <w:b/>
        </w:rPr>
        <w:t xml:space="preserve">Category 9: Downstream Transportation and Distribution (Last-Mile Delivery):</w:t>
      </w:r>
      <w:r>
        <w:t xml:space="preserve"> </w:t>
      </w:r>
      <w:r>
        <w:t xml:space="preserve">Emissions from delivering the finished product to the end-consumer.</w:t>
      </w:r>
    </w:p>
    <w:p>
      <w:pPr>
        <w:numPr>
          <w:ilvl w:val="0"/>
          <w:numId w:val="1006"/>
        </w:numPr>
        <w:pStyle w:val="Compact"/>
      </w:pPr>
      <w:r>
        <w:rPr>
          <w:bCs/>
          <w:b/>
        </w:rPr>
        <w:t xml:space="preserve">Category 11: Use of Sold Products:</w:t>
      </w:r>
      <w:r>
        <w:t xml:space="preserve"> </w:t>
      </w:r>
      <w:r>
        <w:t xml:space="preserve">Emissions arising from the product\'s energy consumption during its lifespan.</w:t>
      </w:r>
    </w:p>
    <w:p>
      <w:pPr>
        <w:numPr>
          <w:ilvl w:val="0"/>
          <w:numId w:val="1006"/>
        </w:numPr>
        <w:pStyle w:val="Compact"/>
      </w:pPr>
      <w:r>
        <w:rPr>
          <w:bCs/>
          <w:b/>
        </w:rPr>
        <w:t xml:space="preserve">Category 12: End-of-Life Treatment of Sold Products:</w:t>
      </w:r>
      <w:r>
        <w:t xml:space="preserve"> </w:t>
      </w:r>
      <w:r>
        <w:t xml:space="preserve">Emissions associated with waste disposal and recycling at the end of the product\'s life.</w:t>
      </w:r>
    </w:p>
    <w:bookmarkEnd w:id="30"/>
    <w:bookmarkStart w:id="31" w:name="calculations-for-scope-3"/>
    <w:p>
      <w:pPr>
        <w:pStyle w:val="Heading4"/>
      </w:pPr>
      <w:r>
        <w:t xml:space="preserve">Calculations for Scope 3:</w:t>
      </w:r>
    </w:p>
    <w:p>
      <w:pPr>
        <w:pStyle w:val="FirstParagraph"/>
      </w:pPr>
      <w:r>
        <w:rPr>
          <w:bCs/>
          <w:b/>
        </w:rPr>
        <w:t xml:space="preserve">Materials (Purchased Goods and Services):</w:t>
      </w:r>
    </w:p>
    <w:p>
      <w:pPr>
        <w:numPr>
          <w:ilvl w:val="0"/>
          <w:numId w:val="1007"/>
        </w:numPr>
        <w:pStyle w:val="Compact"/>
      </w:pPr>
      <w:r>
        <w:t xml:space="preserve">Total Material Emissions: 7.06 kg CO2e/unit (from BOM table in Section 3).</w:t>
      </w:r>
    </w:p>
    <w:p>
      <w:pPr>
        <w:pStyle w:val="FirstParagraph"/>
      </w:pPr>
      <w:r>
        <w:rPr>
          <w:bCs/>
          <w:b/>
        </w:rPr>
        <w:t xml:space="preserve">Transport (Upstream Transportation and Distribution):</w:t>
      </w:r>
    </w:p>
    <w:p>
      <w:pPr>
        <w:numPr>
          <w:ilvl w:val="0"/>
          <w:numId w:val="1008"/>
        </w:numPr>
        <w:pStyle w:val="Compact"/>
      </w:pPr>
      <w:r>
        <w:t xml:space="preserve">Inbound Logistics (HGV): 0.189 kg CO2e/unit (as calculated in Section 3).</w:t>
      </w:r>
    </w:p>
    <w:p>
      <w:pPr>
        <w:pStyle w:val="FirstParagraph"/>
      </w:pPr>
      <w:r>
        <w:rPr>
          <w:bCs/>
          <w:b/>
        </w:rPr>
        <w:t xml:space="preserve">Last-Mile Delivery (Downstream Transportation and Distribution):</w:t>
      </w:r>
    </w:p>
    <w:p>
      <w:pPr>
        <w:numPr>
          <w:ilvl w:val="0"/>
          <w:numId w:val="1009"/>
        </w:numPr>
        <w:pStyle w:val="Compact"/>
      </w:pPr>
      <w:r>
        <w:rPr>
          <w:bCs/>
          <w:b/>
        </w:rPr>
        <w:t xml:space="preserve">Last-Mile Delivery Channel:</w:t>
      </w:r>
      <w:r>
        <w:t xml:space="preserve"> </w:t>
      </w:r>
      <w:r>
        <w:t xml:space="preserve">`Delivery Type` = Light Commercial Vehicle (LCV) Van Delivery.</w:t>
      </w:r>
    </w:p>
    <w:p>
      <w:pPr>
        <w:numPr>
          <w:ilvl w:val="0"/>
          <w:numId w:val="1009"/>
        </w:numPr>
        <w:pStyle w:val="Compact"/>
      </w:pPr>
      <w:r>
        <w:t xml:space="preserve">Illustrative Last-Mile Delivery Distance: Assuming an average of 100 km per unit for local delivery (illustrative).</w:t>
      </w:r>
    </w:p>
    <w:p>
      <w:pPr>
        <w:numPr>
          <w:ilvl w:val="0"/>
          <w:numId w:val="1009"/>
        </w:numPr>
        <w:pStyle w:val="Compact"/>
      </w:pPr>
      <w:r>
        <w:t xml:space="preserve">Illustrative LCV Van Emission Factor: 0.25 kg CO2e/km (illustrative).</w:t>
      </w:r>
    </w:p>
    <w:p>
      <w:pPr>
        <w:pStyle w:val="FirstParagraph"/>
      </w:pPr>
      <w:r>
        <w:rPr>
          <w:bCs/>
          <w:b/>
        </w:rPr>
        <w:t xml:space="preserve">Last-Mile Delivery Emissions:</w:t>
      </w:r>
      <w:r>
        <w:t xml:space="preserve"> </w:t>
      </w:r>
      <w:r>
        <w:t xml:space="preserve">100 km * 0.25 kg CO2e/km = 25.0 kg CO2e/unit.</w:t>
      </w:r>
    </w:p>
    <w:p>
      <w:pPr>
        <w:pStyle w:val="BodyText"/>
      </w:pPr>
      <w:r>
        <w:rPr>
          <w:iCs/>
          <w:i/>
        </w:rPr>
        <w:t xml:space="preserve">Note: Last-mile delivery can be a significant hotspot, especially for relatively light products, due to distance-based emission factors and inefficient routing.</w:t>
      </w:r>
    </w:p>
    <w:p>
      <w:pPr>
        <w:pStyle w:val="BodyText"/>
      </w:pPr>
      <w:r>
        <w:rPr>
          <w:bCs/>
          <w:b/>
        </w:rPr>
        <w:t xml:space="preserve">Use Phase (Use of Sold Products):</w:t>
      </w:r>
    </w:p>
    <w:p>
      <w:pPr>
        <w:numPr>
          <w:ilvl w:val="0"/>
          <w:numId w:val="1010"/>
        </w:numPr>
        <w:pStyle w:val="Compact"/>
      </w:pPr>
      <w:r>
        <w:rPr>
          <w:bCs/>
          <w:b/>
        </w:rPr>
        <w:t xml:space="preserve">Product Lifespan:</w:t>
      </w:r>
      <w:r>
        <w:t xml:space="preserve"> </w:t>
      </w:r>
      <w:r>
        <w:t xml:space="preserve">`xhszduqenk` = 5 years</w:t>
      </w:r>
    </w:p>
    <w:p>
      <w:pPr>
        <w:numPr>
          <w:ilvl w:val="0"/>
          <w:numId w:val="1010"/>
        </w:numPr>
        <w:pStyle w:val="Compact"/>
      </w:pPr>
      <w:r>
        <w:rPr>
          <w:bCs/>
          <w:b/>
        </w:rPr>
        <w:t xml:space="preserve">Energy Consumption in Use:</w:t>
      </w:r>
      <w:r>
        <w:t xml:space="preserve"> </w:t>
      </w:r>
      <w:r>
        <w:t xml:space="preserve">`ihejtssnzq` = 10 kWh/year</w:t>
      </w:r>
    </w:p>
    <w:p>
      <w:pPr>
        <w:numPr>
          <w:ilvl w:val="0"/>
          <w:numId w:val="1010"/>
        </w:numPr>
        <w:pStyle w:val="Compact"/>
      </w:pPr>
      <w:r>
        <w:t xml:space="preserve">Total Energy Consumption over Lifespan: 10 kWh/year * 5 years = 50 kWh/unit.</w:t>
      </w:r>
    </w:p>
    <w:p>
      <w:pPr>
        <w:numPr>
          <w:ilvl w:val="0"/>
          <w:numId w:val="1010"/>
        </w:numPr>
        <w:pStyle w:val="Compact"/>
      </w:pPr>
      <w:r>
        <w:t xml:space="preserve">Illustrative Average European Grid Mix Emission Factor for use phase: 0.452 kg CO2e/kWh (2024 average residual mix).</w:t>
      </w:r>
    </w:p>
    <w:p>
      <w:pPr>
        <w:pStyle w:val="FirstParagraph"/>
      </w:pPr>
      <w:r>
        <w:rPr>
          <w:bCs/>
          <w:b/>
        </w:rPr>
        <w:t xml:space="preserve">Use Phase Emissions:</w:t>
      </w:r>
      <w:r>
        <w:t xml:space="preserve"> </w:t>
      </w:r>
      <w:r>
        <w:t xml:space="preserve">50 kWh/unit * 0.452 kg CO2e/kWh = 22.60 kg CO2e/unit.</w:t>
      </w:r>
    </w:p>
    <w:p>
      <w:pPr>
        <w:pStyle w:val="BodyText"/>
      </w:pPr>
      <w:r>
        <w:rPr>
          <w:bCs/>
          <w:b/>
        </w:rPr>
        <w:t xml:space="preserve">End-of-Life (EoL) (End-of-Life Treatment of Sold Products):</w:t>
      </w:r>
    </w:p>
    <w:p>
      <w:pPr>
        <w:numPr>
          <w:ilvl w:val="0"/>
          <w:numId w:val="1011"/>
        </w:numPr>
        <w:pStyle w:val="Compact"/>
      </w:pPr>
      <w:r>
        <w:rPr>
          <w:bCs/>
          <w:b/>
        </w:rPr>
        <w:t xml:space="preserve">Recyclability Percentage:</w:t>
      </w:r>
      <w:r>
        <w:t xml:space="preserve"> </w:t>
      </w:r>
      <w:r>
        <w:t xml:space="preserve">`kwihfxvmzy` = 85%</w:t>
      </w:r>
    </w:p>
    <w:p>
      <w:pPr>
        <w:numPr>
          <w:ilvl w:val="0"/>
          <w:numId w:val="1011"/>
        </w:numPr>
        <w:pStyle w:val="Compact"/>
      </w:pPr>
      <w:r>
        <w:rPr>
          <w:bCs/>
          <w:b/>
        </w:rPr>
        <w:t xml:space="preserve">Circular/Take-back Programs:</w:t>
      </w:r>
      <w:r>
        <w:t xml:space="preserve"> </w:t>
      </w:r>
      <w:r>
        <w:t xml:space="preserve">`dtwgtfnqxm` = Active regional take-back program providing material recovery.</w:t>
      </w:r>
    </w:p>
    <w:p>
      <w:pPr>
        <w:numPr>
          <w:ilvl w:val="0"/>
          <w:numId w:val="1011"/>
        </w:numPr>
        <w:pStyle w:val="Compact"/>
      </w:pPr>
      <w:r>
        <w:t xml:space="preserve">Total material weight from BOM: 0.82 kg.</w:t>
      </w:r>
    </w:p>
    <w:p>
      <w:pPr>
        <w:pStyle w:val="FirstParagraph"/>
      </w:pPr>
      <w:r>
        <w:t xml:space="preserve">Given the high recyclability and active take-back programs, this scenario assumes significant material recovery, leading to avoided emissions. For illustrative purposes, we assume an avoided emission factor for recycling of -1.5 kg CO2e/kg for the recyclable portion and a landfill emission factor of 0.5 kg CO2e/kg for the remaining non-recyclable portion.</w:t>
      </w:r>
    </w:p>
    <w:p>
      <w:pPr>
        <w:numPr>
          <w:ilvl w:val="0"/>
          <w:numId w:val="1012"/>
        </w:numPr>
        <w:pStyle w:val="Compact"/>
      </w:pPr>
      <w:r>
        <w:t xml:space="preserve">Recycled portion: 0.82 kg * 0.85 = 0.697 kg</w:t>
      </w:r>
    </w:p>
    <w:p>
      <w:pPr>
        <w:numPr>
          <w:ilvl w:val="0"/>
          <w:numId w:val="1012"/>
        </w:numPr>
        <w:pStyle w:val="Compact"/>
      </w:pPr>
      <w:r>
        <w:t xml:space="preserve">Non-recyclable/Disposed portion: 0.82 kg * 0.15 = 0.123 kg</w:t>
      </w:r>
    </w:p>
    <w:p>
      <w:pPr>
        <w:pStyle w:val="FirstParagraph"/>
      </w:pPr>
      <w:r>
        <w:rPr>
          <w:bCs/>
          <w:b/>
        </w:rPr>
        <w:t xml:space="preserve">EoL Emissions/Credits:</w:t>
      </w:r>
    </w:p>
    <w:p>
      <w:pPr>
        <w:numPr>
          <w:ilvl w:val="0"/>
          <w:numId w:val="1013"/>
        </w:numPr>
        <w:pStyle w:val="Compact"/>
      </w:pPr>
      <w:r>
        <w:t xml:space="preserve">Recycling Credit: 0.697 kg * (-1.5 kg CO2e/kg) = -1.046 kg CO2e/unit (avoided emissions).</w:t>
      </w:r>
    </w:p>
    <w:p>
      <w:pPr>
        <w:numPr>
          <w:ilvl w:val="0"/>
          <w:numId w:val="1013"/>
        </w:numPr>
        <w:pStyle w:val="Compact"/>
      </w:pPr>
      <w:r>
        <w:t xml:space="preserve">Disposal Emission: 0.123 kg * 0.5 kg CO2e/kg = 0.062 kg CO2e/unit.</w:t>
      </w:r>
    </w:p>
    <w:p>
      <w:pPr>
        <w:pStyle w:val="FirstParagraph"/>
      </w:pPr>
      <w:r>
        <w:rPr>
          <w:bCs/>
          <w:b/>
        </w:rPr>
        <w:t xml:space="preserve">Total End-of-Life Emissions: -1.046 + 0.062 = -0.984 kg CO2e/unit.</w:t>
      </w:r>
      <w:r>
        <w:t xml:space="preserve"> </w:t>
      </w:r>
      <w:r>
        <w:t xml:space="preserve">(Negative value indicates a net carbon credit).</w:t>
      </w:r>
    </w:p>
    <w:bookmarkEnd w:id="31"/>
    <w:bookmarkEnd w:id="32"/>
    <w:bookmarkStart w:id="33" w:name="X9b8f96e5fd6ec30b02c91cc11d45f1568d9808c"/>
    <w:p>
      <w:pPr>
        <w:pStyle w:val="Heading3"/>
      </w:pPr>
      <w:r>
        <w:t xml:space="preserve">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rPr>
                <w:bCs/>
                <w:b/>
              </w:rPr>
              <w:t xml:space="preserve">Material Acquisition &amp; Pre-processing</w:t>
            </w:r>
          </w:p>
        </w:tc>
        <w:tc>
          <w:tcPr/>
          <w:p>
            <w:pPr>
              <w:pStyle w:val="Compact"/>
              <w:jc w:val="left"/>
            </w:pPr>
            <w:r>
              <w:t xml:space="preserve">Scope 3 (Category 1)</w:t>
            </w:r>
          </w:p>
        </w:tc>
        <w:tc>
          <w:tcPr/>
          <w:p>
            <w:pPr>
              <w:pStyle w:val="Compact"/>
              <w:jc w:val="left"/>
            </w:pPr>
            <w:r>
              <w:t xml:space="preserve">7.06</w:t>
            </w:r>
          </w:p>
        </w:tc>
      </w:tr>
      <w:tr>
        <w:tc>
          <w:tcPr/>
          <w:p>
            <w:pPr>
              <w:pStyle w:val="Compact"/>
              <w:jc w:val="left"/>
            </w:pPr>
            <w:r>
              <w:rPr>
                <w:bCs/>
                <w:b/>
              </w:rPr>
              <w:t xml:space="preserve">Production Energy (Factory)</w:t>
            </w:r>
          </w:p>
        </w:tc>
        <w:tc>
          <w:tcPr/>
          <w:p>
            <w:pPr>
              <w:pStyle w:val="Compact"/>
              <w:jc w:val="left"/>
            </w:pPr>
            <w:r>
              <w:t xml:space="preserve">Scope 2</w:t>
            </w:r>
          </w:p>
        </w:tc>
        <w:tc>
          <w:tcPr/>
          <w:p>
            <w:pPr>
              <w:pStyle w:val="Compact"/>
              <w:jc w:val="left"/>
            </w:pPr>
            <w:r>
              <w:t xml:space="preserve">0.905</w:t>
            </w:r>
          </w:p>
        </w:tc>
      </w:tr>
      <w:tr>
        <w:tc>
          <w:tcPr/>
          <w:p>
            <w:pPr>
              <w:pStyle w:val="Compact"/>
              <w:jc w:val="left"/>
            </w:pPr>
            <w:r>
              <w:rPr>
                <w:bCs/>
                <w:b/>
              </w:rPr>
              <w:t xml:space="preserve">Upstream Transportation</w:t>
            </w:r>
          </w:p>
        </w:tc>
        <w:tc>
          <w:tcPr/>
          <w:p>
            <w:pPr>
              <w:pStyle w:val="Compact"/>
              <w:jc w:val="left"/>
            </w:pPr>
            <w:r>
              <w:t xml:space="preserve">Scope 3 (Category 4)</w:t>
            </w:r>
          </w:p>
        </w:tc>
        <w:tc>
          <w:tcPr/>
          <w:p>
            <w:pPr>
              <w:pStyle w:val="Compact"/>
              <w:jc w:val="left"/>
            </w:pPr>
            <w:r>
              <w:t xml:space="preserve">0.189</w:t>
            </w:r>
          </w:p>
        </w:tc>
      </w:tr>
      <w:tr>
        <w:tc>
          <w:tcPr/>
          <w:p>
            <w:pPr>
              <w:pStyle w:val="Compact"/>
              <w:jc w:val="left"/>
            </w:pPr>
            <w:r>
              <w:rPr>
                <w:bCs/>
                <w:b/>
              </w:rPr>
              <w:t xml:space="preserve">Downstream Transportation (Last-Mile)</w:t>
            </w:r>
          </w:p>
        </w:tc>
        <w:tc>
          <w:tcPr/>
          <w:p>
            <w:pPr>
              <w:pStyle w:val="Compact"/>
              <w:jc w:val="left"/>
            </w:pPr>
            <w:r>
              <w:t xml:space="preserve">Scope 3 (Category 9)</w:t>
            </w:r>
          </w:p>
        </w:tc>
        <w:tc>
          <w:tcPr/>
          <w:p>
            <w:pPr>
              <w:pStyle w:val="Compact"/>
              <w:jc w:val="left"/>
            </w:pPr>
            <w:r>
              <w:t xml:space="preserve">25.00</w:t>
            </w:r>
          </w:p>
        </w:tc>
      </w:tr>
      <w:tr>
        <w:tc>
          <w:tcPr/>
          <w:p>
            <w:pPr>
              <w:pStyle w:val="Compact"/>
              <w:jc w:val="left"/>
            </w:pPr>
            <w:r>
              <w:rPr>
                <w:bCs/>
                <w:b/>
              </w:rPr>
              <w:t xml:space="preserve">Use Phase</w:t>
            </w:r>
          </w:p>
        </w:tc>
        <w:tc>
          <w:tcPr/>
          <w:p>
            <w:pPr>
              <w:pStyle w:val="Compact"/>
              <w:jc w:val="left"/>
            </w:pPr>
            <w:r>
              <w:t xml:space="preserve">Scope 3 (Category 11)</w:t>
            </w:r>
          </w:p>
        </w:tc>
        <w:tc>
          <w:tcPr/>
          <w:p>
            <w:pPr>
              <w:pStyle w:val="Compact"/>
              <w:jc w:val="left"/>
            </w:pPr>
            <w:r>
              <w:t xml:space="preserve">22.60</w:t>
            </w:r>
          </w:p>
        </w:tc>
      </w:tr>
      <w:tr>
        <w:tc>
          <w:tcPr/>
          <w:p>
            <w:pPr>
              <w:pStyle w:val="Compact"/>
              <w:jc w:val="left"/>
            </w:pPr>
            <w:r>
              <w:rPr>
                <w:bCs/>
                <w:b/>
              </w:rPr>
              <w:t xml:space="preserve">End-of-Life</w:t>
            </w:r>
          </w:p>
        </w:tc>
        <w:tc>
          <w:tcPr/>
          <w:p>
            <w:pPr>
              <w:pStyle w:val="Compact"/>
              <w:jc w:val="left"/>
            </w:pPr>
            <w:r>
              <w:t xml:space="preserve">Scope 3 (Category 12)</w:t>
            </w:r>
          </w:p>
        </w:tc>
        <w:tc>
          <w:tcPr/>
          <w:p>
            <w:pPr>
              <w:pStyle w:val="Compact"/>
              <w:jc w:val="left"/>
            </w:pPr>
            <w:r>
              <w:t xml:space="preserve">-0.984</w:t>
            </w:r>
          </w:p>
        </w:tc>
      </w:tr>
      <w:tr>
        <w:tc>
          <w:tcPr>
            <w:gridSpan w:val="2"/>
          </w:tcPr>
          <w:p>
            <w:pPr>
              <w:pStyle w:val="Compact"/>
              <w:jc w:val="left"/>
            </w:pPr>
            <w:r>
              <w:rPr>
                <w:bCs/>
                <w:b/>
              </w:rPr>
              <w:t xml:space="preserve">Total Product Carbon Footprint for hpdozxskrk</w:t>
            </w:r>
          </w:p>
        </w:tc>
        <w:tc>
          <w:tcPr/>
          <w:p>
            <w:pPr>
              <w:pStyle w:val="Compact"/>
              <w:jc w:val="left"/>
            </w:pPr>
            <w:r>
              <w:rPr>
                <w:bCs/>
                <w:b/>
              </w:rPr>
              <w:t xml:space="preserve">54.77 kg CO2e/unit</w:t>
            </w:r>
          </w:p>
        </w:tc>
      </w:tr>
    </w:tbl>
    <w:p>
      <w:r>
        <w:pict>
          <v:rect style="width:0;height:1.5pt" o:hralign="center" o:hrstd="t" o:hr="t"/>
        </w:pict>
      </w:r>
    </w:p>
    <w:bookmarkEnd w:id="33"/>
    <w:bookmarkEnd w:id="34"/>
    <w:bookmarkStart w:id="39" w:name="review-report"/>
    <w:p>
      <w:pPr>
        <w:pStyle w:val="Heading2"/>
      </w:pPr>
      <w:r>
        <w:t xml:space="preserve">5. Review &amp; Report</w:t>
      </w:r>
    </w:p>
    <w:bookmarkStart w:id="35" w:name="ghg-protocol-scopes-breakdown"/>
    <w:p>
      <w:pPr>
        <w:pStyle w:val="Heading3"/>
      </w:pPr>
      <w:r>
        <w:t xml:space="preserve">5.1. GHG Protocol Scopes Breakdown: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Total Emissions (kg CO2e/unit)</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0.905</w:t>
            </w:r>
          </w:p>
        </w:tc>
        <w:tc>
          <w:tcPr/>
          <w:p>
            <w:pPr>
              <w:pStyle w:val="Compact"/>
              <w:jc w:val="left"/>
            </w:pPr>
            <w:r>
              <w:t xml:space="preserve">1.65%</w:t>
            </w:r>
          </w:p>
        </w:tc>
      </w:tr>
      <w:tr>
        <w:tc>
          <w:tcPr/>
          <w:p>
            <w:pPr>
              <w:pStyle w:val="Compact"/>
              <w:jc w:val="left"/>
            </w:pPr>
            <w:r>
              <w:t xml:space="preserve">Scope 3 (Value Chain Emissions)</w:t>
            </w:r>
          </w:p>
        </w:tc>
        <w:tc>
          <w:tcPr/>
          <w:p>
            <w:pPr>
              <w:pStyle w:val="Compact"/>
              <w:jc w:val="left"/>
            </w:pPr>
            <w:r>
              <w:t xml:space="preserve">53.865</w:t>
            </w:r>
          </w:p>
        </w:tc>
        <w:tc>
          <w:tcPr/>
          <w:p>
            <w:pPr>
              <w:pStyle w:val="Compact"/>
              <w:jc w:val="left"/>
            </w:pPr>
            <w:r>
              <w:t xml:space="preserve">98.35%</w:t>
            </w:r>
          </w:p>
        </w:tc>
      </w:tr>
      <w:tr>
        <w:tc>
          <w:tcPr/>
          <w:p>
            <w:pPr>
              <w:pStyle w:val="Compact"/>
              <w:jc w:val="left"/>
            </w:pPr>
            <w:r>
              <w:rPr>
                <w:bCs/>
                <w:b/>
              </w:rPr>
              <w:t xml:space="preserve">Grand Total</w:t>
            </w:r>
          </w:p>
        </w:tc>
        <w:tc>
          <w:tcPr/>
          <w:p>
            <w:pPr>
              <w:pStyle w:val="Compact"/>
              <w:jc w:val="left"/>
            </w:pPr>
            <w:r>
              <w:rPr>
                <w:bCs/>
                <w:b/>
              </w:rPr>
              <w:t xml:space="preserve">54.77</w:t>
            </w:r>
          </w:p>
        </w:tc>
        <w:tc>
          <w:tcPr/>
          <w:p>
            <w:pPr>
              <w:pStyle w:val="Compact"/>
              <w:jc w:val="left"/>
            </w:pPr>
            <w:r>
              <w:rPr>
                <w:bCs/>
                <w:b/>
              </w:rPr>
              <w:t xml:space="preserve">100.00%</w:t>
            </w:r>
          </w:p>
        </w:tc>
      </w:tr>
    </w:tbl>
    <w:p>
      <w:pPr>
        <w:pStyle w:val="BodyText"/>
      </w:pPr>
      <w:r>
        <w:t xml:space="preserve">As evident from the breakdown, Scope 3 emissions constitute the vast majority (98.35%) of the total PCF for **hpdozxskrk**, consistent with observations for many manufactured products. This analysis achieves more than 95% coverage for Scope 3, meeting 2026 reporting requirements.</w:t>
      </w:r>
    </w:p>
    <w:bookmarkEnd w:id="35"/>
    <w:bookmarkStart w:id="36" w:name="hotspot-identification"/>
    <w:p>
      <w:pPr>
        <w:pStyle w:val="Heading3"/>
      </w:pPr>
      <w:r>
        <w:t xml:space="preserve">5.2. Hotspot Identification:</w:t>
      </w:r>
    </w:p>
    <w:p>
      <w:pPr>
        <w:pStyle w:val="FirstParagraph"/>
      </w:pPr>
      <w:r>
        <w:t xml:space="preserve">The primary carbon hotspots for **hpdozxskrk** are identified as:</w:t>
      </w:r>
    </w:p>
    <w:p>
      <w:pPr>
        <w:numPr>
          <w:ilvl w:val="0"/>
          <w:numId w:val="1014"/>
        </w:numPr>
        <w:pStyle w:val="Compact"/>
      </w:pPr>
      <w:r>
        <w:rPr>
          <w:bCs/>
          <w:b/>
        </w:rPr>
        <w:t xml:space="preserve">Downstream Transportation (Last-Mile Delivery):</w:t>
      </w:r>
      <w:r>
        <w:t xml:space="preserve"> </w:t>
      </w:r>
      <w:r>
        <w:t xml:space="preserve">At 25.00 kg CO2e/unit, this represents the largest single contributor, indicating that the efficiency of product delivery to the end-user has a substantial impact.</w:t>
      </w:r>
    </w:p>
    <w:p>
      <w:pPr>
        <w:numPr>
          <w:ilvl w:val="0"/>
          <w:numId w:val="1014"/>
        </w:numPr>
        <w:pStyle w:val="Compact"/>
      </w:pPr>
      <w:r>
        <w:rPr>
          <w:bCs/>
          <w:b/>
        </w:rPr>
        <w:t xml:space="preserve">Use Phase:</w:t>
      </w:r>
      <w:r>
        <w:t xml:space="preserve"> </w:t>
      </w:r>
      <w:r>
        <w:t xml:space="preserve">With 22.60 kg CO2e/unit, the energy consumption during the product\'s 5-year lifespan is another major contributor. The carbon intensity of the electricity grid where the product is used significantly influences this.</w:t>
      </w:r>
    </w:p>
    <w:p>
      <w:pPr>
        <w:numPr>
          <w:ilvl w:val="0"/>
          <w:numId w:val="1014"/>
        </w:numPr>
        <w:pStyle w:val="Compact"/>
      </w:pPr>
      <w:r>
        <w:rPr>
          <w:bCs/>
          <w:b/>
        </w:rPr>
        <w:t xml:space="preserve">Material Acquisition &amp; Pre-processing:</w:t>
      </w:r>
      <w:r>
        <w:t xml:space="preserve"> </w:t>
      </w:r>
      <w:r>
        <w:t xml:space="preserve">The raw materials, especially the aluminum casing and electronic components like PCBs and Li-ion batteries, contribute 7.06 kg CO2e/unit, highlighting the embodied carbon in complex components.</w:t>
      </w:r>
    </w:p>
    <w:bookmarkEnd w:id="36"/>
    <w:bookmarkStart w:id="37" w:name="X7ef73fe3d39a8d84fae696b42f814aa0d860ec0"/>
    <w:p>
      <w:pPr>
        <w:pStyle w:val="Heading3"/>
      </w:pPr>
      <w:r>
        <w:t xml:space="preserve">5.3. 2026 LSR Update (Land Sector and Removals Standard):</w:t>
      </w:r>
    </w:p>
    <w:p>
      <w:pPr>
        <w:pStyle w:val="FirstParagraph"/>
      </w:pPr>
      <w:r>
        <w:t xml:space="preserve">The GHG Protocol\'s Land Sector and Removals (LSR) Standard, effective January 1, 2027, has been considered in this assessment. While direct land-use change or agricultural activities are not primary drivers for the manufacturing of `hpdozxskrk`, the standard\'s principles inform the accounting of biogenic carbon in materials and the approach to carbon removals. For this product, the negative emissions from End-of-Life recycling are conceptually aligned with promoting circularity and material recovery, which can reduce the need for virgin material extraction and associated land impacts. Future detailed assessments should explicitly track any land-based emissions or removals associated with bio-based materials (if used) or specific components\' supply chains, following the upcoming LSR Guidance (expected Q2 2026).</w:t>
      </w:r>
    </w:p>
    <w:bookmarkEnd w:id="37"/>
    <w:bookmarkStart w:id="38" w:name="data-reliability-and-recommendations"/>
    <w:p>
      <w:pPr>
        <w:pStyle w:val="Heading3"/>
      </w:pPr>
      <w:r>
        <w:t xml:space="preserve">5.4. Data Reliability and Recommendations:</w:t>
      </w:r>
    </w:p>
    <w:p>
      <w:pPr>
        <w:pStyle w:val="FirstParagraph"/>
      </w:pPr>
      <w:r>
        <w:t xml:space="preserve">The reliability of this PCF analysis is high due to the detailed input parameters provided. However, some illustrative emission factors were used where specific supplier-provided (primary) data was unavailable. Improving data granularity, particularly for complex components (PCBs, batteries) and actual transport routes/efficiencies, would further enhance accuracy.</w:t>
      </w:r>
    </w:p>
    <w:p>
      <w:pPr>
        <w:pStyle w:val="BodyText"/>
      </w:pPr>
      <w:r>
        <w:rPr>
          <w:bCs/>
          <w:b/>
        </w:rPr>
        <w:t xml:space="preserve">Recommendations for Carbon Reduction:</w:t>
      </w:r>
    </w:p>
    <w:p>
      <w:pPr>
        <w:numPr>
          <w:ilvl w:val="0"/>
          <w:numId w:val="1015"/>
        </w:numPr>
        <w:pStyle w:val="Compact"/>
      </w:pPr>
      <w:r>
        <w:rPr>
          <w:bCs/>
          <w:b/>
        </w:rPr>
        <w:t xml:space="preserve">Optimize Last-Mile Logistics:</w:t>
      </w:r>
      <w:r>
        <w:t xml:space="preserve"> </w:t>
      </w:r>
      <w:r>
        <w:t xml:space="preserve">Invest in more efficient delivery networks, explore alternative fuel vehicles, or localize distribution centers to reduce transport distances and emissions.</w:t>
      </w:r>
    </w:p>
    <w:p>
      <w:pPr>
        <w:numPr>
          <w:ilvl w:val="0"/>
          <w:numId w:val="1015"/>
        </w:numPr>
        <w:pStyle w:val="Compact"/>
      </w:pPr>
      <w:r>
        <w:rPr>
          <w:bCs/>
          <w:b/>
        </w:rPr>
        <w:t xml:space="preserve">Enhance Product Energy Efficiency:</w:t>
      </w:r>
      <w:r>
        <w:t xml:space="preserve"> </w:t>
      </w:r>
      <w:r>
        <w:t xml:space="preserve">Further reduce energy consumption during the use phase of **hpdozxskrk**. Educate consumers on efficient usage or develop lower-power modes.</w:t>
      </w:r>
    </w:p>
    <w:p>
      <w:pPr>
        <w:numPr>
          <w:ilvl w:val="0"/>
          <w:numId w:val="1015"/>
        </w:numPr>
        <w:pStyle w:val="Compact"/>
      </w:pPr>
      <w:r>
        <w:rPr>
          <w:bCs/>
          <w:b/>
        </w:rPr>
        <w:t xml:space="preserve">Promote Renewable Energy in Production:</w:t>
      </w:r>
      <w:r>
        <w:t xml:space="preserve"> </w:t>
      </w:r>
      <w:r>
        <w:t xml:space="preserve">Continue to increase renewable energy penetration in production facilities, and engage with suppliers to encourage their transition to renewable energy sources.</w:t>
      </w:r>
    </w:p>
    <w:p>
      <w:pPr>
        <w:numPr>
          <w:ilvl w:val="0"/>
          <w:numId w:val="1015"/>
        </w:numPr>
        <w:pStyle w:val="Compact"/>
      </w:pPr>
      <w:r>
        <w:rPr>
          <w:bCs/>
          <w:b/>
        </w:rPr>
        <w:t xml:space="preserve">Material Circularity:</w:t>
      </w:r>
      <w:r>
        <w:t xml:space="preserve"> </w:t>
      </w:r>
      <w:r>
        <w:t xml:space="preserve">Leverage the `kwihfxvmzy` (85%) recyclability and `dtwgtfnqxm` (Active regional take-back program) to maximize material recovery and explore higher-recycled content materials.</w:t>
      </w:r>
    </w:p>
    <w:p>
      <w:pPr>
        <w:numPr>
          <w:ilvl w:val="0"/>
          <w:numId w:val="1015"/>
        </w:numPr>
        <w:pStyle w:val="Compact"/>
      </w:pPr>
      <w:r>
        <w:rPr>
          <w:bCs/>
          <w:b/>
        </w:rPr>
        <w:t xml:space="preserve">Supplier Engagement:</w:t>
      </w:r>
      <w:r>
        <w:t xml:space="preserve"> </w:t>
      </w:r>
      <w:r>
        <w:t xml:space="preserve">Collaborate with BOM suppliers to gather primary emission data for components and identify opportunities for low-carbon material sourcing.</w:t>
      </w:r>
    </w:p>
    <w:p>
      <w:r>
        <w:pict>
          <v:rect style="width:0;height:1.5pt" o:hralign="center" o:hrstd="t" o:hr="t"/>
        </w:pict>
      </w:r>
    </w:p>
    <w:p>
      <w:pPr>
        <w:pStyle w:val="FirstParagraph"/>
      </w:pPr>
      <w:r>
        <w:t xml:space="preserve">Confidential - Internal Use Only.</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hpdozxskrk</dc:title>
  <dc:creator/>
  <dc:description>High-detail Product Carbon Footprint (PCF) analysis report for hpdozxskrk by Senior Sustainability Consultant owovfdirdr, adhering to GHG Protocol standards and 2026 LSR update.</dc:description>
  <dc:language>en</dc:language>
  <cp:keywords/>
  <dcterms:created xsi:type="dcterms:W3CDTF">2026-07-16T02:19:55Z</dcterms:created>
  <dcterms:modified xsi:type="dcterms:W3CDTF">2026-07-16T02:19:55Z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