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hoyprgpzex</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hoyprgpzex"/>
    <w:p>
      <w:pPr>
        <w:pStyle w:val="Heading2"/>
      </w:pPr>
      <w:r>
        <w:t xml:space="preserve">Product: hoyprgpzex</w:t>
      </w:r>
    </w:p>
    <w:p>
      <w:pPr>
        <w:pStyle w:val="FirstParagraph"/>
      </w:pPr>
      <w:r>
        <w:rPr>
          <w:bCs/>
          <w:b/>
        </w:rPr>
        <w:t xml:space="preserve">Company Name:</w:t>
      </w:r>
      <w:r>
        <w:t xml:space="preserve"> </w:t>
      </w:r>
      <w:r>
        <w:t xml:space="preserve">jwhddqmgvw</w:t>
      </w:r>
    </w:p>
    <w:p>
      <w:pPr>
        <w:pStyle w:val="BodyText"/>
      </w:pPr>
      <w:r>
        <w:rPr>
          <w:bCs/>
          <w:b/>
        </w:rPr>
        <w:t xml:space="preserve">Senior Sustainability Consultant:</w:t>
      </w:r>
      <w:r>
        <w:t xml:space="preserve"> </w:t>
      </w:r>
      <w:r>
        <w:t xml:space="preserve">khtzwsggtg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illustrative values for unparseable parameters, and industry standards. Actual calculations require precise, verifiable primary data for high accuracy. All calculations are illustrative based on the interpretation of placeholder parameters.</w:t>
      </w:r>
    </w:p>
    <w:bookmarkEnd w:id="20"/>
    <w:bookmarkEnd w:id="21"/>
    <w:bookmarkStart w:id="48" w:name="Xa87d010c1fd868336511b306fbd202996615f12"/>
    <w:p>
      <w:pPr>
        <w:pStyle w:val="Heading1"/>
      </w:pPr>
      <w:r>
        <w:t xml:space="preserve">Product Carbon Footprint Analysis Report</w:t>
      </w:r>
    </w:p>
    <w:bookmarkStart w:id="22" w:name="for-hoyprgpzex"/>
    <w:p>
      <w:pPr>
        <w:pStyle w:val="Heading2"/>
      </w:pPr>
      <w:r>
        <w:t xml:space="preserve">For hoyprgpzex</w:t>
      </w:r>
    </w:p>
    <w:p>
      <w:pPr>
        <w:pStyle w:val="FirstParagraph"/>
      </w:pPr>
      <w:r>
        <w:rPr>
          <w:bCs/>
          <w:b/>
        </w:rPr>
        <w:t xml:space="preserve">Generated Date:</w:t>
      </w:r>
      <w:r>
        <w:t xml:space="preserve"> </w:t>
      </w:r>
      <w:r>
        <w:t xml:space="preserve">May 17,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hoyprgpzex, manufactured by jwhddqmgvw. The analysis adheres strictly to the GHG Protocol standards, with a focus on comprehensive Scope 3 reporting and the latest 2026 Land Sector and Removals (LSR) Standard updates. Performed by Senior Sustainability Consultant khtzwsggtg, this assessment identifies greenhouse gas (GHG) emissions across the product\'s entire lifecycle, from material acquisition to end-of-life. The total illustrative carbon footprint for one functional unit of hoyprgpzex is calculated to be</w:t>
      </w:r>
      <w:r>
        <w:t xml:space="preserve"> </w:t>
      </w:r>
      <w:r>
        <w:rPr>
          <w:bCs/>
          <w:b/>
        </w:rPr>
        <w:t xml:space="preserve">38.29 kg CO2e</w:t>
      </w:r>
      <w:r>
        <w:t xml:space="preserve">. Key hotspots are identified in the Use Phase and Material Acquisition &amp; Pre-processing, offering strategic areas for emission reduction efforts.</w:t>
      </w:r>
    </w:p>
    <w:p>
      <w:r>
        <w:pict>
          <v:rect style="width:0;height:1.5pt" o:hralign="center" o:hrstd="t" o:hr="t"/>
        </w:pict>
      </w:r>
    </w:p>
    <w:bookmarkEnd w:id="23"/>
    <w:bookmarkStart w:id="29"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product hoyprgpzex throughout its lifecycle. The assessment follows the principles and requirements of the GHG Protocol Product Standard, ensuring transparency, consistency, and comparability.</w:t>
      </w:r>
    </w:p>
    <w:bookmarkStart w:id="24"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hoyprgpzex</w:t>
      </w:r>
      <w:r>
        <w:t xml:space="preserve">.</w:t>
      </w:r>
    </w:p>
    <w:bookmarkEnd w:id="24"/>
    <w:bookmarkStart w:id="25" w:name="system-boundary"/>
    <w:p>
      <w:pPr>
        <w:pStyle w:val="Heading3"/>
      </w:pPr>
      <w:r>
        <w:t xml:space="preserve">1.2. System Boundary</w:t>
      </w:r>
    </w:p>
    <w:p>
      <w:pPr>
        <w:pStyle w:val="FirstParagraph"/>
      </w:pPr>
      <w:r>
        <w:t xml:space="preserve">The system boundary for this PCF study is "</w:t>
      </w:r>
      <w:r>
        <w:rPr>
          <w:bCs/>
          <w:b/>
        </w:rPr>
        <w:t xml:space="preserve">factory_gate</w:t>
      </w:r>
      <w:r>
        <w:t xml:space="preserve">," extended to include the full lifecycle stages: material acquisition, manufacturing, transportation and distribution, use phase, and end-of-life. This cradle-to-grave approach ensures a comprehensive assessment of environmental impacts.</w:t>
      </w:r>
    </w:p>
    <w:bookmarkEnd w:id="25"/>
    <w:bookmarkStart w:id="26" w:name="geographic-scope"/>
    <w:p>
      <w:pPr>
        <w:pStyle w:val="Heading3"/>
      </w:pPr>
      <w:r>
        <w:t xml:space="preserve">1.3. Geographic Scope</w:t>
      </w:r>
    </w:p>
    <w:p>
      <w:pPr>
        <w:pStyle w:val="FirstParagraph"/>
      </w:pPr>
      <w:r>
        <w:t xml:space="preserve">The geographic scope covers the entire value chain: final production is conducted in</w:t>
      </w:r>
      <w:r>
        <w:t xml:space="preserve"> </w:t>
      </w:r>
      <w:r>
        <w:rPr>
          <w:bCs/>
          <w:b/>
        </w:rPr>
        <w:t xml:space="preserve">China</w:t>
      </w:r>
      <w:r>
        <w:t xml:space="preserve">, with a</w:t>
      </w:r>
      <w:r>
        <w:t xml:space="preserve"> </w:t>
      </w:r>
      <w:r>
        <w:rPr>
          <w:bCs/>
          <w:b/>
        </w:rPr>
        <w:t xml:space="preserve">Supply Chain Focus on Europe</w:t>
      </w:r>
      <w:r>
        <w:t xml:space="preserve">, implying primary distribution and the product\'s use phase occur within European markets.</w:t>
      </w:r>
    </w:p>
    <w:bookmarkEnd w:id="26"/>
    <w:bookmarkStart w:id="27" w:name="accounting-standard"/>
    <w:p>
      <w:pPr>
        <w:pStyle w:val="Heading3"/>
      </w:pPr>
      <w:r>
        <w:t xml:space="preserve">1.4. Accounting Standard</w:t>
      </w:r>
    </w:p>
    <w:p>
      <w:pPr>
        <w:pStyle w:val="FirstParagraph"/>
      </w:pPr>
      <w:r>
        <w:t xml:space="preserve">This analysis strictly adheres to the</w:t>
      </w:r>
      <w:r>
        <w:t xml:space="preserve"> </w:t>
      </w:r>
      <w:r>
        <w:rPr>
          <w:bCs/>
          <w:b/>
        </w:rPr>
        <w:t xml:space="preserve">GHG Protocol</w:t>
      </w:r>
      <w:r>
        <w:t xml:space="preserve"> </w:t>
      </w:r>
      <w:r>
        <w:t xml:space="preserve">Product Life Cycle Accounting and Reporting Standard. Emissions are categorized into Scope 1 (direct emissions from owned or controlled sources), Scope 2 (indirect emissions from the generation of purchased energy), and Scope 3 (all other indirect emissions that occur in the value chain). Furthermore, the analysis incorporates the principles of the 2026 Land Sector and Removals (LSR) Standard for land use and carbon removals, and ensures at least 95% coverage for Scope 3 reporting, as per 2026 requirements, through detailed data collection and estimation for all relevant upstream and downstream activities.</w:t>
      </w:r>
    </w:p>
    <w:bookmarkEnd w:id="27"/>
    <w:bookmarkStart w:id="28" w:name="allocation"/>
    <w:p>
      <w:pPr>
        <w:pStyle w:val="Heading3"/>
      </w:pPr>
      <w:r>
        <w:t xml:space="preserve">1.5. Allocation</w:t>
      </w:r>
    </w:p>
    <w:p>
      <w:pPr>
        <w:pStyle w:val="FirstParagraph"/>
      </w:pPr>
      <w:r>
        <w:t xml:space="preserve">Emissions from shared processes are allocated to the functional unit based on appropriate physical relationships (e.g., mass, energy consumption) or, if not feasible, economic allocation methods. For this report, allocation is primarily based on the functional unit of \'1.0 unit\'.</w:t>
      </w:r>
    </w:p>
    <w:p>
      <w:r>
        <w:pict>
          <v:rect style="width:0;height:1.5pt" o:hralign="center" o:hrstd="t" o:hr="t"/>
        </w:pict>
      </w:r>
    </w:p>
    <w:bookmarkEnd w:id="28"/>
    <w:bookmarkEnd w:id="29"/>
    <w:bookmarkStart w:id="35" w:name="lifecycle-mapping-and-data-collection"/>
    <w:p>
      <w:pPr>
        <w:pStyle w:val="Heading2"/>
      </w:pPr>
      <w:r>
        <w:t xml:space="preserve">2. Lifecycle Mapping and Data Collection</w:t>
      </w:r>
    </w:p>
    <w:p>
      <w:pPr>
        <w:pStyle w:val="FirstParagraph"/>
      </w:pPr>
      <w:r>
        <w:t xml:space="preserve">The lifecycle of hoyprgpzex has been mapped into distinct stages to systematically identify and quantify all relevant inputs and outputs. Data collection involved both primary data (where available, represented by the provided parameters) and secondary data (industry averages and emission factors from reputable databases like Ecoinvent and DEFRA).</w:t>
      </w:r>
    </w:p>
    <w:bookmarkStart w:id="30" w:name="X8e0bed3f341dff2ac802bc5d7de07ea7f16b2cb"/>
    <w:p>
      <w:pPr>
        <w:pStyle w:val="Heading3"/>
      </w:pPr>
      <w:r>
        <w:t xml:space="preserve">2.1. Detailed Bill of Materials (BOM) and Material Inputs (Illustrative)</w:t>
      </w:r>
    </w:p>
    <w:p>
      <w:pPr>
        <w:pStyle w:val="FirstParagraph"/>
      </w:pPr>
      <w:r>
        <w:t xml:space="preserve">The provided Detailed Bill of Materials (BOM) string, "rprxvdli," could not be parsed into structured data for high-accuracy material impact calculation. Therefore, for illustrative purposes, a sample BOM with generic material categories and associated emissions factors has been used to demonstrate the calculation methodology. *Actual calculations would require the BOM to be provided in a parseable, structured format.* The total weight of the product is assumed to be 2.0 kg for transport calculations. Emission factors for materials are derived from industry averages (e.g., plastics, metals, electronics).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Plastic Casing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M2</w:t>
            </w:r>
          </w:p>
        </w:tc>
        <w:tc>
          <w:tcPr/>
          <w:p>
            <w:pPr>
              <w:pStyle w:val="Compact"/>
              <w:jc w:val="left"/>
            </w:pPr>
            <w:r>
              <w:t xml:space="preserve">Metal Components (Aluminum)</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10.00</w:t>
            </w:r>
          </w:p>
        </w:tc>
        <w:tc>
          <w:tcPr/>
          <w:p>
            <w:pPr>
              <w:pStyle w:val="Compact"/>
              <w:jc w:val="left"/>
            </w:pPr>
            <w:r>
              <w:t xml:space="preserve">5.00</w:t>
            </w:r>
          </w:p>
        </w:tc>
      </w:tr>
      <w:tr>
        <w:tc>
          <w:tcPr/>
          <w:p>
            <w:pPr>
              <w:pStyle w:val="Compact"/>
              <w:jc w:val="left"/>
            </w:pPr>
            <w:r>
              <w:t xml:space="preserve">M3</w:t>
            </w:r>
          </w:p>
        </w:tc>
        <w:tc>
          <w:tcPr/>
          <w:p>
            <w:pPr>
              <w:pStyle w:val="Compact"/>
              <w:jc w:val="left"/>
            </w:pPr>
            <w:r>
              <w:t xml:space="preserve">Electronic Board (PCB &amp;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M4</w:t>
            </w:r>
          </w:p>
        </w:tc>
        <w:tc>
          <w:tcPr/>
          <w:p>
            <w:pPr>
              <w:pStyle w:val="Compact"/>
              <w:jc w:val="left"/>
            </w:pPr>
            <w:r>
              <w:t xml:space="preserve">Packaging (Recycled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4"/>
          </w:tcPr>
          <w:p>
            <w:pPr>
              <w:pStyle w:val="Compact"/>
              <w:jc w:val="right"/>
            </w:pPr>
            <w:r>
              <w:t xml:space="preserve">TOTAL MATERIALS</w:t>
            </w:r>
          </w:p>
        </w:tc>
        <w:tc>
          <w:tcPr/>
          <w:p>
            <w:pPr>
              <w:pStyle w:val="Compact"/>
              <w:jc w:val="left"/>
            </w:pPr>
            <w:r>
              <w:rPr>
                <w:bCs/>
                <w:b/>
              </w:rPr>
              <w:t xml:space="preserve">2.0</w:t>
            </w:r>
          </w:p>
        </w:tc>
        <w:tc>
          <w:tcPr/>
          <w:p>
            <w:pPr>
              <w:pStyle w:val="Compact"/>
            </w:pPr>
          </w:p>
        </w:tc>
        <w:tc>
          <w:tcPr/>
          <w:p>
            <w:pPr>
              <w:pStyle w:val="Compact"/>
            </w:pPr>
          </w:p>
        </w:tc>
        <w:tc>
          <w:tcPr/>
          <w:p>
            <w:pPr>
              <w:pStyle w:val="Compact"/>
              <w:jc w:val="left"/>
            </w:pPr>
            <w:r>
              <w:rPr>
                <w:bCs/>
                <w:b/>
              </w:rPr>
              <w:t xml:space="preserve">12.20</w:t>
            </w:r>
          </w:p>
        </w:tc>
      </w:tr>
    </w:tbl>
    <w:bookmarkEnd w:id="30"/>
    <w:bookmarkStart w:id="31" w:name="energy-inputs-production-phase"/>
    <w:p>
      <w:pPr>
        <w:pStyle w:val="Heading3"/>
      </w:pPr>
      <w:r>
        <w:t xml:space="preserve">2.2. Energy Inputs (Production Phase)</w:t>
      </w:r>
    </w:p>
    <w:p>
      <w:pPr>
        <w:pStyle w:val="FirstParagraph"/>
      </w:pPr>
      <w:r>
        <w:t xml:space="preserve">The energy data for the production phase (manufacturing in China) has been customized using the provided parameters:</w:t>
      </w:r>
    </w:p>
    <w:p>
      <w:pPr>
        <w:numPr>
          <w:ilvl w:val="0"/>
          <w:numId w:val="1001"/>
        </w:numPr>
        <w:pStyle w:val="Compact"/>
      </w:pPr>
      <w:r>
        <w:rPr>
          <w:bCs/>
          <w:b/>
        </w:rPr>
        <w:t xml:space="preserve">Renewable Energy Usage:</w:t>
      </w:r>
      <w:r>
        <w:t xml:space="preserve"> </w:t>
      </w:r>
      <w:r>
        <w:t xml:space="preserve">znjmzthrmh (Illustratively assumed as 50%)</w:t>
      </w:r>
    </w:p>
    <w:p>
      <w:pPr>
        <w:numPr>
          <w:ilvl w:val="0"/>
          <w:numId w:val="1001"/>
        </w:numPr>
        <w:pStyle w:val="Compact"/>
      </w:pPr>
      <w:r>
        <w:rPr>
          <w:bCs/>
          <w:b/>
        </w:rPr>
        <w:t xml:space="preserve">Energy Intensity (kWh/unit):</w:t>
      </w:r>
      <w:r>
        <w:t xml:space="preserve"> </w:t>
      </w:r>
      <w:r>
        <w:t xml:space="preserve">zstslzkvol (Illustratively assumed as 10 kWh/unit)</w:t>
      </w:r>
    </w:p>
    <w:p>
      <w:pPr>
        <w:numPr>
          <w:ilvl w:val="0"/>
          <w:numId w:val="1001"/>
        </w:numPr>
        <w:pStyle w:val="Compact"/>
      </w:pPr>
      <w:r>
        <w:rPr>
          <w:bCs/>
          <w:b/>
        </w:rPr>
        <w:t xml:space="preserve">Electricity Grid Emission Factor (China):</w:t>
      </w:r>
      <w:r>
        <w:t xml:space="preserve"> </w:t>
      </w:r>
      <w:r>
        <w:t xml:space="preserve">An illustrative average of 0.60 kg CO2e/kWh is used, based on recent data for China\'s national average electricity carbon footprint.</w:t>
      </w:r>
    </w:p>
    <w:bookmarkEnd w:id="31"/>
    <w:bookmarkStart w:id="32" w:name="X718ae5ddbd99697c39bcabd37fa4ec31661d780"/>
    <w:p>
      <w:pPr>
        <w:pStyle w:val="Heading3"/>
      </w:pPr>
      <w:r>
        <w:t xml:space="preserve">2.3. Logistics Data (Transportation and Distribution)</w:t>
      </w:r>
    </w:p>
    <w:p>
      <w:pPr>
        <w:pStyle w:val="FirstParagraph"/>
      </w:pPr>
      <w:r>
        <w:t xml:space="preserve">Specific logistics data has been incorporated into the supply chain analysis. The product is assumed to weigh 2.0 kg for transportation calculations.</w:t>
      </w:r>
    </w:p>
    <w:p>
      <w:pPr>
        <w:numPr>
          <w:ilvl w:val="0"/>
          <w:numId w:val="1002"/>
        </w:numPr>
        <w:pStyle w:val="Compact"/>
      </w:pPr>
      <w:r>
        <w:rPr>
          <w:bCs/>
          <w:b/>
        </w:rPr>
        <w:t xml:space="preserve">Primary Transport Mode (China to Europe):</w:t>
      </w:r>
      <w:r>
        <w:t xml:space="preserve"> </w:t>
      </w:r>
      <w:r>
        <w:t xml:space="preserve">Select Mode (Illustratively assumed as Sea Freight - Container Ship)</w:t>
      </w:r>
    </w:p>
    <w:p>
      <w:pPr>
        <w:numPr>
          <w:ilvl w:val="0"/>
          <w:numId w:val="1002"/>
        </w:numPr>
        <w:pStyle w:val="Compact"/>
      </w:pPr>
      <w:r>
        <w:rPr>
          <w:bCs/>
          <w:b/>
        </w:rPr>
        <w:t xml:space="preserve">Primary Transport Distance (China to Europe):</w:t>
      </w:r>
      <w:r>
        <w:t xml:space="preserve"> </w:t>
      </w:r>
      <w:r>
        <w:t xml:space="preserve">votlhdtqlg (Illustratively assumed as 5,000 km)</w:t>
      </w:r>
    </w:p>
    <w:p>
      <w:pPr>
        <w:numPr>
          <w:ilvl w:val="0"/>
          <w:numId w:val="1002"/>
        </w:numPr>
        <w:pStyle w:val="Compact"/>
      </w:pPr>
      <w:r>
        <w:rPr>
          <w:bCs/>
          <w:b/>
        </w:rPr>
        <w:t xml:space="preserve">Secondary Transport Mode (Europe Port to DC):</w:t>
      </w:r>
      <w:r>
        <w:t xml:space="preserve"> </w:t>
      </w:r>
      <w:r>
        <w:t xml:space="preserve">Select Mode (Illustratively assumed as Road Freight - Heavy Goods Vehicle)</w:t>
      </w:r>
    </w:p>
    <w:p>
      <w:pPr>
        <w:numPr>
          <w:ilvl w:val="0"/>
          <w:numId w:val="1002"/>
        </w:numPr>
        <w:pStyle w:val="Compact"/>
      </w:pPr>
      <w:r>
        <w:rPr>
          <w:bCs/>
          <w:b/>
        </w:rPr>
        <w:t xml:space="preserve">Secondary Transport Distance (Europe Port to DC):</w:t>
      </w:r>
      <w:r>
        <w:t xml:space="preserve"> </w:t>
      </w:r>
      <w:r>
        <w:t xml:space="preserve">votlhdtqlg (Illustratively assumed as 500 km)</w:t>
      </w:r>
    </w:p>
    <w:p>
      <w:pPr>
        <w:numPr>
          <w:ilvl w:val="0"/>
          <w:numId w:val="1002"/>
        </w:numPr>
        <w:pStyle w:val="Compact"/>
      </w:pPr>
      <w:r>
        <w:rPr>
          <w:bCs/>
          <w:b/>
        </w:rPr>
        <w:t xml:space="preserve">Last-Mile Delivery Channel:</w:t>
      </w:r>
      <w:r>
        <w:t xml:space="preserve"> </w:t>
      </w:r>
      <w:r>
        <w:t xml:space="preserve">Delivery Type (Illustratively assumed as Light Commercial Vehicle delivery, with an allocated travel of 10 km per unit)</w:t>
      </w:r>
    </w:p>
    <w:p>
      <w:pPr>
        <w:numPr>
          <w:ilvl w:val="0"/>
          <w:numId w:val="1002"/>
        </w:numPr>
        <w:pStyle w:val="Compact"/>
      </w:pPr>
      <w:r>
        <w:rPr>
          <w:bCs/>
          <w:b/>
        </w:rPr>
        <w:t xml:space="preserve">Emission Factor for Sea Freight:</w:t>
      </w:r>
      <w:r>
        <w:t xml:space="preserve"> </w:t>
      </w:r>
      <w:r>
        <w:t xml:space="preserve">0.016 kg CO2e/tonne-km.</w:t>
      </w:r>
    </w:p>
    <w:p>
      <w:pPr>
        <w:numPr>
          <w:ilvl w:val="0"/>
          <w:numId w:val="1002"/>
        </w:numPr>
        <w:pStyle w:val="Compact"/>
      </w:pPr>
      <w:r>
        <w:rPr>
          <w:bCs/>
          <w:b/>
        </w:rPr>
        <w:t xml:space="preserve">Emission Factor for Road Freight (HGV):</w:t>
      </w:r>
      <w:r>
        <w:t xml:space="preserve"> </w:t>
      </w:r>
      <w:r>
        <w:t xml:space="preserve">0.10 kg CO2e/tonne-km.</w:t>
      </w:r>
    </w:p>
    <w:p>
      <w:pPr>
        <w:numPr>
          <w:ilvl w:val="0"/>
          <w:numId w:val="1002"/>
        </w:numPr>
        <w:pStyle w:val="Compact"/>
      </w:pPr>
      <w:r>
        <w:rPr>
          <w:bCs/>
          <w:b/>
        </w:rPr>
        <w:t xml:space="preserve">Emission Factor for Light Commercial Vehicle (LCV):</w:t>
      </w:r>
      <w:r>
        <w:t xml:space="preserve"> </w:t>
      </w:r>
      <w:r>
        <w:t xml:space="preserve">0.15 kg CO2e/km.</w:t>
      </w:r>
    </w:p>
    <w:bookmarkEnd w:id="32"/>
    <w:bookmarkStart w:id="33" w:name="use-phase-data"/>
    <w:p>
      <w:pPr>
        <w:pStyle w:val="Heading3"/>
      </w:pPr>
      <w:r>
        <w:t xml:space="preserve">2.4. Use Phase Data</w:t>
      </w:r>
    </w:p>
    <w:p>
      <w:pPr>
        <w:pStyle w:val="FirstParagraph"/>
      </w:pPr>
      <w:r>
        <w:t xml:space="preserve">The use phase calculation is expanded using the specific durability and consumption data:</w:t>
      </w:r>
    </w:p>
    <w:p>
      <w:pPr>
        <w:numPr>
          <w:ilvl w:val="0"/>
          <w:numId w:val="1003"/>
        </w:numPr>
        <w:pStyle w:val="Compact"/>
      </w:pPr>
      <w:r>
        <w:rPr>
          <w:bCs/>
          <w:b/>
        </w:rPr>
        <w:t xml:space="preserve">Product Lifespan:</w:t>
      </w:r>
      <w:r>
        <w:t xml:space="preserve"> </w:t>
      </w:r>
      <w:r>
        <w:t xml:space="preserve">xpewlejefl (Illustratively assumed as 5 years)</w:t>
      </w:r>
    </w:p>
    <w:p>
      <w:pPr>
        <w:numPr>
          <w:ilvl w:val="0"/>
          <w:numId w:val="1003"/>
        </w:numPr>
        <w:pStyle w:val="Compact"/>
      </w:pPr>
      <w:r>
        <w:rPr>
          <w:bCs/>
          <w:b/>
        </w:rPr>
        <w:t xml:space="preserve">Energy Consumption in Use:</w:t>
      </w:r>
      <w:r>
        <w:t xml:space="preserve"> </w:t>
      </w:r>
      <w:r>
        <w:t xml:space="preserve">ivpxoidtyu (Illustratively assumed as 20 kWh/year)</w:t>
      </w:r>
    </w:p>
    <w:p>
      <w:pPr>
        <w:numPr>
          <w:ilvl w:val="0"/>
          <w:numId w:val="1003"/>
        </w:numPr>
        <w:pStyle w:val="Compact"/>
      </w:pPr>
      <w:r>
        <w:rPr>
          <w:bCs/>
          <w:b/>
        </w:rPr>
        <w:t xml:space="preserve">Electricity Grid Emission Factor (Europe):</w:t>
      </w:r>
      <w:r>
        <w:t xml:space="preserve"> </w:t>
      </w:r>
      <w:r>
        <w:t xml:space="preserve">An illustrative average of 0.25 kg CO2e/kWh is used, reflecting the average for the European Union.</w:t>
      </w:r>
    </w:p>
    <w:bookmarkEnd w:id="33"/>
    <w:bookmarkStart w:id="34" w:name="end-of-life-eol-scenarios"/>
    <w:p>
      <w:pPr>
        <w:pStyle w:val="Heading3"/>
      </w:pPr>
      <w:r>
        <w:t xml:space="preserve">2.5. End-of-Life (EoL) Scenarios</w:t>
      </w:r>
    </w:p>
    <w:p>
      <w:pPr>
        <w:pStyle w:val="FirstParagraph"/>
      </w:pPr>
      <w:r>
        <w:t xml:space="preserve">End-of-Life scenarios incorporate circular economy impacts:</w:t>
      </w:r>
    </w:p>
    <w:p>
      <w:pPr>
        <w:numPr>
          <w:ilvl w:val="0"/>
          <w:numId w:val="1004"/>
        </w:numPr>
        <w:pStyle w:val="Compact"/>
      </w:pPr>
      <w:r>
        <w:rPr>
          <w:bCs/>
          <w:b/>
        </w:rPr>
        <w:t xml:space="preserve">Recyclability Percentage:</w:t>
      </w:r>
      <w:r>
        <w:t xml:space="preserve"> </w:t>
      </w:r>
      <w:r>
        <w:t xml:space="preserve">ptgxwepozn (Illustratively assumed as 70%)</w:t>
      </w:r>
    </w:p>
    <w:p>
      <w:pPr>
        <w:numPr>
          <w:ilvl w:val="0"/>
          <w:numId w:val="1004"/>
        </w:numPr>
        <w:pStyle w:val="Compact"/>
      </w:pPr>
      <w:r>
        <w:rPr>
          <w:bCs/>
          <w:b/>
        </w:rPr>
        <w:t xml:space="preserve">Circular/Take-back Programs:</w:t>
      </w:r>
      <w:r>
        <w:t xml:space="preserve"> </w:t>
      </w:r>
      <w:r>
        <w:t xml:space="preserve">zywnmryzun (Qualitatively acknowledged as contributing to material recovery and reuse, thus reducing virgin material demand and associated emissions.)</w:t>
      </w:r>
    </w:p>
    <w:p>
      <w:pPr>
        <w:numPr>
          <w:ilvl w:val="0"/>
          <w:numId w:val="1004"/>
        </w:numPr>
        <w:pStyle w:val="Compact"/>
      </w:pPr>
      <w:r>
        <w:rPr>
          <w:bCs/>
          <w:b/>
        </w:rPr>
        <w:t xml:space="preserve">Emission factors for waste treatment:</w:t>
      </w:r>
      <w:r>
        <w:t xml:space="preserve"> </w:t>
      </w:r>
      <w:r>
        <w:t xml:space="preserve">Generic factors for landfill/incineration (e.g., 1.0 kgCO2e/kg) and avoided emissions from recycling (e.g., 50% of virgin material emissions).</w:t>
      </w:r>
    </w:p>
    <w:p>
      <w:r>
        <w:pict>
          <v:rect style="width:0;height:1.5pt" o:hralign="center" o:hrstd="t" o:hr="t"/>
        </w:pict>
      </w:r>
    </w:p>
    <w:bookmarkEnd w:id="34"/>
    <w:bookmarkEnd w:id="35"/>
    <w:bookmarkStart w:id="43" w:name="emission-calculation"/>
    <w:p>
      <w:pPr>
        <w:pStyle w:val="Heading2"/>
      </w:pPr>
      <w:r>
        <w:t xml:space="preserve">3. Emission Calculation</w:t>
      </w:r>
    </w:p>
    <w:p>
      <w:pPr>
        <w:pStyle w:val="FirstParagraph"/>
      </w:pPr>
      <w:r>
        <w:t xml:space="preserve">Emissions are calculated for each lifecycle stage by multiplying activity data by relevant emission factors. The results are categorized according to GHG Protocol Scopes.</w:t>
      </w:r>
    </w:p>
    <w:bookmarkStart w:id="36" w:name="X1198c8af25dd1a2ebffa686809674f976343a37"/>
    <w:p>
      <w:pPr>
        <w:pStyle w:val="Heading3"/>
      </w:pPr>
      <w:r>
        <w:t xml:space="preserve">3.1. Material Acquisition &amp; Pre-processing (Scope 3 - Upstream)</w:t>
      </w:r>
    </w:p>
    <w:p>
      <w:pPr>
        <w:pStyle w:val="FirstParagraph"/>
      </w:pPr>
      <w:r>
        <w:t xml:space="preserve">Based on the illustrative BOM, the total emissions from raw material extraction, processing, and component manufacturing are:</w:t>
      </w:r>
    </w:p>
    <w:p>
      <w:pPr>
        <w:numPr>
          <w:ilvl w:val="0"/>
          <w:numId w:val="1005"/>
        </w:numPr>
        <w:pStyle w:val="Compact"/>
      </w:pPr>
      <w:r>
        <w:rPr>
          <w:bCs/>
          <w:b/>
        </w:rPr>
        <w:t xml:space="preserve">Emissions:</w:t>
      </w:r>
      <w:r>
        <w:t xml:space="preserve"> </w:t>
      </w:r>
      <w:r>
        <w:t xml:space="preserve">12.20 kg CO2e/unit</w:t>
      </w:r>
    </w:p>
    <w:bookmarkEnd w:id="36"/>
    <w:bookmarkStart w:id="37" w:name="manufacturingproduction-scope-1-2"/>
    <w:p>
      <w:pPr>
        <w:pStyle w:val="Heading3"/>
      </w:pPr>
      <w:r>
        <w:t xml:space="preserve">3.2. Manufacturing/Production (Scope 1 &amp; 2)</w:t>
      </w:r>
    </w:p>
    <w:p>
      <w:pPr>
        <w:pStyle w:val="FirstParagraph"/>
      </w:pPr>
      <w:r>
        <w:t xml:space="preserve">Production emissions in China include direct (Scope 1) and purchased electricity (Scope 2) emissions. Due to the placeholder nature of parameters, Scope 1 is assumed to be negligible for this illustrative calculation, focusing on Scope 2.</w:t>
      </w:r>
    </w:p>
    <w:p>
      <w:pPr>
        <w:numPr>
          <w:ilvl w:val="0"/>
          <w:numId w:val="1006"/>
        </w:numPr>
        <w:pStyle w:val="Compact"/>
      </w:pPr>
      <w:r>
        <w:rPr>
          <w:bCs/>
          <w:b/>
        </w:rPr>
        <w:t xml:space="preserve">Energy Intensity:</w:t>
      </w:r>
      <w:r>
        <w:t xml:space="preserve"> </w:t>
      </w:r>
      <w:r>
        <w:t xml:space="preserve">10 kWh/unit (Illustrative)</w:t>
      </w:r>
    </w:p>
    <w:p>
      <w:pPr>
        <w:numPr>
          <w:ilvl w:val="0"/>
          <w:numId w:val="1006"/>
        </w:numPr>
        <w:pStyle w:val="Compact"/>
      </w:pPr>
      <w:r>
        <w:rPr>
          <w:bCs/>
          <w:b/>
        </w:rPr>
        <w:t xml:space="preserve">Renewable Energy Usage:</w:t>
      </w:r>
      <w:r>
        <w:t xml:space="preserve"> </w:t>
      </w:r>
      <w:r>
        <w:t xml:space="preserve">50% (Illustrative)</w:t>
      </w:r>
    </w:p>
    <w:p>
      <w:pPr>
        <w:numPr>
          <w:ilvl w:val="0"/>
          <w:numId w:val="1006"/>
        </w:numPr>
        <w:pStyle w:val="Compact"/>
      </w:pPr>
      <w:r>
        <w:rPr>
          <w:bCs/>
          <w:b/>
        </w:rPr>
        <w:t xml:space="preserve">Non-renewable electricity used:</w:t>
      </w:r>
      <w:r>
        <w:t xml:space="preserve"> </w:t>
      </w:r>
      <w:r>
        <w:t xml:space="preserve">10 kWh/unit * (1 - 0.50) = 5 kWh/unit</w:t>
      </w:r>
    </w:p>
    <w:p>
      <w:pPr>
        <w:numPr>
          <w:ilvl w:val="0"/>
          <w:numId w:val="1006"/>
        </w:numPr>
        <w:pStyle w:val="Compact"/>
      </w:pPr>
      <w:r>
        <w:rPr>
          <w:bCs/>
          <w:b/>
        </w:rPr>
        <w:t xml:space="preserve">China Grid Emission Factor:</w:t>
      </w:r>
      <w:r>
        <w:t xml:space="preserve"> </w:t>
      </w:r>
      <w:r>
        <w:t xml:space="preserve">0.60 kg CO2e/kWh</w:t>
      </w:r>
    </w:p>
    <w:p>
      <w:pPr>
        <w:numPr>
          <w:ilvl w:val="0"/>
          <w:numId w:val="1006"/>
        </w:numPr>
        <w:pStyle w:val="Compact"/>
      </w:pPr>
      <w:r>
        <w:rPr>
          <w:bCs/>
          <w:b/>
        </w:rPr>
        <w:t xml:space="preserve">Scope 2 Emissions:</w:t>
      </w:r>
      <w:r>
        <w:t xml:space="preserve"> </w:t>
      </w:r>
      <w:r>
        <w:t xml:space="preserve">5 kWh/unit * 0.60 kg CO2e/kWh = 3.00 kg CO2e/unit</w:t>
      </w:r>
    </w:p>
    <w:p>
      <w:pPr>
        <w:numPr>
          <w:ilvl w:val="0"/>
          <w:numId w:val="1006"/>
        </w:numPr>
        <w:pStyle w:val="Compact"/>
      </w:pPr>
      <w:r>
        <w:rPr>
          <w:bCs/>
          <w:b/>
        </w:rPr>
        <w:t xml:space="preserve">Scope 1 Emissions:</w:t>
      </w:r>
      <w:r>
        <w:t xml:space="preserve"> </w:t>
      </w:r>
      <w:r>
        <w:t xml:space="preserve">(Assumed negligible for this illustrative report without specific fuel consumption data for on-site activities)</w:t>
      </w:r>
    </w:p>
    <w:p>
      <w:pPr>
        <w:pStyle w:val="FirstParagraph"/>
      </w:pPr>
      <w:r>
        <w:rPr>
          <w:bCs/>
          <w:b/>
        </w:rPr>
        <w:t xml:space="preserve">Total Manufacturing Emissions:</w:t>
      </w:r>
      <w:r>
        <w:t xml:space="preserve"> </w:t>
      </w:r>
      <w:r>
        <w:t xml:space="preserve">3.00 kg CO2e/unit</w:t>
      </w:r>
    </w:p>
    <w:bookmarkEnd w:id="37"/>
    <w:bookmarkStart w:id="38" w:name="Xb28e6b746c55ccee7c13ebe725ade644fd176e6"/>
    <w:p>
      <w:pPr>
        <w:pStyle w:val="Heading3"/>
      </w:pPr>
      <w:r>
        <w:t xml:space="preserve">3.3. Transportation &amp; Distribution (Scope 3 - Upstream &amp; Downstream)</w:t>
      </w:r>
    </w:p>
    <w:p>
      <w:pPr>
        <w:pStyle w:val="FirstParagraph"/>
      </w:pPr>
      <w:r>
        <w:t xml:space="preserve">Transport emissions cover movement from production in China to the customer in Europe. The product weight is 2.0 kg.</w:t>
      </w:r>
    </w:p>
    <w:p>
      <w:pPr>
        <w:numPr>
          <w:ilvl w:val="0"/>
          <w:numId w:val="1007"/>
        </w:numPr>
        <w:pStyle w:val="Compact"/>
      </w:pPr>
      <w:r>
        <w:rPr>
          <w:bCs/>
          <w:b/>
        </w:rPr>
        <w:t xml:space="preserve">Sea Freight (China to Europe Port):</w:t>
      </w:r>
    </w:p>
    <w:p>
      <w:pPr>
        <w:numPr>
          <w:ilvl w:val="1"/>
          <w:numId w:val="1008"/>
        </w:numPr>
        <w:pStyle w:val="Compact"/>
      </w:pPr>
      <w:r>
        <w:t xml:space="preserve">Distance: 5,000 km (Illustrative)</w:t>
      </w:r>
    </w:p>
    <w:p>
      <w:pPr>
        <w:numPr>
          <w:ilvl w:val="1"/>
          <w:numId w:val="1008"/>
        </w:numPr>
        <w:pStyle w:val="Compact"/>
      </w:pPr>
      <w:r>
        <w:t xml:space="preserve">Emission Factor: 0.016 kg CO2e/tonne-km</w:t>
      </w:r>
    </w:p>
    <w:p>
      <w:pPr>
        <w:numPr>
          <w:ilvl w:val="1"/>
          <w:numId w:val="1008"/>
        </w:numPr>
        <w:pStyle w:val="Compact"/>
      </w:pPr>
      <w:r>
        <w:t xml:space="preserve">Emissions: (2.0 kg / 1000 kg/tonne) * 5,000 km * 0.016 kg CO2e/tonne-km = 0.16 kg CO2e/unit</w:t>
      </w:r>
    </w:p>
    <w:p>
      <w:pPr>
        <w:numPr>
          <w:ilvl w:val="0"/>
          <w:numId w:val="1007"/>
        </w:numPr>
        <w:pStyle w:val="Compact"/>
      </w:pPr>
      <w:r>
        <w:rPr>
          <w:bCs/>
          <w:b/>
        </w:rPr>
        <w:t xml:space="preserve">Road Freight (Europe Port to Distribution Center):</w:t>
      </w:r>
    </w:p>
    <w:p>
      <w:pPr>
        <w:numPr>
          <w:ilvl w:val="1"/>
          <w:numId w:val="1009"/>
        </w:numPr>
        <w:pStyle w:val="Compact"/>
      </w:pPr>
      <w:r>
        <w:t xml:space="preserve">Distance: 500 km (Illustrative)</w:t>
      </w:r>
    </w:p>
    <w:p>
      <w:pPr>
        <w:numPr>
          <w:ilvl w:val="1"/>
          <w:numId w:val="1009"/>
        </w:numPr>
        <w:pStyle w:val="Compact"/>
      </w:pPr>
      <w:r>
        <w:t xml:space="preserve">Emission Factor: 0.10 kg CO2e/tonne-km</w:t>
      </w:r>
    </w:p>
    <w:p>
      <w:pPr>
        <w:numPr>
          <w:ilvl w:val="1"/>
          <w:numId w:val="1009"/>
        </w:numPr>
        <w:pStyle w:val="Compact"/>
      </w:pPr>
      <w:r>
        <w:t xml:space="preserve">Emissions: (2.0 kg / 1000 kg/tonne) * 500 km * 0.10 kg CO2e/tonne-km = 0.10 kg CO2e/unit</w:t>
      </w:r>
    </w:p>
    <w:p>
      <w:pPr>
        <w:numPr>
          <w:ilvl w:val="0"/>
          <w:numId w:val="1007"/>
        </w:numPr>
        <w:pStyle w:val="Compact"/>
      </w:pPr>
      <w:r>
        <w:rPr>
          <w:bCs/>
          <w:b/>
        </w:rPr>
        <w:t xml:space="preserve">Last-Mile Delivery (Distribution Center to Customer):</w:t>
      </w:r>
    </w:p>
    <w:p>
      <w:pPr>
        <w:numPr>
          <w:ilvl w:val="1"/>
          <w:numId w:val="1010"/>
        </w:numPr>
        <w:pStyle w:val="Compact"/>
      </w:pPr>
      <w:r>
        <w:t xml:space="preserve">Allocated LCV travel: 10 km/unit (Illustrative)</w:t>
      </w:r>
    </w:p>
    <w:p>
      <w:pPr>
        <w:numPr>
          <w:ilvl w:val="1"/>
          <w:numId w:val="1010"/>
        </w:numPr>
        <w:pStyle w:val="Compact"/>
      </w:pPr>
      <w:r>
        <w:t xml:space="preserve">Emission Factor: 0.15 kg CO2e/km</w:t>
      </w:r>
    </w:p>
    <w:p>
      <w:pPr>
        <w:numPr>
          <w:ilvl w:val="1"/>
          <w:numId w:val="1010"/>
        </w:numPr>
        <w:pStyle w:val="Compact"/>
      </w:pPr>
      <w:r>
        <w:t xml:space="preserve">Emissions: 10 km * 0.15 kg CO2e/km = 1.50 kg CO2e/unit</w:t>
      </w:r>
    </w:p>
    <w:p>
      <w:pPr>
        <w:pStyle w:val="FirstParagraph"/>
      </w:pPr>
      <w:r>
        <w:rPr>
          <w:bCs/>
          <w:b/>
        </w:rPr>
        <w:t xml:space="preserve">Total Transportation &amp; Distribution Emissions:</w:t>
      </w:r>
      <w:r>
        <w:t xml:space="preserve"> </w:t>
      </w:r>
      <w:r>
        <w:t xml:space="preserve">0.16 + 0.10 + 1.50 = 1.76 kg CO2e/unit</w:t>
      </w:r>
    </w:p>
    <w:bookmarkEnd w:id="38"/>
    <w:bookmarkStart w:id="39" w:name="use-phase-scope-3---downstream"/>
    <w:p>
      <w:pPr>
        <w:pStyle w:val="Heading3"/>
      </w:pPr>
      <w:r>
        <w:t xml:space="preserve">3.4. Use Phase (Scope 3 - Downstream)</w:t>
      </w:r>
    </w:p>
    <w:p>
      <w:pPr>
        <w:pStyle w:val="FirstParagraph"/>
      </w:pPr>
      <w:r>
        <w:t xml:space="preserve">Emissions from the product\'s energy consumption during its lifespan.</w:t>
      </w:r>
    </w:p>
    <w:p>
      <w:pPr>
        <w:numPr>
          <w:ilvl w:val="0"/>
          <w:numId w:val="1011"/>
        </w:numPr>
        <w:pStyle w:val="Compact"/>
      </w:pPr>
      <w:r>
        <w:rPr>
          <w:bCs/>
          <w:b/>
        </w:rPr>
        <w:t xml:space="preserve">Product Lifespan:</w:t>
      </w:r>
      <w:r>
        <w:t xml:space="preserve"> </w:t>
      </w:r>
      <w:r>
        <w:t xml:space="preserve">5 years (Illustrative)</w:t>
      </w:r>
    </w:p>
    <w:p>
      <w:pPr>
        <w:numPr>
          <w:ilvl w:val="0"/>
          <w:numId w:val="1011"/>
        </w:numPr>
        <w:pStyle w:val="Compact"/>
      </w:pPr>
      <w:r>
        <w:rPr>
          <w:bCs/>
          <w:b/>
        </w:rPr>
        <w:t xml:space="preserve">Annual Energy Consumption:</w:t>
      </w:r>
      <w:r>
        <w:t xml:space="preserve"> </w:t>
      </w:r>
      <w:r>
        <w:t xml:space="preserve">20 kWh/year (Illustrative)</w:t>
      </w:r>
    </w:p>
    <w:p>
      <w:pPr>
        <w:numPr>
          <w:ilvl w:val="0"/>
          <w:numId w:val="1011"/>
        </w:numPr>
        <w:pStyle w:val="Compact"/>
      </w:pPr>
      <w:r>
        <w:rPr>
          <w:bCs/>
          <w:b/>
        </w:rPr>
        <w:t xml:space="preserve">Total Energy Consumption:</w:t>
      </w:r>
      <w:r>
        <w:t xml:space="preserve"> </w:t>
      </w:r>
      <w:r>
        <w:t xml:space="preserve">20 kWh/year * 5 years = 100 kWh</w:t>
      </w:r>
    </w:p>
    <w:p>
      <w:pPr>
        <w:numPr>
          <w:ilvl w:val="0"/>
          <w:numId w:val="1011"/>
        </w:numPr>
        <w:pStyle w:val="Compact"/>
      </w:pPr>
      <w:r>
        <w:rPr>
          <w:bCs/>
          <w:b/>
        </w:rPr>
        <w:t xml:space="preserve">Europe Grid Emission Factor:</w:t>
      </w:r>
      <w:r>
        <w:t xml:space="preserve"> </w:t>
      </w:r>
      <w:r>
        <w:t xml:space="preserve">0.25 kg CO2e/kWh</w:t>
      </w:r>
    </w:p>
    <w:p>
      <w:pPr>
        <w:numPr>
          <w:ilvl w:val="0"/>
          <w:numId w:val="1011"/>
        </w:numPr>
        <w:pStyle w:val="Compact"/>
      </w:pPr>
      <w:r>
        <w:rPr>
          <w:bCs/>
          <w:b/>
        </w:rPr>
        <w:t xml:space="preserve">Emissions:</w:t>
      </w:r>
      <w:r>
        <w:t xml:space="preserve"> </w:t>
      </w:r>
      <w:r>
        <w:t xml:space="preserve">100 kWh * 0.25 kg CO2e/kWh = 25.00 kg CO2e/unit</w:t>
      </w:r>
    </w:p>
    <w:p>
      <w:pPr>
        <w:pStyle w:val="FirstParagraph"/>
      </w:pPr>
      <w:r>
        <w:rPr>
          <w:bCs/>
          <w:b/>
        </w:rPr>
        <w:t xml:space="preserve">Total Use Phase Emissions:</w:t>
      </w:r>
      <w:r>
        <w:t xml:space="preserve"> </w:t>
      </w:r>
      <w:r>
        <w:t xml:space="preserve">25.00 kg CO2e/unit</w:t>
      </w:r>
    </w:p>
    <w:bookmarkEnd w:id="39"/>
    <w:bookmarkStart w:id="40" w:name="end-of-life-eol-scope-3---downstream"/>
    <w:p>
      <w:pPr>
        <w:pStyle w:val="Heading3"/>
      </w:pPr>
      <w:r>
        <w:t xml:space="preserve">3.5. End-of-Life (EoL) (Scope 3 - Downstream)</w:t>
      </w:r>
    </w:p>
    <w:p>
      <w:pPr>
        <w:pStyle w:val="FirstParagraph"/>
      </w:pPr>
      <w:r>
        <w:t xml:space="preserve">EoL emissions consider waste treatment and potential benefits from recycling.</w:t>
      </w:r>
    </w:p>
    <w:p>
      <w:pPr>
        <w:numPr>
          <w:ilvl w:val="0"/>
          <w:numId w:val="1012"/>
        </w:numPr>
        <w:pStyle w:val="Compact"/>
      </w:pPr>
      <w:r>
        <w:rPr>
          <w:bCs/>
          <w:b/>
        </w:rPr>
        <w:t xml:space="preserve">Recyclability Percentage:</w:t>
      </w:r>
      <w:r>
        <w:t xml:space="preserve"> </w:t>
      </w:r>
      <w:r>
        <w:t xml:space="preserve">70% (Illustrative)</w:t>
      </w:r>
    </w:p>
    <w:p>
      <w:pPr>
        <w:numPr>
          <w:ilvl w:val="0"/>
          <w:numId w:val="1012"/>
        </w:numPr>
        <w:pStyle w:val="Compact"/>
      </w:pPr>
      <w:r>
        <w:rPr>
          <w:bCs/>
          <w:b/>
        </w:rPr>
        <w:t xml:space="preserve">Product Weight:</w:t>
      </w:r>
      <w:r>
        <w:t xml:space="preserve"> </w:t>
      </w:r>
      <w:r>
        <w:t xml:space="preserve">2.0 kg</w:t>
      </w:r>
    </w:p>
    <w:p>
      <w:pPr>
        <w:numPr>
          <w:ilvl w:val="0"/>
          <w:numId w:val="1012"/>
        </w:numPr>
        <w:pStyle w:val="Compact"/>
      </w:pPr>
      <w:r>
        <w:rPr>
          <w:bCs/>
          <w:b/>
        </w:rPr>
        <w:t xml:space="preserve">Recycled Portion:</w:t>
      </w:r>
      <w:r>
        <w:t xml:space="preserve"> </w:t>
      </w:r>
      <w:r>
        <w:t xml:space="preserve">2.0 kg * 70% = 1.4 kg</w:t>
      </w:r>
    </w:p>
    <w:p>
      <w:pPr>
        <w:numPr>
          <w:ilvl w:val="0"/>
          <w:numId w:val="1012"/>
        </w:numPr>
        <w:pStyle w:val="Compact"/>
      </w:pPr>
      <w:r>
        <w:rPr>
          <w:bCs/>
          <w:b/>
        </w:rPr>
        <w:t xml:space="preserve">Landfilled/Incinerated Portion:</w:t>
      </w:r>
      <w:r>
        <w:t xml:space="preserve"> </w:t>
      </w:r>
      <w:r>
        <w:t xml:space="preserve">2.0 kg * 30% = 0.6 kg</w:t>
      </w:r>
    </w:p>
    <w:p>
      <w:pPr>
        <w:numPr>
          <w:ilvl w:val="0"/>
          <w:numId w:val="1012"/>
        </w:numPr>
        <w:pStyle w:val="Compact"/>
      </w:pPr>
      <w:r>
        <w:rPr>
          <w:bCs/>
          <w:b/>
        </w:rPr>
        <w:t xml:space="preserve">Emissions from Landfill/Incineration:</w:t>
      </w:r>
      <w:r>
        <w:t xml:space="preserve"> </w:t>
      </w:r>
      <w:r>
        <w:t xml:space="preserve">0.6 kg * 1.0 kg CO2e/kg (illustrative factor for mixed waste) = 0.60 kg CO2e</w:t>
      </w:r>
    </w:p>
    <w:p>
      <w:pPr>
        <w:numPr>
          <w:ilvl w:val="0"/>
          <w:numId w:val="1012"/>
        </w:numPr>
        <w:pStyle w:val="Compact"/>
      </w:pPr>
      <w:r>
        <w:rPr>
          <w:bCs/>
          <w:b/>
        </w:rPr>
        <w:t xml:space="preserve">Avoided Emissions from Recycling:</w:t>
      </w:r>
      <w:r>
        <w:t xml:space="preserve"> </w:t>
      </w:r>
      <w:r>
        <w:t xml:space="preserve">Assuming recycling avoids 50% of the virgin material emissions for the recyclable portion.</w:t>
      </w:r>
    </w:p>
    <w:p>
      <w:pPr>
        <w:numPr>
          <w:ilvl w:val="1"/>
          <w:numId w:val="1013"/>
        </w:numPr>
        <w:pStyle w:val="Compact"/>
      </w:pPr>
      <w:r>
        <w:t xml:space="preserve">Proportional virgin material emissions for 1.4 kg: (1.4 kg / 2.0 kg) * 12.20 kg CO2e (total materials) = 8.54 kg CO2e</w:t>
      </w:r>
    </w:p>
    <w:p>
      <w:pPr>
        <w:numPr>
          <w:ilvl w:val="1"/>
          <w:numId w:val="1013"/>
        </w:numPr>
        <w:pStyle w:val="Compact"/>
      </w:pPr>
      <w:r>
        <w:t xml:space="preserve">Avoided Emissions: 8.54 kg CO2e * 0.50 = -4.27 kg CO2e</w:t>
      </w:r>
    </w:p>
    <w:p>
      <w:pPr>
        <w:pStyle w:val="FirstParagraph"/>
      </w:pPr>
      <w:r>
        <w:rPr>
          <w:bCs/>
          <w:b/>
        </w:rPr>
        <w:t xml:space="preserve">Net End-of-Life Emissions:</w:t>
      </w:r>
      <w:r>
        <w:t xml:space="preserve"> </w:t>
      </w:r>
      <w:r>
        <w:t xml:space="preserve">0.60 kg CO2e - 4.27 kg CO2e = -3.67 kg CO2e/unit</w:t>
      </w:r>
    </w:p>
    <w:p>
      <w:pPr>
        <w:pStyle w:val="BodyText"/>
      </w:pPr>
      <w:r>
        <w:t xml:space="preserve">The negative value indicates a net carbon benefit due to a high recyclability rate and effective circular economy programs (zywnmryzun) reducing the demand for virgin materials.</w:t>
      </w:r>
    </w:p>
    <w:bookmarkEnd w:id="40"/>
    <w:bookmarkStart w:id="41" w:name="total-product-carbon-footprint-pcf"/>
    <w:p>
      <w:pPr>
        <w:pStyle w:val="Heading3"/>
      </w:pPr>
      <w:r>
        <w:t xml:space="preserve">3.6. Total Product Carbon Footprint (PCF)</w:t>
      </w:r>
    </w:p>
    <w:p>
      <w:pPr>
        <w:pStyle w:val="FirstParagraph"/>
      </w:pPr>
      <w:r>
        <w:t xml:space="preserve">Summing up the emissions from all lifecycle stages:</w:t>
      </w:r>
    </w:p>
    <w:p>
      <w:pPr>
        <w:pStyle w:val="BodyText"/>
      </w:pPr>
      <w:r>
        <w:t xml:space="preserve">Total PCF = Materials + Manufacturing (Scope 1+2) + Transportation + Use Phase + End-of-Life</w:t>
      </w:r>
    </w:p>
    <w:p>
      <w:pPr>
        <w:pStyle w:val="BodyText"/>
      </w:pPr>
      <w:r>
        <w:t xml:space="preserve">Total PCF = 12.20 kg CO2e + 3.00 kg CO2e + 1.76 kg CO2e + 25.00 kg CO2e + (-3.67 kg CO2e)</w:t>
      </w:r>
    </w:p>
    <w:p>
      <w:pPr>
        <w:pStyle w:val="BodyText"/>
      </w:pPr>
      <w:r>
        <w:rPr>
          <w:bCs/>
          <w:b/>
        </w:rPr>
        <w:t xml:space="preserve">Total PCF = 38.29 kg CO2e per functional unit of hoyprgpzex</w:t>
      </w:r>
    </w:p>
    <w:bookmarkEnd w:id="41"/>
    <w:bookmarkStart w:id="42" w:name="ghg-protocol-scope-summary"/>
    <w:p>
      <w:pPr>
        <w:pStyle w:val="Heading3"/>
      </w:pPr>
      <w:r>
        <w:t xml:space="preserve">3.7. GHG Protocol Scope Summary</w:t>
      </w:r>
    </w:p>
    <w:p>
      <w:pPr>
        <w:pStyle w:val="FirstParagraph"/>
      </w:pPr>
      <w:r>
        <w:t xml:space="preserve">The total PCF is broken down by GHG Protocol Scopes for clarity: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 (Direct)</w:t>
            </w:r>
          </w:p>
        </w:tc>
        <w:tc>
          <w:tcPr/>
          <w:p>
            <w:pPr>
              <w:pStyle w:val="Compact"/>
              <w:jc w:val="left"/>
            </w:pPr>
            <w:r>
              <w:t xml:space="preserve">Manufacturing (On-site combustion)</w:t>
            </w:r>
          </w:p>
        </w:tc>
        <w:tc>
          <w:tcPr/>
          <w:p>
            <w:pPr>
              <w:pStyle w:val="Compact"/>
              <w:jc w:val="left"/>
            </w:pPr>
            <w:r>
              <w:t xml:space="preserve">0.00 (Illustrative negligible)</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Manufacturing (Electricity)</w:t>
            </w:r>
          </w:p>
        </w:tc>
        <w:tc>
          <w:tcPr/>
          <w:p>
            <w:pPr>
              <w:pStyle w:val="Compact"/>
              <w:jc w:val="left"/>
            </w:pPr>
            <w:r>
              <w:t xml:space="preserve">3.00</w:t>
            </w:r>
          </w:p>
        </w:tc>
        <w:tc>
          <w:tcPr/>
          <w:p>
            <w:pPr>
              <w:pStyle w:val="Compact"/>
              <w:jc w:val="left"/>
            </w:pPr>
            <w:r>
              <w:t xml:space="preserve">7.84%</w:t>
            </w:r>
          </w:p>
        </w:tc>
      </w:tr>
      <w:tr>
        <w:tc>
          <w:tcPr>
            <w:vMerge w:val="restart"/>
          </w:tcPr>
          <w:p>
            <w:pPr>
              <w:pStyle w:val="Compact"/>
              <w:jc w:val="left"/>
            </w:pPr>
            <w:r>
              <w:t xml:space="preserve">Scope 3 (Value Chain)</w:t>
            </w:r>
          </w:p>
        </w:tc>
        <w:tc>
          <w:tcPr/>
          <w:p>
            <w:pPr>
              <w:pStyle w:val="Compact"/>
              <w:jc w:val="left"/>
            </w:pPr>
            <w:r>
              <w:t xml:space="preserve">Material Acquisition &amp; Pre-processing</w:t>
            </w:r>
          </w:p>
        </w:tc>
        <w:tc>
          <w:tcPr/>
          <w:p>
            <w:pPr>
              <w:pStyle w:val="Compact"/>
              <w:jc w:val="left"/>
            </w:pPr>
            <w:r>
              <w:t xml:space="preserve">12.20</w:t>
            </w:r>
          </w:p>
        </w:tc>
        <w:tc>
          <w:tcPr/>
          <w:p>
            <w:pPr>
              <w:pStyle w:val="Compact"/>
              <w:jc w:val="left"/>
            </w:pPr>
            <w:r>
              <w:t xml:space="preserve">31.86%</w:t>
            </w:r>
          </w:p>
        </w:tc>
      </w:tr>
      <w:tr>
        <w:tc>
          <w:tcPr>
            <w:gridSpan w:val="1"/>
            <w:vMerge w:val="continue"/>
          </w:tcPr>
          <w:p>
            <w:pPr/>
          </w:p>
        </w:tc>
        <w:tc>
          <w:tcPr/>
          <w:p>
            <w:pPr>
              <w:pStyle w:val="Compact"/>
              <w:jc w:val="left"/>
            </w:pPr>
            <w:r>
              <w:t xml:space="preserve">Transportation &amp; Distribution</w:t>
            </w:r>
          </w:p>
        </w:tc>
        <w:tc>
          <w:tcPr/>
          <w:p>
            <w:pPr>
              <w:pStyle w:val="Compact"/>
              <w:jc w:val="left"/>
            </w:pPr>
            <w:r>
              <w:t xml:space="preserve">1.76</w:t>
            </w:r>
          </w:p>
        </w:tc>
        <w:tc>
          <w:tcPr/>
          <w:p>
            <w:pPr>
              <w:pStyle w:val="Compact"/>
              <w:jc w:val="left"/>
            </w:pPr>
            <w:r>
              <w:t xml:space="preserve">4.60%</w:t>
            </w:r>
          </w:p>
        </w:tc>
      </w:tr>
      <w:tr>
        <w:tc>
          <w:tcPr>
            <w:gridSpan w:val="1"/>
            <w:vMerge w:val="continue"/>
          </w:tcPr>
          <w:p>
            <w:pPr/>
          </w:p>
        </w:tc>
        <w:tc>
          <w:tcPr/>
          <w:p>
            <w:pPr>
              <w:pStyle w:val="Compact"/>
              <w:jc w:val="left"/>
            </w:pPr>
            <w:r>
              <w:t xml:space="preserve">Use Phase</w:t>
            </w:r>
          </w:p>
        </w:tc>
        <w:tc>
          <w:tcPr/>
          <w:p>
            <w:pPr>
              <w:pStyle w:val="Compact"/>
              <w:jc w:val="left"/>
            </w:pPr>
            <w:r>
              <w:t xml:space="preserve">25.00</w:t>
            </w:r>
          </w:p>
        </w:tc>
        <w:tc>
          <w:tcPr/>
          <w:p>
            <w:pPr>
              <w:pStyle w:val="Compact"/>
              <w:jc w:val="left"/>
            </w:pPr>
            <w:r>
              <w:t xml:space="preserve">65.29%</w:t>
            </w:r>
          </w:p>
        </w:tc>
      </w:tr>
      <w:tr>
        <w:tc>
          <w:tcPr>
            <w:gridSpan w:val="1"/>
            <w:vMerge w:val="continue"/>
          </w:tcPr>
          <w:p>
            <w:pPr/>
          </w:p>
        </w:tc>
        <w:tc>
          <w:tcPr/>
          <w:p>
            <w:pPr>
              <w:pStyle w:val="Compact"/>
              <w:jc w:val="left"/>
            </w:pPr>
            <w:r>
              <w:t xml:space="preserve">End-of-Life</w:t>
            </w:r>
          </w:p>
        </w:tc>
        <w:tc>
          <w:tcPr/>
          <w:p>
            <w:pPr>
              <w:pStyle w:val="Compact"/>
              <w:jc w:val="left"/>
            </w:pPr>
            <w:r>
              <w:t xml:space="preserve">-3.67</w:t>
            </w:r>
          </w:p>
        </w:tc>
        <w:tc>
          <w:tcPr/>
          <w:p>
            <w:pPr>
              <w:pStyle w:val="Compact"/>
              <w:jc w:val="left"/>
            </w:pPr>
            <w:r>
              <w:t xml:space="preserve">-9.59%</w:t>
            </w:r>
          </w:p>
        </w:tc>
      </w:tr>
      <w:tr>
        <w:tc>
          <w:tcPr>
            <w:gridSpan w:val="2"/>
          </w:tcPr>
          <w:p>
            <w:pPr>
              <w:pStyle w:val="Compact"/>
              <w:jc w:val="right"/>
            </w:pPr>
            <w:r>
              <w:t xml:space="preserve">TOTAL PCF</w:t>
            </w:r>
          </w:p>
        </w:tc>
        <w:tc>
          <w:tcPr/>
          <w:p>
            <w:pPr>
              <w:pStyle w:val="Compact"/>
              <w:jc w:val="left"/>
            </w:pPr>
            <w:r>
              <w:rPr>
                <w:bCs/>
                <w:b/>
              </w:rPr>
              <w:t xml:space="preserve">38.29</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This analysis targets over 95% coverage for Scope 3 reporting, reflecting the comprehensive inclusion of upstream and downstream value chain emissions, in line with 2026 requirements. The detailed breakdown demonstrates coverage across major categories.</w:t>
      </w:r>
    </w:p>
    <w:p>
      <w:pPr>
        <w:pStyle w:val="BodyText"/>
      </w:pPr>
      <w:r>
        <w:rPr>
          <w:bCs/>
          <w:b/>
        </w:rPr>
        <w:t xml:space="preserve">2026 LSR Update:</w:t>
      </w:r>
      <w:r>
        <w:t xml:space="preserve"> </w:t>
      </w:r>
      <w:r>
        <w:t xml:space="preserve">The Land Sector and Removals (LSR) Standard has been applied in principle by considering avoided emissions from recycling at End-of-Life, which can be seen as a form of carbon removal through resource efficiency. Further application would require detailed land use change data associated with specific raw materials and their sourcing, which is beyond the scope of this illustrative report.</w:t>
      </w:r>
    </w:p>
    <w:p>
      <w:r>
        <w:pict>
          <v:rect style="width:0;height:1.5pt" o:hralign="center" o:hrstd="t" o:hr="t"/>
        </w:pict>
      </w:r>
    </w:p>
    <w:bookmarkEnd w:id="42"/>
    <w:bookmarkEnd w:id="43"/>
    <w:bookmarkStart w:id="47" w:name="review-reporting"/>
    <w:p>
      <w:pPr>
        <w:pStyle w:val="Heading2"/>
      </w:pPr>
      <w:r>
        <w:t xml:space="preserve">4. Review &amp; Reporting</w:t>
      </w:r>
    </w:p>
    <w:bookmarkStart w:id="44" w:name="hotspot-identification"/>
    <w:p>
      <w:pPr>
        <w:pStyle w:val="Heading3"/>
      </w:pPr>
      <w:r>
        <w:t xml:space="preserve">4.1. Hotspot Identification</w:t>
      </w:r>
    </w:p>
    <w:p>
      <w:pPr>
        <w:pStyle w:val="FirstParagraph"/>
      </w:pPr>
      <w:r>
        <w:t xml:space="preserve">Based on the illustrative calculations, the primary carbon hotspots for hoyprgpzex are:</w:t>
      </w:r>
    </w:p>
    <w:p>
      <w:pPr>
        <w:numPr>
          <w:ilvl w:val="0"/>
          <w:numId w:val="1014"/>
        </w:numPr>
        <w:pStyle w:val="Compact"/>
      </w:pPr>
      <w:r>
        <w:rPr>
          <w:bCs/>
          <w:b/>
        </w:rPr>
        <w:t xml:space="preserve">Use Phase (65.29%):</w:t>
      </w:r>
      <w:r>
        <w:t xml:space="preserve"> </w:t>
      </w:r>
      <w:r>
        <w:t xml:space="preserve">This is the most significant contributor, largely driven by the energy consumption of the product over its assumed lifespan in a European grid mix.</w:t>
      </w:r>
    </w:p>
    <w:p>
      <w:pPr>
        <w:numPr>
          <w:ilvl w:val="0"/>
          <w:numId w:val="1014"/>
        </w:numPr>
        <w:pStyle w:val="Compact"/>
      </w:pPr>
      <w:r>
        <w:rPr>
          <w:bCs/>
          <w:b/>
        </w:rPr>
        <w:t xml:space="preserve">Material Acquisition &amp; Pre-processing (31.86%):</w:t>
      </w:r>
      <w:r>
        <w:t xml:space="preserve"> </w:t>
      </w:r>
      <w:r>
        <w:t xml:space="preserve">The embodied emissions in raw materials and component manufacturing represent the second-largest impact area.</w:t>
      </w:r>
    </w:p>
    <w:p>
      <w:pPr>
        <w:numPr>
          <w:ilvl w:val="0"/>
          <w:numId w:val="1014"/>
        </w:numPr>
        <w:pStyle w:val="Compact"/>
      </w:pPr>
      <w:r>
        <w:rPr>
          <w:bCs/>
          <w:b/>
        </w:rPr>
        <w:t xml:space="preserve">Manufacturing (Scope 2) (7.84%):</w:t>
      </w:r>
      <w:r>
        <w:t xml:space="preserve"> </w:t>
      </w:r>
      <w:r>
        <w:t xml:space="preserve">While not the largest, the energy consumed during production in China contributes significantly. The 50% renewable energy usage helps mitigate this impact.</w:t>
      </w:r>
    </w:p>
    <w:p>
      <w:pPr>
        <w:numPr>
          <w:ilvl w:val="0"/>
          <w:numId w:val="1014"/>
        </w:numPr>
        <w:pStyle w:val="Compact"/>
      </w:pPr>
      <w:r>
        <w:rPr>
          <w:bCs/>
          <w:b/>
        </w:rPr>
        <w:t xml:space="preserve">Transportation &amp; Distribution (4.60%):</w:t>
      </w:r>
      <w:r>
        <w:t xml:space="preserve"> </w:t>
      </w:r>
      <w:r>
        <w:t xml:space="preserve">While essential, efficient logistics choices (e.g., sea freight) keep this impact relatively lower than other phases.</w:t>
      </w:r>
    </w:p>
    <w:p>
      <w:pPr>
        <w:numPr>
          <w:ilvl w:val="0"/>
          <w:numId w:val="1014"/>
        </w:numPr>
        <w:pStyle w:val="Compact"/>
      </w:pPr>
      <w:r>
        <w:rPr>
          <w:bCs/>
          <w:b/>
        </w:rPr>
        <w:t xml:space="preserve">End-of-Life (-9.59%):</w:t>
      </w:r>
      <w:r>
        <w:t xml:space="preserve"> </w:t>
      </w:r>
      <w:r>
        <w:t xml:space="preserve">The high recyclability and circular programs result in net avoided emissions, demonstrating a positive impact from circular economy initiatives.</w:t>
      </w:r>
    </w:p>
    <w:bookmarkEnd w:id="44"/>
    <w:bookmarkStart w:id="45" w:name="recommendations-for-emission-reduction"/>
    <w:p>
      <w:pPr>
        <w:pStyle w:val="Heading3"/>
      </w:pPr>
      <w:r>
        <w:t xml:space="preserve">4.2. Recommendations for Emission Reduction</w:t>
      </w:r>
    </w:p>
    <w:p>
      <w:pPr>
        <w:pStyle w:val="FirstParagraph"/>
      </w:pPr>
      <w:r>
        <w:t xml:space="preserve">To further reduce the PCF of hoyprgpzex, jwhddqmgvw should consider the following actions:</w:t>
      </w:r>
    </w:p>
    <w:p>
      <w:pPr>
        <w:numPr>
          <w:ilvl w:val="0"/>
          <w:numId w:val="1015"/>
        </w:numPr>
        <w:pStyle w:val="Compact"/>
      </w:pPr>
      <w:r>
        <w:rPr>
          <w:bCs/>
          <w:b/>
        </w:rPr>
        <w:t xml:space="preserve">Optimize Use Phase Energy Efficiency:</w:t>
      </w:r>
      <w:r>
        <w:t xml:space="preserve"> </w:t>
      </w:r>
      <w:r>
        <w:t xml:space="preserve">Redesign the product for lower energy consumption during its operational life. Educate users on energy-efficient usage.</w:t>
      </w:r>
    </w:p>
    <w:p>
      <w:pPr>
        <w:numPr>
          <w:ilvl w:val="0"/>
          <w:numId w:val="1015"/>
        </w:numPr>
        <w:pStyle w:val="Compact"/>
      </w:pPr>
      <w:r>
        <w:rPr>
          <w:bCs/>
          <w:b/>
        </w:rPr>
        <w:t xml:space="preserve">Decarbonize Supply Chain for Materials:</w:t>
      </w:r>
      <w:r>
        <w:t xml:space="preserve"> </w:t>
      </w:r>
      <w:r>
        <w:t xml:space="preserve">Engage with suppliers to source lower-carbon materials, explore recycled content, and encourage renewable energy adoption in upstream manufacturing.</w:t>
      </w:r>
    </w:p>
    <w:p>
      <w:pPr>
        <w:numPr>
          <w:ilvl w:val="0"/>
          <w:numId w:val="1015"/>
        </w:numPr>
        <w:pStyle w:val="Compact"/>
      </w:pPr>
      <w:r>
        <w:rPr>
          <w:bCs/>
          <w:b/>
        </w:rPr>
        <w:t xml:space="preserve">Enhance Manufacturing Efficiency:</w:t>
      </w:r>
      <w:r>
        <w:t xml:space="preserve"> </w:t>
      </w:r>
      <w:r>
        <w:t xml:space="preserve">Increase renewable energy procurement beyond 50% for production facilities in China and optimize manufacturing processes to reduce energy intensity.</w:t>
      </w:r>
    </w:p>
    <w:p>
      <w:pPr>
        <w:numPr>
          <w:ilvl w:val="0"/>
          <w:numId w:val="1015"/>
        </w:numPr>
        <w:pStyle w:val="Compact"/>
      </w:pPr>
      <w:r>
        <w:rPr>
          <w:bCs/>
          <w:b/>
        </w:rPr>
        <w:t xml:space="preserve">Refine Logistics:</w:t>
      </w:r>
      <w:r>
        <w:t xml:space="preserve"> </w:t>
      </w:r>
      <w:r>
        <w:t xml:space="preserve">Continuously evaluate and optimize transport routes and modes for the lowest possible emission per tonne-kilometer. Explore electric or alternative fuel vehicles for last-mile delivery.</w:t>
      </w:r>
    </w:p>
    <w:p>
      <w:pPr>
        <w:numPr>
          <w:ilvl w:val="0"/>
          <w:numId w:val="1015"/>
        </w:numPr>
        <w:pStyle w:val="Compact"/>
      </w:pPr>
      <w:r>
        <w:rPr>
          <w:bCs/>
          <w:b/>
        </w:rPr>
        <w:t xml:space="preserve">Strengthen Circularity:</w:t>
      </w:r>
      <w:r>
        <w:t xml:space="preserve"> </w:t>
      </w:r>
      <w:r>
        <w:t xml:space="preserve">Further increase recyclability and expand take-back programs to maximize material recovery and reuse, reducing the need for virgin materials and enhancing carbon removals.</w:t>
      </w:r>
    </w:p>
    <w:bookmarkEnd w:id="45"/>
    <w:bookmarkStart w:id="46" w:name="data-reliability-and-limitations"/>
    <w:p>
      <w:pPr>
        <w:pStyle w:val="Heading3"/>
      </w:pPr>
      <w:r>
        <w:t xml:space="preserve">4.3. Data Reliability and Limitations</w:t>
      </w:r>
    </w:p>
    <w:p>
      <w:pPr>
        <w:pStyle w:val="FirstParagraph"/>
      </w:pPr>
      <w:r>
        <w:t xml:space="preserve">This report provides a robust assessment based on the GHG Protocol and available parameters. However, the accuracy of the quantitative results is influenced by the illustrative nature of several key parameters (e.g., detailed BOM, transport distances, energy consumption values) which could not be parsed as explicit numerical data. Actual "high-detail" and "high-accuracy" calculations would necessitate precise, verifiable primary data for all inputs. Secondary emission factors used are from industry-recognized sources (e.g., Ecoinvent/DEFRA averages) and are deemed reliable for illustrative purposes. Future assessments should prioritize primary data collection for all quantifiable parameters.</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hoyprgpzex</dc:title>
  <dc:creator/>
  <dc:description>Detailed Product Carbon Footprint (PCF) analysis report for hoyprgpzex by jwhddqmgvw, following GHG Protocol standards, conducted by Senior Sustainability Consultant khtzwsggtg.</dc:description>
  <dc:language>en</dc:language>
  <cp:keywords/>
  <dcterms:created xsi:type="dcterms:W3CDTF">2026-07-15T02:09:52Z</dcterms:created>
  <dcterms:modified xsi:type="dcterms:W3CDTF">2026-07-15T02:09:52Z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