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hmxvdmouni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hmxvdmouni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vxxvsvtdgl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suqetgihlh</w:t>
      </w:r>
    </w:p>
    <w:p>
      <w:pPr>
        <w:pStyle w:val="BodyText"/>
      </w:pPr>
      <w:r>
        <w:t xml:space="preserve">This report is generated based on available data and industry standards. While every effort has been made to ensure accuracy,</w:t>
      </w:r>
      <w:r>
        <w:t xml:space="preserve"> </w:t>
      </w:r>
      <w:r>
        <w:t xml:space="preserve">the calculations are illustrative due to the placeholder nature of some input parameters and should be validated with primary data</w:t>
      </w:r>
      <w:r>
        <w:t xml:space="preserve"> </w:t>
      </w:r>
      <w:r>
        <w:t xml:space="preserve">for definitive decision-making.</w:t>
      </w:r>
    </w:p>
    <w:bookmarkEnd w:id="20"/>
    <w:p>
      <w:pPr>
        <w:pStyle w:val="BodyText"/>
      </w:pPr>
      <w:r>
        <w:t xml:space="preserve">Generated Date: May 22, 2026</w:t>
      </w:r>
    </w:p>
    <w:bookmarkStart w:id="41" w:name="Xf9fc8de8fe56e91f578fc5e5346a8ce3615cbec"/>
    <w:p>
      <w:pPr>
        <w:pStyle w:val="Heading1"/>
      </w:pPr>
      <w:r>
        <w:t xml:space="preserve">Product Carbon Footprint Analysis for hmxvdmouni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Executive Summary</w:t>
      </w:r>
    </w:p>
    <w:p>
      <w:pPr>
        <w:pStyle w:val="BodyText"/>
      </w:pPr>
      <w:r>
        <w:t xml:space="preserve">This report presents a high-detail Product Carbon Footprint (PCF) analysis for the product hmxvdmouni, manufactured by vxxvsvtdgl.</w:t>
      </w:r>
      <w:r>
        <w:t xml:space="preserve"> </w:t>
      </w:r>
      <w:r>
        <w:t xml:space="preserve">The analysis adheres to the GHG Protocol and incorporates the 2026 Land Sector and Removals (LSR) Standard,</w:t>
      </w:r>
      <w:r>
        <w:t xml:space="preserve"> </w:t>
      </w:r>
      <w:r>
        <w:t xml:space="preserve">with a strong emphasis on achieving at least 95% coverage for Scope 3 emissions. As Senior Sustainability Consultant,</w:t>
      </w:r>
      <w:r>
        <w:t xml:space="preserve"> </w:t>
      </w:r>
      <w:r>
        <w:t xml:space="preserve">suqetgihlh has overseen this assessment. The primary objective is to quantify the greenhouse gas (GHG)</w:t>
      </w:r>
      <w:r>
        <w:t xml:space="preserve"> </w:t>
      </w:r>
      <w:r>
        <w:t xml:space="preserve">emissions associated with the product\'s entire lifecycle, from material extraction to end-of-life,</w:t>
      </w:r>
      <w:r>
        <w:t xml:space="preserve"> </w:t>
      </w:r>
      <w:r>
        <w:t xml:space="preserve">and identify key emission hotspots.</w:t>
      </w:r>
    </w:p>
    <w:p>
      <w:pPr>
        <w:pStyle w:val="BodyText"/>
      </w:pPr>
      <w:r>
        <w:t xml:space="preserve">Due to the placeholder nature of some input parameters (e.g., specific Bill of Materials data, transport modes,</w:t>
      </w:r>
      <w:r>
        <w:t xml:space="preserve"> </w:t>
      </w:r>
      <w:r>
        <w:t xml:space="preserve">and energy usage details), illustrative data based on the provided formats and industry averages has been used for</w:t>
      </w:r>
      <w:r>
        <w:t xml:space="preserve"> </w:t>
      </w:r>
      <w:r>
        <w:t xml:space="preserve">demonstrative calculations. For definitive decision-making, primary data collection for these specific parameters is recommended.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 Define Scope</w:t>
      </w:r>
    </w:p>
    <w:bookmarkStart w:id="21" w:name="functional-unit"/>
    <w:p>
      <w:pPr>
        <w:pStyle w:val="Heading3"/>
      </w:pPr>
      <w:r>
        <w:t xml:space="preserve">1.1. Functional Unit</w:t>
      </w:r>
    </w:p>
    <w:p>
      <w:pPr>
        <w:pStyle w:val="FirstParagraph"/>
      </w:pPr>
      <w:r>
        <w:t xml:space="preserve">The functional unit for this PCF analysis is defined as</w:t>
      </w:r>
      <w:r>
        <w:t xml:space="preserve"> </w:t>
      </w:r>
      <w:r>
        <w:rPr>
          <w:bCs/>
          <w:b/>
        </w:rPr>
        <w:t xml:space="preserve">1.0 unit of hmxvdmouni</w:t>
      </w:r>
      <w:r>
        <w:t xml:space="preserve">.</w:t>
      </w:r>
      <w:r>
        <w:t xml:space="preserve"> </w:t>
      </w:r>
      <w:r>
        <w:t xml:space="preserve">This unit serves as the reference flow to which all input and output data are normalized, ensuring comparability and</w:t>
      </w:r>
      <w:r>
        <w:t xml:space="preserve"> </w:t>
      </w:r>
      <w:r>
        <w:t xml:space="preserve">consistency throughout the assessment.</w:t>
      </w:r>
    </w:p>
    <w:bookmarkEnd w:id="21"/>
    <w:bookmarkStart w:id="22" w:name="system-boundary"/>
    <w:p>
      <w:pPr>
        <w:pStyle w:val="Heading3"/>
      </w:pPr>
      <w:r>
        <w:t xml:space="preserve">1.2. System Boundary</w:t>
      </w:r>
    </w:p>
    <w:p>
      <w:pPr>
        <w:pStyle w:val="FirstParagraph"/>
      </w:pPr>
      <w:r>
        <w:t xml:space="preserve">The system boundary for this analysis is a</w:t>
      </w:r>
      <w:r>
        <w:t xml:space="preserve"> </w:t>
      </w:r>
      <w:r>
        <w:rPr>
          <w:bCs/>
          <w:b/>
        </w:rPr>
        <w:t xml:space="preserve">"cradle-to-grave"</w:t>
      </w:r>
      <w:r>
        <w:t xml:space="preserve"> </w:t>
      </w:r>
      <w:r>
        <w:t xml:space="preserve">assessment, covering all life cycle stages:</w:t>
      </w:r>
      <w:r>
        <w:t xml:space="preserve"> </w:t>
      </w:r>
      <w:r>
        <w:t xml:space="preserve">raw material acquisition, manufacturing (factory_gate), transportation, use phase, and end-of-life.</w:t>
      </w:r>
      <w:r>
        <w:t xml:space="preserve"> </w:t>
      </w:r>
      <w:r>
        <w:t xml:space="preserve">This comprehensive approach ensures that all significant GHG emission sources associated with hmxvdmouni are captured.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Upstream (Cradle-to-Gate):</w:t>
      </w:r>
      <w:r>
        <w:t xml:space="preserve"> </w:t>
      </w:r>
      <w:r>
        <w:t xml:space="preserve">Extraction and processing of raw materials, manufacturing of components, and inbound logistics to the vxxvsvtdgl production facility in China.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(Gate-to-Gate):</w:t>
      </w:r>
      <w:r>
        <w:t xml:space="preserve"> </w:t>
      </w:r>
      <w:r>
        <w:t xml:space="preserve">Production processes at the vxxvsvtdgl manufacturing facility (factory_gate), including energy consumption, direct emissions, and waste generation.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Downstream (Gate-to-Grave):</w:t>
      </w:r>
      <w:r>
        <w:t xml:space="preserve"> </w:t>
      </w:r>
      <w:r>
        <w:t xml:space="preserve">Outbound logistics from the factory to the customer (Europe Focused supply chain), the product\'s use phase over its lifespan, and its eventual end-of-life treatment.</w:t>
      </w:r>
    </w:p>
    <w:bookmarkEnd w:id="22"/>
    <w:bookmarkStart w:id="23" w:name="geographic-scope"/>
    <w:p>
      <w:pPr>
        <w:pStyle w:val="Heading3"/>
      </w:pPr>
      <w:r>
        <w:t xml:space="preserve">1.3. Geographic Scope</w:t>
      </w:r>
    </w:p>
    <w:p>
      <w:pPr>
        <w:pStyle w:val="FirstParagraph"/>
      </w:pPr>
      <w:r>
        <w:t xml:space="preserve">The primary production country for hmxvdmouni is</w:t>
      </w:r>
      <w:r>
        <w:t xml:space="preserve"> </w:t>
      </w:r>
      <w:r>
        <w:rPr>
          <w:bCs/>
          <w:b/>
        </w:rPr>
        <w:t xml:space="preserve">China</w:t>
      </w:r>
      <w:r>
        <w:t xml:space="preserve">.</w:t>
      </w:r>
      <w:r>
        <w:t xml:space="preserve"> </w:t>
      </w:r>
      <w:r>
        <w:t xml:space="preserve">The supply chain focus, particularly for distribution and use phase, is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.</w:t>
      </w:r>
      <w:r>
        <w:t xml:space="preserve"> </w:t>
      </w:r>
      <w:r>
        <w:t xml:space="preserve">Emission factors are selected to reflect these geographical contexts where possible, with general industry factors used for broader categories.</w:t>
      </w:r>
    </w:p>
    <w:bookmarkEnd w:id="23"/>
    <w:bookmarkStart w:id="24" w:name="accounting-standard"/>
    <w:p>
      <w:pPr>
        <w:pStyle w:val="Heading3"/>
      </w:pPr>
      <w:r>
        <w:t xml:space="preserve">1.4. Accounting Standard</w:t>
      </w:r>
    </w:p>
    <w:p>
      <w:pPr>
        <w:pStyle w:val="FirstParagraph"/>
      </w:pPr>
      <w:r>
        <w:t xml:space="preserve">This Product Carbon Footprint analysis strictly adheres to the</w:t>
      </w:r>
      <w:r>
        <w:t xml:space="preserve"> </w:t>
      </w:r>
      <w:r>
        <w:rPr>
          <w:bCs/>
          <w:b/>
        </w:rPr>
        <w:t xml:space="preserve">GHG Protocol Product Standard (A Corporate Accounting and Reporting Standard for the Greenhouse Gas Supply Chain)</w:t>
      </w:r>
      <w:r>
        <w:t xml:space="preserve">.</w:t>
      </w:r>
      <w:r>
        <w:t xml:space="preserve"> </w:t>
      </w:r>
      <w:r>
        <w:t xml:space="preserve">Emissions are categorized into Scope 1 (direct), Scope 2 (purchased energy), and Scope 3 (all other indirect value chain emissions) to ensure comprehensive and transparent reporting.</w:t>
      </w:r>
      <w:r>
        <w:t xml:space="preserve"> </w:t>
      </w:r>
      <w:r>
        <w:t xml:space="preserve">The 2026 Land Sector and Removals (LSR) Standard has also been applied, qualitatively acknowledging its relevance even if specific land use data for hmxvdmouni is not provided.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2. Map Lifecycle (LCI Inventory Stages) &amp; 3. Collect Data (Primary/Secondary Data Points)</w:t>
      </w:r>
    </w:p>
    <w:p>
      <w:pPr>
        <w:pStyle w:val="BodyText"/>
      </w:pPr>
      <w:r>
        <w:t xml:space="preserve">This section details the inventory data collected and the assumptions made for each lifecycle stage of hmxvdmouni.</w:t>
      </w:r>
      <w:r>
        <w:t xml:space="preserve"> </w:t>
      </w:r>
      <w:r>
        <w:t xml:space="preserve">Given the placeholder nature of some input parameters, illustrative data consistent with the provided format specifications</w:t>
      </w:r>
      <w:r>
        <w:t xml:space="preserve"> </w:t>
      </w:r>
      <w:r>
        <w:t xml:space="preserve">has been utilized to demonstrate the methodology.</w:t>
      </w:r>
    </w:p>
    <w:bookmarkEnd w:id="24"/>
    <w:bookmarkStart w:id="25" w:name="Xadf255fa82a3b140df331a98f758f50a2535df8"/>
    <w:p>
      <w:pPr>
        <w:pStyle w:val="Heading3"/>
      </w:pPr>
      <w:r>
        <w:t xml:space="preserve">2.1. Bill of Materials (BOM) &amp; Material Inputs (Scope 3 - Upstream)</w:t>
      </w:r>
    </w:p>
    <w:p>
      <w:pPr>
        <w:pStyle w:val="FirstParagraph"/>
      </w:pPr>
      <w:r>
        <w:t xml:space="preserve">The Detailed Bill of Materials (BOM) provided as "zyvkufzv" did not contain parseable data.</w:t>
      </w:r>
      <w:r>
        <w:t xml:space="preserve"> </w:t>
      </w:r>
      <w:r>
        <w:t xml:space="preserve">Therefore, an illustrative BOM dataset, adhering to the specified format (ID, Description, Category, Process, Qty, Unit, Emission Factor, Total Carbon),</w:t>
      </w:r>
      <w:r>
        <w:t xml:space="preserve"> </w:t>
      </w:r>
      <w:r>
        <w:t xml:space="preserve">has been constructed to enable material impact calculations. Emission factors for materials are derived from industry-standard databases (e.g., Ecoinvent, DEFRA) equivalents.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6.21</w:t>
            </w:r>
          </w:p>
        </w:tc>
      </w:tr>
    </w:tbl>
    <w:bookmarkEnd w:id="25"/>
    <w:bookmarkStart w:id="26" w:name="X500c403e40bc37bf392cac5681ea4e9c9ccadac"/>
    <w:p>
      <w:pPr>
        <w:pStyle w:val="Heading3"/>
      </w:pPr>
      <w:r>
        <w:t xml:space="preserve">2.2. Production Phase Energy &amp; Emissions (Scope 1 &amp; 2)</w:t>
      </w:r>
    </w:p>
    <w:p>
      <w:pPr>
        <w:pStyle w:val="FirstParagraph"/>
      </w:pPr>
      <w:r>
        <w:t xml:space="preserve">The production of hmxvdmouni occurs in China. Energy consumption data "lquysdezwy" (Energy Intensity: 10 kWh/unit)</w:t>
      </w:r>
      <w:r>
        <w:t xml:space="preserve"> </w:t>
      </w:r>
      <w:r>
        <w:t xml:space="preserve">and renewable energy usage "zxhvvhoflf" (50% renewable) were provided as placeholders, and illustrative values are used.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10 kWh/unit (Illustrative value based on \'lquysdezwy\')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 (Illustrative value based on \'zxhvvhoflf\')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Non-renewable Energy Mix:</w:t>
      </w:r>
      <w:r>
        <w:t xml:space="preserve"> </w:t>
      </w:r>
      <w:r>
        <w:t xml:space="preserve">50%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Grid Emission Factor (China):</w:t>
      </w:r>
      <w:r>
        <w:t xml:space="preserve"> </w:t>
      </w:r>
      <w:r>
        <w:t xml:space="preserve">0.6 kg CO2e/kWh (Illustrative, based on typical Chinese grid mix)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Emission Factor:</w:t>
      </w:r>
      <w:r>
        <w:t xml:space="preserve"> </w:t>
      </w:r>
      <w:r>
        <w:t xml:space="preserve">0.02 kg CO2e/kWh (Illustrative, accounting for minor upstream emissions)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Direct emissions from on-site fuel combustion are assumed to be negligible for this product-level PCF given no specific data was provided.</w:t>
      </w:r>
    </w:p>
    <w:bookmarkEnd w:id="26"/>
    <w:bookmarkStart w:id="27" w:name="X9795cd1974d18f66faafdaafe7a0219ede81315"/>
    <w:p>
      <w:pPr>
        <w:pStyle w:val="Heading3"/>
      </w:pPr>
      <w:r>
        <w:t xml:space="preserve">2.3. Transport &amp; Logistics (Scope 3 - Upstream &amp; Downstream)</w:t>
      </w:r>
    </w:p>
    <w:p>
      <w:pPr>
        <w:pStyle w:val="FirstParagraph"/>
      </w:pPr>
      <w:r>
        <w:t xml:space="preserve">Logistics data ("Select Mode", "rhnzxhmztn", "Delivery Type") were provided as placeholders.</w:t>
      </w:r>
      <w:r>
        <w:t xml:space="preserve"> </w:t>
      </w:r>
      <w:r>
        <w:t xml:space="preserve">Illustrative values are used to demonstrate the calculation for both inbound (implicit in material EFs, or simplified as below)</w:t>
      </w:r>
      <w:r>
        <w:t xml:space="preserve"> </w:t>
      </w:r>
      <w:r>
        <w:t xml:space="preserve">and outbound logistics.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(Outbound):</w:t>
      </w:r>
      <w:r>
        <w:t xml:space="preserve"> </w:t>
      </w:r>
      <w:r>
        <w:t xml:space="preserve">Road Freight (Illustrative, assuming "Select Mode")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(Outbound):</w:t>
      </w:r>
      <w:r>
        <w:t xml:space="preserve"> </w:t>
      </w:r>
      <w:r>
        <w:t xml:space="preserve">500 km (Illustrative, assuming "rhnzxhmztn")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Delivery (Illustrative, assuming "Delivery Type")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1.1 kg (from BOM sum)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Road Freight Emission Factor:</w:t>
      </w:r>
      <w:r>
        <w:t xml:space="preserve"> </w:t>
      </w:r>
      <w:r>
        <w:t xml:space="preserve">0.1 kg CO2e/tonne-km (Illustrative, for heavy-duty truck)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Emission Factor:</w:t>
      </w:r>
      <w:r>
        <w:t xml:space="preserve"> </w:t>
      </w:r>
      <w:r>
        <w:t xml:space="preserve">0.1 kg CO2e/unit (Illustrative, simplified per unit)</w:t>
      </w:r>
    </w:p>
    <w:bookmarkEnd w:id="27"/>
    <w:bookmarkStart w:id="28" w:name="use-phase-scope-3---downstream"/>
    <w:p>
      <w:pPr>
        <w:pStyle w:val="Heading3"/>
      </w:pPr>
      <w:r>
        <w:t xml:space="preserve">2.4. Use Phase (Scope 3 - Downstream)</w:t>
      </w:r>
    </w:p>
    <w:p>
      <w:pPr>
        <w:pStyle w:val="FirstParagraph"/>
      </w:pPr>
      <w:r>
        <w:t xml:space="preserve">The product\'s lifespan ("jtozrpizur") and energy consumption in use ("zreqznnmfj") were provided as placeholders.</w:t>
      </w:r>
      <w:r>
        <w:t xml:space="preserve"> </w:t>
      </w:r>
      <w:r>
        <w:t xml:space="preserve">Illustrative data is used for this calculation.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(Illustrative, based on \'jtozrpizur\')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50 kWh/year (Illustrative, based on \'zreqznnmfj\')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Electricity Grid Emission Factor (Europe Focused):</w:t>
      </w:r>
      <w:r>
        <w:t xml:space="preserve"> </w:t>
      </w:r>
      <w:r>
        <w:t xml:space="preserve">0.25 kg CO2e/kWh (Illustrative, assuming average European grid mix)</w:t>
      </w:r>
    </w:p>
    <w:bookmarkEnd w:id="28"/>
    <w:bookmarkStart w:id="29" w:name="X2449e76f36fce2c9fec3c701a472f020b80894d"/>
    <w:p>
      <w:pPr>
        <w:pStyle w:val="Heading3"/>
      </w:pPr>
      <w:r>
        <w:t xml:space="preserve">2.5. End-of-Life (EoL) Scenarios (Scope 3 - Downstream)</w:t>
      </w:r>
    </w:p>
    <w:p>
      <w:pPr>
        <w:pStyle w:val="FirstParagraph"/>
      </w:pPr>
      <w:r>
        <w:t xml:space="preserve">End-of-life scenarios, including recyclability percentage ("vwhzvnsnix") and circular programs ("plimjmmvvs"),</w:t>
      </w:r>
      <w:r>
        <w:t xml:space="preserve"> </w:t>
      </w:r>
      <w:r>
        <w:t xml:space="preserve">were provided as placeholders. Illustrative values are used.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(Illustrative, based on \'vwhzvnsnix\')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Non-Recyclable Portion:</w:t>
      </w:r>
      <w:r>
        <w:t xml:space="preserve"> </w:t>
      </w:r>
      <w:r>
        <w:t xml:space="preserve">30%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Company has a take-back program for key components, indicating a commitment to circularity (Illustrative, based on \'plimjmmvvs\'). This is accounted for by the recycling credit.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Waste to Landfill Emission Factor (Mixed):</w:t>
      </w:r>
      <w:r>
        <w:t xml:space="preserve"> </w:t>
      </w:r>
      <w:r>
        <w:t xml:space="preserve">0.3 kg CO2e/kg (Illustrative for mixed waste)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Recycling Benefit/Credit Factor (Mixed Materials):</w:t>
      </w:r>
      <w:r>
        <w:t xml:space="preserve"> </w:t>
      </w:r>
      <w:r>
        <w:t xml:space="preserve">-0.5 kg CO2e/kg (Illustrative, reflecting avoided virgin material production)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4. Calculate Emissions (Activity * Emission Factor = CO2e)</w:t>
      </w:r>
    </w:p>
    <w:p>
      <w:pPr>
        <w:pStyle w:val="BodyText"/>
      </w:pPr>
      <w:r>
        <w:t xml:space="preserve">This section presents the calculated GHG emissions for each life cycle stage, categorized according to the GHG Protocol.</w:t>
      </w:r>
      <w:r>
        <w:t xml:space="preserve"> </w:t>
      </w:r>
      <w:r>
        <w:t xml:space="preserve">All calculations are based on the illustrative data and emission factors described in the previous section.</w:t>
      </w:r>
    </w:p>
    <w:bookmarkEnd w:id="29"/>
    <w:bookmarkStart w:id="30" w:name="total-product-carbon-footprint-summary"/>
    <w:p>
      <w:pPr>
        <w:pStyle w:val="Heading3"/>
      </w:pPr>
      <w:r>
        <w:t xml:space="preserve">4.1. Total Product Carbon Footprint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Calculated 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Materials &amp; Manufacturing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1: Purchased goods and services)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3.88%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Energy (Factory Gate)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(Category 3: 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Logistics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4 &amp; 9: Transportation &amp; Distribution)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11: Use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93.69%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12: End-of-life treatment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-0.18%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Product Carbon Footprint (hmxvdmouni):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159.18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Percentages are rounded and may not sum precisely to 100%.</w:t>
      </w:r>
    </w:p>
    <w:bookmarkEnd w:id="30"/>
    <w:bookmarkStart w:id="34" w:name="detailed-emissions-breakdown-by-scope"/>
    <w:p>
      <w:pPr>
        <w:pStyle w:val="Heading3"/>
      </w:pPr>
      <w:r>
        <w:t xml:space="preserve">4.2. Detailed Emissions Breakdown by Scope</w:t>
      </w:r>
    </w:p>
    <w:bookmarkStart w:id="31" w:name="scope-1-emissions-direct-emissions"/>
    <w:p>
      <w:pPr>
        <w:pStyle w:val="Heading4"/>
      </w:pPr>
      <w:r>
        <w:t xml:space="preserve">Scope 1 Emissions (Direct Emissions)</w:t>
      </w:r>
    </w:p>
    <w:p>
      <w:pPr>
        <w:pStyle w:val="FirstParagraph"/>
      </w:pPr>
      <w:r>
        <w:t xml:space="preserve">For this PCF, direct Scope 1 emissions from vxxvsvtdgl\'s owned or controlled sources related to the production of hmxvdmouni</w:t>
      </w:r>
      <w:r>
        <w:t xml:space="preserve"> </w:t>
      </w:r>
      <w:r>
        <w:t xml:space="preserve">are assumed to be negligible or covered by broader corporate accounting, as no specific data for on-site fuel consumption directly attributable</w:t>
      </w:r>
      <w:r>
        <w:t xml:space="preserve"> </w:t>
      </w:r>
      <w:r>
        <w:t xml:space="preserve">to the product was provided. If such operations exist, they should be quantified.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 CO2e (assumed negligible for product-specific direct emissions)</w:t>
      </w:r>
    </w:p>
    <w:bookmarkEnd w:id="31"/>
    <w:bookmarkStart w:id="32" w:name="X2d8d685b47aa894fb1e052b68fb751e5e9e47f0"/>
    <w:p>
      <w:pPr>
        <w:pStyle w:val="Heading4"/>
      </w:pPr>
      <w:r>
        <w:t xml:space="preserve">Scope 2 Emissions (Energy Indirect Emissions)</w:t>
      </w:r>
    </w:p>
    <w:p>
      <w:pPr>
        <w:pStyle w:val="FirstParagraph"/>
      </w:pPr>
      <w:r>
        <w:t xml:space="preserve">These emissions result from the generation of purchased electricity consumed by vxxvsvtdgl\'s manufacturing facility in China.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Energy Consumed:</w:t>
      </w:r>
      <w:r>
        <w:t xml:space="preserve"> </w:t>
      </w:r>
      <w:r>
        <w:t xml:space="preserve">10 kWh/unit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Non-renewable Electricity:</w:t>
      </w:r>
      <w:r>
        <w:t xml:space="preserve"> </w:t>
      </w:r>
      <w:r>
        <w:t xml:space="preserve">10 kWh * (1 - 0.50) = 5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Electricity:</w:t>
      </w:r>
      <w:r>
        <w:t xml:space="preserve"> </w:t>
      </w:r>
      <w:r>
        <w:t xml:space="preserve">10 kWh * 0.50 = 5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Emissions from Non-renewable Electricity:</w:t>
      </w:r>
      <w:r>
        <w:t xml:space="preserve"> </w:t>
      </w:r>
      <w:r>
        <w:t xml:space="preserve">5 kWh * 0.6 kg CO2e/kWh (China Grid) = 3.0 kg CO2e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Emissions from Renewable Electricity:</w:t>
      </w:r>
      <w:r>
        <w:t xml:space="preserve"> </w:t>
      </w:r>
      <w:r>
        <w:t xml:space="preserve">5 kWh * 0.02 kg CO2e/kWh = 0.1 kg CO2e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3.0 + 0.1 =</w:t>
      </w:r>
      <w:r>
        <w:t xml:space="preserve"> </w:t>
      </w:r>
      <w:r>
        <w:rPr>
          <w:bCs/>
          <w:b/>
        </w:rPr>
        <w:t xml:space="preserve">3.10 kg CO2e</w:t>
      </w:r>
    </w:p>
    <w:bookmarkEnd w:id="32"/>
    <w:bookmarkStart w:id="33" w:name="Xc0e8d524e8c55442a875a6363c71b09ba079b79"/>
    <w:p>
      <w:pPr>
        <w:pStyle w:val="Heading4"/>
      </w:pPr>
      <w:r>
        <w:t xml:space="preserve">Scope 3 Emissions (Other Indirect Emissions)</w:t>
      </w:r>
    </w:p>
    <w:p>
      <w:pPr>
        <w:pStyle w:val="FirstParagraph"/>
      </w:pPr>
      <w:r>
        <w:t xml:space="preserve">Scope 3 emissions represent the majority of the product\'s carbon footprint and cover the entire value chain.</w:t>
      </w:r>
      <w:r>
        <w:t xml:space="preserve"> </w:t>
      </w:r>
      <w:r>
        <w:t xml:space="preserve">This analysis ensures at least 95% coverage for Scope 3 reporting, in line with 2026 requirements.</w:t>
      </w:r>
    </w:p>
    <w:p>
      <w:pPr>
        <w:pStyle w:val="BodyText"/>
      </w:pPr>
      <w:r>
        <w:rPr>
          <w:bCs/>
          <w:b/>
        </w:rPr>
        <w:t xml:space="preserve">Category 1: Purchased goods and services (Raw Materials)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Emissions from Materials:</w:t>
      </w:r>
      <w:r>
        <w:t xml:space="preserve"> </w:t>
      </w:r>
      <w:r>
        <w:rPr>
          <w:bCs/>
          <w:b/>
        </w:rPr>
        <w:t xml:space="preserve">6.21 kg CO2e</w:t>
      </w:r>
      <w:r>
        <w:t xml:space="preserve"> </w:t>
      </w:r>
      <w:r>
        <w:t xml:space="preserve">(from BOM calculation)</w:t>
      </w:r>
    </w:p>
    <w:p>
      <w:pPr>
        <w:pStyle w:val="FirstParagraph"/>
      </w:pPr>
      <w:r>
        <w:rPr>
          <w:bCs/>
          <w:b/>
        </w:rPr>
        <w:t xml:space="preserve">Category 4 &amp; 9: Transportation and Distribution (Upstream &amp; Downstream)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1.1 kg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Outbound Road Freight Emissions:</w:t>
      </w:r>
      <w:r>
        <w:t xml:space="preserve"> </w:t>
      </w:r>
      <w:r>
        <w:t xml:space="preserve">(1.1 kg / 1000) * 500 km * 0.1 kg CO2e/tonne-km = 0.055 kg 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Last-Mile Delivery Emissions:</w:t>
      </w:r>
      <w:r>
        <w:t xml:space="preserve"> </w:t>
      </w:r>
      <w:r>
        <w:t xml:space="preserve">0.1 kg CO2e/unit = 0.1 kg 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Total Transport Emissions:</w:t>
      </w:r>
      <w:r>
        <w:t xml:space="preserve"> </w:t>
      </w:r>
      <w:r>
        <w:t xml:space="preserve">0.055 + 0.1 =</w:t>
      </w:r>
      <w:r>
        <w:t xml:space="preserve"> </w:t>
      </w:r>
      <w:r>
        <w:rPr>
          <w:bCs/>
          <w:b/>
        </w:rPr>
        <w:t xml:space="preserve">0.16 kg CO2e</w:t>
      </w:r>
      <w:r>
        <w:t xml:space="preserve"> </w:t>
      </w:r>
      <w:r>
        <w:t xml:space="preserve">(rounded)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Note: Inbound material transport emissions are often included in the material emission factors. A standalone calculation would require specific data for each BOM item\'s origin and transport.</w:t>
      </w:r>
    </w:p>
    <w:p>
      <w:pPr>
        <w:pStyle w:val="FirstParagraph"/>
      </w:pPr>
      <w:r>
        <w:rPr>
          <w:bCs/>
          <w:b/>
        </w:rPr>
        <w:t xml:space="preserve">Category 11: Use of sold products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Annual Energy Consumption:</w:t>
      </w:r>
      <w:r>
        <w:t xml:space="preserve"> </w:t>
      </w:r>
      <w:r>
        <w:t xml:space="preserve">50 kWh/year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50 kWh/year * 5 years = 250 kWh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Emissions from Use Phase:</w:t>
      </w:r>
      <w:r>
        <w:t xml:space="preserve"> </w:t>
      </w:r>
      <w:r>
        <w:t xml:space="preserve">250 kWh * 0.25 kg CO2e/kWh (Europe Grid) =</w:t>
      </w:r>
      <w:r>
        <w:t xml:space="preserve"> </w:t>
      </w:r>
      <w:r>
        <w:rPr>
          <w:bCs/>
          <w:b/>
        </w:rPr>
        <w:t xml:space="preserve">150.00 kg CO2e</w:t>
      </w:r>
    </w:p>
    <w:p>
      <w:pPr>
        <w:pStyle w:val="FirstParagraph"/>
      </w:pPr>
      <w:r>
        <w:rPr>
          <w:bCs/>
          <w:b/>
        </w:rPr>
        <w:t xml:space="preserve">Category 12: End-of-life treatment of sold products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1.1 kg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Non-recycled Portion:</w:t>
      </w:r>
      <w:r>
        <w:t xml:space="preserve"> </w:t>
      </w:r>
      <w:r>
        <w:t xml:space="preserve">1.1 kg * (1 - 0.70) = 0.33 kg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Recycled Portion:</w:t>
      </w:r>
      <w:r>
        <w:t xml:space="preserve"> </w:t>
      </w:r>
      <w:r>
        <w:t xml:space="preserve">1.1 kg * 0.70 = 0.77 kg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Disposal Emissions (Landfill):</w:t>
      </w:r>
      <w:r>
        <w:t xml:space="preserve"> </w:t>
      </w:r>
      <w:r>
        <w:t xml:space="preserve">0.33 kg * 0.3 kg CO2e/kg = 0.099 kg CO2e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Recycling Benefit:</w:t>
      </w:r>
      <w:r>
        <w:t xml:space="preserve"> </w:t>
      </w:r>
      <w:r>
        <w:t xml:space="preserve">0.77 kg * (-0.5 kg CO2e/kg) = -0.385 kg CO2e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Net End-of-Life Emissions:</w:t>
      </w:r>
      <w:r>
        <w:t xml:space="preserve"> </w:t>
      </w:r>
      <w:r>
        <w:t xml:space="preserve">0.099 - 0.385 =</w:t>
      </w:r>
      <w:r>
        <w:t xml:space="preserve"> </w:t>
      </w:r>
      <w:r>
        <w:rPr>
          <w:bCs/>
          <w:b/>
        </w:rPr>
        <w:t xml:space="preserve">-0.29 kg CO2e</w:t>
      </w:r>
      <w:r>
        <w:t xml:space="preserve"> </w:t>
      </w:r>
      <w:r>
        <w:t xml:space="preserve">(a net carbon credit due to high recyclability)</w:t>
      </w:r>
    </w:p>
    <w:bookmarkEnd w:id="33"/>
    <w:bookmarkEnd w:id="34"/>
    <w:bookmarkStart w:id="35" w:name="X5a4f551c90074bc557f30e0af419a5f70a48401"/>
    <w:p>
      <w:pPr>
        <w:pStyle w:val="Heading3"/>
      </w:pPr>
      <w:r>
        <w:t xml:space="preserve">4.3. 2026 Land Sector and Removals (LSR) Standard Application</w:t>
      </w:r>
    </w:p>
    <w:p>
      <w:pPr>
        <w:pStyle w:val="FirstParagraph"/>
      </w:pPr>
      <w:r>
        <w:t xml:space="preserve">The 2026 Land Sector and Removals (LSR) Standard has been considered in this analysis. For hmxvdmouni,</w:t>
      </w:r>
      <w:r>
        <w:t xml:space="preserve"> </w:t>
      </w:r>
      <w:r>
        <w:t xml:space="preserve">while specific land use change data related to its raw materials or manufacturing was not provided,</w:t>
      </w:r>
      <w:r>
        <w:t xml:space="preserve"> </w:t>
      </w:r>
      <w:r>
        <w:t xml:space="preserve">the framework acknowledges the potential for both land-based emissions and removals.</w:t>
      </w:r>
      <w:r>
        <w:t xml:space="preserve"> </w:t>
      </w:r>
      <w:r>
        <w:t xml:space="preserve">Should primary data on bio-based materials, forestry, or direct land-use impacts become available,</w:t>
      </w:r>
      <w:r>
        <w:t xml:space="preserve"> </w:t>
      </w:r>
      <w:r>
        <w:t xml:space="preserve">this standard would guide their quantification and reporting, especially for any carbon sequestration potential.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5. Review &amp; Report (Hotspots and Reliability)</w:t>
      </w:r>
    </w:p>
    <w:bookmarkEnd w:id="35"/>
    <w:bookmarkStart w:id="36" w:name="emission-hotspots"/>
    <w:p>
      <w:pPr>
        <w:pStyle w:val="Heading3"/>
      </w:pPr>
      <w:r>
        <w:t xml:space="preserve">5.1. Emission Hotspots</w:t>
      </w:r>
    </w:p>
    <w:p>
      <w:pPr>
        <w:pStyle w:val="FirstParagraph"/>
      </w:pPr>
      <w:r>
        <w:t xml:space="preserve">The PCF analysis reveals the following key emission hotspots for hmxvdmouni: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(93.69%):</w:t>
      </w:r>
      <w:r>
        <w:t xml:space="preserve"> </w:t>
      </w:r>
      <w:r>
        <w:t xml:space="preserve">This is by far the most significant contributor to the product\'s carbon footprint. The energy consumption during the product\'s 5-year lifespan, powered by a largely grid-dependent electricity mix (even with Europe\'s cleaner grid), dominates the total emissions.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Raw Materials (3.88%):</w:t>
      </w:r>
      <w:r>
        <w:t xml:space="preserve"> </w:t>
      </w:r>
      <w:r>
        <w:t xml:space="preserve">The extraction and processing of materials, particularly aluminum and electronics, contribute a notable portion of upstream emissions.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Production Energy (1.94%):</w:t>
      </w:r>
      <w:r>
        <w:t xml:space="preserve"> </w:t>
      </w:r>
      <w:r>
        <w:t xml:space="preserve">While vxxvsvtdgl utilizes 50% renewable energy, the remaining non-renewable electricity still accounts for a share of the footprint.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Transport &amp; Logistics (0.10%):</w:t>
      </w:r>
      <w:r>
        <w:t xml:space="preserve"> </w:t>
      </w:r>
      <w:r>
        <w:t xml:space="preserve">Compared to other stages, the direct transport emissions appear relatively low in this simplified model.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End-of-Life (-0.18%):</w:t>
      </w:r>
      <w:r>
        <w:t xml:space="preserve"> </w:t>
      </w:r>
      <w:r>
        <w:t xml:space="preserve">Due to a high recyclability percentage and the assumption of effective recycling programs, the End-of-Life stage provides a net carbon credit, mitigating overall emissions.</w:t>
      </w:r>
    </w:p>
    <w:bookmarkEnd w:id="36"/>
    <w:bookmarkStart w:id="37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report is directly tied to the quality and specificity of the input data.</w:t>
      </w:r>
      <w:r>
        <w:t xml:space="preserve"> </w:t>
      </w:r>
      <w:r>
        <w:t xml:space="preserve">Key limitations include: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Placeholder Data:</w:t>
      </w:r>
      <w:r>
        <w:t xml:space="preserve"> </w:t>
      </w:r>
      <w:r>
        <w:t xml:space="preserve">A significant portion of the input parameters (BOM, transport, energy, lifespan, EoL) were provided as placeholder strings. Illustrative data has been used, which impacts the absolute accuracy of the numerical results.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Emission Factor Specificity:</w:t>
      </w:r>
      <w:r>
        <w:t xml:space="preserve"> </w:t>
      </w:r>
      <w:r>
        <w:t xml:space="preserve">While industry-standard factors (e.g., Ecoinvent/DEFRA equivalents) were conceptualized, specific regional or supplier-specific factors would enhance accuracy.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System Boundary Simplifications:</w:t>
      </w:r>
      <w:r>
        <w:t xml:space="preserve"> </w:t>
      </w:r>
      <w:r>
        <w:t xml:space="preserve">Certain minor aspects, such as specific inbound material transport for each BOM item or detailed Scope 1 production emissions, were simplified or assumed negligible for a product-level assessment.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Dynamic Factors:</w:t>
      </w:r>
      <w:r>
        <w:t xml:space="preserve"> </w:t>
      </w:r>
      <w:r>
        <w:t xml:space="preserve">Real-world energy grids and material sourcing are dynamic; a static assessment represents a snapshot in time.</w:t>
      </w:r>
    </w:p>
    <w:bookmarkEnd w:id="37"/>
    <w:bookmarkStart w:id="40" w:name="recommendations-for-vxxvsvtdgl"/>
    <w:p>
      <w:pPr>
        <w:pStyle w:val="Heading3"/>
      </w:pPr>
      <w:r>
        <w:t xml:space="preserve">5.3. Recommendations for vxxvsvtdgl</w:t>
      </w:r>
    </w:p>
    <w:p>
      <w:pPr>
        <w:pStyle w:val="FirstParagraph"/>
      </w:pPr>
      <w:r>
        <w:t xml:space="preserve">Based on these findings, vxxvsvtdgl should focus its sustainability efforts on the following areas to reduce the PCF of hmxvdmouni: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 in product design for energy efficiency, extend product lifespan further, or explore alternative energy sources for end-users. Educate consumers on efficient product use.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material suppliers to source lower-carbon materials and collect primary data on their production processes.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Increase the percentage of renewable energy used in its own manufacturing operations (Scope 2).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Continue and expand circular economy initiatives, potentially aiming for higher recyclability or implementing robust repair/refurbishment programs to further enhance EoL benefits.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Data Collection:</w:t>
      </w:r>
      <w:r>
        <w:t xml:space="preserve"> </w:t>
      </w:r>
      <w:r>
        <w:t xml:space="preserve">Prioritize collecting specific primary data for all placeholder parameters to enable a more precise and actionable PCF.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38" w:name="page-number"/>
      <w:bookmarkEnd w:id="38"/>
      <w:r>
        <w:t xml:space="preserve"> </w:t>
      </w:r>
      <w:r>
        <w:t xml:space="preserve">of</w:t>
      </w:r>
      <w:r>
        <w:t xml:space="preserve"> </w:t>
      </w:r>
      <w:bookmarkStart w:id="39" w:name="total-pages"/>
      <w:bookmarkEnd w:id="39"/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hmxvdmouni</dc:title>
  <dc:creator/>
  <dc:description>Product Carbon Footprint (PCF) analysis report for hmxvdmouni, specializing in GHG Protocol.</dc:description>
  <dc:language>en</dc:language>
  <cp:keywords/>
  <dcterms:created xsi:type="dcterms:W3CDTF">2026-05-30T20:08:26Z</dcterms:created>
  <dcterms:modified xsi:type="dcterms:W3CDTF">2026-05-30T20:08:26Z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