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hkpnqnxlkt</w:t>
      </w:r>
      <w:r>
        <w:t xml:space="preserve"> </w:t>
      </w:r>
      <w:r>
        <w:t xml:space="preserve">-</w:t>
      </w:r>
      <w:r>
        <w:t xml:space="preserve"> </w:t>
      </w:r>
      <w:r>
        <w:t xml:space="preserve">xggllqvoyw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hkpnqnxlkt</w:t>
      </w:r>
    </w:p>
    <w:p>
      <w:pPr>
        <w:pStyle w:val="BodyText"/>
      </w:pPr>
      <w:r>
        <w:rPr>
          <w:bCs/>
          <w:b/>
        </w:rPr>
        <w:t xml:space="preserve">Company Name:</w:t>
      </w:r>
      <w:r>
        <w:t xml:space="preserve"> </w:t>
      </w:r>
      <w:r>
        <w:t xml:space="preserve">xggllqvoyw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gvhggtjkgl</w:t>
      </w:r>
    </w:p>
    <w:p>
      <w:pPr>
        <w:pStyle w:val="BodyText"/>
      </w:pPr>
      <w:r>
        <w:t xml:space="preserve">Disclaimer: This report is generated based on available data and industry standards, providing a high-detail analysis of the product carbon footprint. Assumptions are made where specific data points were not explicitly provided in a quantifiable format.</w:t>
      </w:r>
    </w:p>
    <w:bookmarkEnd w:id="20"/>
    <w:bookmarkStart w:id="21" w:name="X4da6cff11be3932f9dd8245f98825c53112f04d"/>
    <w:p>
      <w:pPr>
        <w:pStyle w:val="Heading1"/>
      </w:pPr>
      <w:r>
        <w:t xml:space="preserve">Product Carbon Footprint Report for hkpnqnxlkt</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hkpnqnxlkt</w:t>
      </w:r>
      <w:r>
        <w:t xml:space="preserve">, manufactured by</w:t>
      </w:r>
      <w:r>
        <w:t xml:space="preserve"> </w:t>
      </w:r>
      <w:r>
        <w:rPr>
          <w:bCs/>
          <w:b/>
        </w:rPr>
        <w:t xml:space="preserve">xggllqvoyw</w:t>
      </w:r>
      <w:r>
        <w:t xml:space="preserve">. The assessment adheres strictly to the GHG Protocol accounting standard, incorporating the latest 2026 Land Sector and Removals (LSR) Standard where applicable and ensuring at least 95% coverage for Scope 3 emissions. The analysis, performed by Senior Sustainability Consultant</w:t>
      </w:r>
      <w:r>
        <w:t xml:space="preserve"> </w:t>
      </w:r>
      <w:r>
        <w:rPr>
          <w:bCs/>
          <w:b/>
        </w:rPr>
        <w:t xml:space="preserve">gvhggtjkgl</w:t>
      </w:r>
      <w:r>
        <w:t xml:space="preserve">, covers the lifecycle from material acquisition (cradle) through manufacturing, distribution, use, and end-of-life (gate-to-grave with a focus on factory gate for system boundary and extending to use and EoL), providing a comprehensive understanding of the product\'s environmental impact in terms of greenhouse gas emissions (CO2e). Key insights identify emission hotspots and offer recommendations for reduction.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hkpnqnxlkt. This represents the quantified performance of the product for comparison and analysis.</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a "gate-to-grave" approach, with the primary calculation focused on emissions up to the</w:t>
      </w:r>
      <w:r>
        <w:t xml:space="preserve"> </w:t>
      </w:r>
      <w:r>
        <w:rPr>
          <w:bCs/>
          <w:b/>
        </w:rPr>
        <w:t xml:space="preserve">factory_gate</w:t>
      </w:r>
      <w:r>
        <w:t xml:space="preserve"> </w:t>
      </w:r>
      <w:r>
        <w:t xml:space="preserve">(cradle-to-gate) and then extended to include significant downstream emissions from transport, use, and end-of-life phases. This ensures a comprehensive understanding of the product\'s full lifecycle impact.</w:t>
      </w:r>
    </w:p>
    <w:p>
      <w:pPr>
        <w:numPr>
          <w:ilvl w:val="0"/>
          <w:numId w:val="1002"/>
        </w:numPr>
        <w:pStyle w:val="Compact"/>
      </w:pPr>
      <w:r>
        <w:t xml:space="preserve">Emissions are categorized according to the GHG Protocol:</w:t>
      </w:r>
    </w:p>
    <w:p>
      <w:pPr>
        <w:numPr>
          <w:ilvl w:val="1"/>
          <w:numId w:val="1003"/>
        </w:numPr>
        <w:pStyle w:val="Compact"/>
      </w:pPr>
      <w:r>
        <w:rPr>
          <w:bCs/>
          <w:b/>
        </w:rPr>
        <w:t xml:space="preserve">Scope 1:</w:t>
      </w:r>
      <w:r>
        <w:t xml:space="preserve"> </w:t>
      </w:r>
      <w:r>
        <w:t xml:space="preserve">Direct emissions from sources owned or controlled by xggllqvoyw (e.g., on-site manufacturing processes, company vehicles).</w:t>
      </w:r>
    </w:p>
    <w:p>
      <w:pPr>
        <w:numPr>
          <w:ilvl w:val="1"/>
          <w:numId w:val="1003"/>
        </w:numPr>
        <w:pStyle w:val="Compact"/>
      </w:pPr>
      <w:r>
        <w:rPr>
          <w:bCs/>
          <w:b/>
        </w:rPr>
        <w:t xml:space="preserve">Scope 2:</w:t>
      </w:r>
      <w:r>
        <w:t xml:space="preserve"> </w:t>
      </w:r>
      <w:r>
        <w:t xml:space="preserve">Indirect emissions from the generation of purchased electricity, heat, or steam consumed by xggllqvoyw.</w:t>
      </w:r>
    </w:p>
    <w:p>
      <w:pPr>
        <w:numPr>
          <w:ilvl w:val="1"/>
          <w:numId w:val="1003"/>
        </w:numPr>
        <w:pStyle w:val="Compact"/>
      </w:pPr>
      <w:r>
        <w:rPr>
          <w:bCs/>
          <w:b/>
        </w:rPr>
        <w:t xml:space="preserve">Scope 3:</w:t>
      </w:r>
      <w:r>
        <w:t xml:space="preserve"> </w:t>
      </w:r>
      <w:r>
        <w:t xml:space="preserve">All other indirect emissions that occur in the value chain of xggllqvoyw, both upstream and downstream (e.g., material production, transport, use-phase electricity, end-of-life treatment). A minimum of 95% coverage for Scope 3 reporting is targeted as per 2026 requirements.</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 This influences the grid electricity emission factors and local regulatory contexts.</w:t>
      </w:r>
    </w:p>
    <w:p>
      <w:pPr>
        <w:numPr>
          <w:ilvl w:val="0"/>
          <w:numId w:val="1004"/>
        </w:numPr>
        <w:pStyle w:val="Compact"/>
      </w:pPr>
      <w:r>
        <w:rPr>
          <w:bCs/>
          <w:b/>
        </w:rPr>
        <w:t xml:space="preserve">Supply Chain Focus:</w:t>
      </w:r>
      <w:r>
        <w:t xml:space="preserve"> </w:t>
      </w:r>
      <w:r>
        <w:t xml:space="preserve">Europe Focused. Upstream material sourcing and logistics are primarily considered within a European context, where relevant.</w:t>
      </w:r>
    </w:p>
    <w:bookmarkEnd w:id="25"/>
    <w:bookmarkStart w:id="26" w:name="allocation"/>
    <w:p>
      <w:pPr>
        <w:pStyle w:val="Heading3"/>
      </w:pPr>
      <w:r>
        <w:t xml:space="preserve">1.4 Allocation</w:t>
      </w:r>
    </w:p>
    <w:p>
      <w:pPr>
        <w:numPr>
          <w:ilvl w:val="0"/>
          <w:numId w:val="1005"/>
        </w:numPr>
        <w:pStyle w:val="Compact"/>
      </w:pPr>
      <w:r>
        <w:t xml:space="preserve">Mass-based allocation is applied for co-products or by-products where necessary, proportional to the mass contribution. For recycled content, the "closed-loop" approach is favored where materials maintain their properties, providing benefits at the point of substitution.</w:t>
      </w:r>
    </w:p>
    <w:p>
      <w:r>
        <w:pict>
          <v:rect style="width:0;height:1.5pt" o:hralign="center" o:hrstd="t" o:hr="t"/>
        </w:pict>
      </w:r>
    </w:p>
    <w:bookmarkEnd w:id="26"/>
    <w:bookmarkEnd w:id="27"/>
    <w:bookmarkStart w:id="29" w:name="map-lifecycle-lci-inventory-stages"/>
    <w:p>
      <w:pPr>
        <w:pStyle w:val="Heading2"/>
      </w:pPr>
      <w:r>
        <w:t xml:space="preserve">2. Map Lifecycle (LCI Inventory Stages)</w:t>
      </w:r>
    </w:p>
    <w:p>
      <w:pPr>
        <w:pStyle w:val="FirstParagraph"/>
      </w:pPr>
      <w:r>
        <w:t xml:space="preserve">The lifecycle of hkpnqnxlkt is mapped across the following stages, illustrating the flow of materials and energy:</w:t>
      </w:r>
    </w:p>
    <w:p>
      <w:pPr>
        <w:numPr>
          <w:ilvl w:val="0"/>
          <w:numId w:val="1006"/>
        </w:numPr>
        <w:pStyle w:val="Compact"/>
      </w:pPr>
      <w:r>
        <w:rPr>
          <w:bCs/>
          <w:b/>
        </w:rPr>
        <w:t xml:space="preserve">Raw Material Acquisition &amp; Pre-processing (Upstream Scope 3):</w:t>
      </w:r>
      <w:r>
        <w:t xml:space="preserve"> </w:t>
      </w:r>
      <w:r>
        <w:t xml:space="preserve">Extraction and processing of primary materials.</w:t>
      </w:r>
    </w:p>
    <w:p>
      <w:pPr>
        <w:numPr>
          <w:ilvl w:val="0"/>
          <w:numId w:val="1006"/>
        </w:numPr>
        <w:pStyle w:val="Compact"/>
      </w:pPr>
      <w:r>
        <w:rPr>
          <w:bCs/>
          <w:b/>
        </w:rPr>
        <w:t xml:space="preserve">Manufacturing (Scope 1, 2, 3):</w:t>
      </w:r>
      <w:r>
        <w:t xml:space="preserve"> </w:t>
      </w:r>
      <w:r>
        <w:t xml:space="preserve">Production of components and final assembly at xggllqvoyw\'s facility in China.</w:t>
      </w:r>
    </w:p>
    <w:p>
      <w:pPr>
        <w:numPr>
          <w:ilvl w:val="0"/>
          <w:numId w:val="1006"/>
        </w:numPr>
        <w:pStyle w:val="Compact"/>
      </w:pPr>
      <w:r>
        <w:rPr>
          <w:bCs/>
          <w:b/>
        </w:rPr>
        <w:t xml:space="preserve">Transportation (Scope 3):</w:t>
      </w:r>
      <w:r>
        <w:t xml:space="preserve"> </w:t>
      </w:r>
      <w:r>
        <w:t xml:space="preserve">Logistics from material suppliers to manufacturing, and from manufacturing to distribution hubs and end-users.</w:t>
      </w:r>
    </w:p>
    <w:p>
      <w:pPr>
        <w:numPr>
          <w:ilvl w:val="0"/>
          <w:numId w:val="1006"/>
        </w:numPr>
        <w:pStyle w:val="Compact"/>
      </w:pPr>
      <w:r>
        <w:rPr>
          <w:bCs/>
          <w:b/>
        </w:rPr>
        <w:t xml:space="preserve">Use Phase (Downstream Scope 3):</w:t>
      </w:r>
      <w:r>
        <w:t xml:space="preserve"> </w:t>
      </w:r>
      <w:r>
        <w:t xml:space="preserve">Energy consumption and other impacts during the product\'s operational life.</w:t>
      </w:r>
    </w:p>
    <w:p>
      <w:pPr>
        <w:numPr>
          <w:ilvl w:val="0"/>
          <w:numId w:val="1006"/>
        </w:numPr>
        <w:pStyle w:val="Compact"/>
      </w:pPr>
      <w:r>
        <w:rPr>
          <w:bCs/>
          <w:b/>
        </w:rPr>
        <w:t xml:space="preserve">End-of-Life (Downstream Scope 3):</w:t>
      </w:r>
      <w:r>
        <w:t xml:space="preserve"> </w:t>
      </w:r>
      <w:r>
        <w:t xml:space="preserve">Recycling, disposal, or recovery of the product and its components.</w:t>
      </w:r>
    </w:p>
    <w:bookmarkStart w:id="28" w:name="detailed-bill-of-materials-bom-breakdown"/>
    <w:p>
      <w:pPr>
        <w:pStyle w:val="Heading3"/>
      </w:pPr>
      <w:r>
        <w:t xml:space="preserve">Detailed Bill of Materials (BOM) Breakdown</w:t>
      </w:r>
    </w:p>
    <w:p>
      <w:pPr>
        <w:pStyle w:val="FirstParagraph"/>
      </w:pPr>
      <w:r>
        <w:t xml:space="preserve">The following table details the Bill of Materials (BOM) for hkpnqnxlkt (representing `rpkephui`), providing the foundation for material impact calculations. The \'Total Carbon\' values are calculated based on the provided Quantity and Emission Factor for each item, demonstrating the direct material contribution to the product\'s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Semiconductor</w:t>
            </w:r>
          </w:p>
        </w:tc>
        <w:tc>
          <w:tcPr/>
          <w:p>
            <w:pPr>
              <w:pStyle w:val="Compact"/>
              <w:jc w:val="left"/>
            </w:pPr>
            <w:r>
              <w:t xml:space="preserve">Doping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bl>
    <w:p>
      <w:r>
        <w:pict>
          <v:rect style="width:0;height:1.5pt" o:hralign="center" o:hrstd="t" o:hr="t"/>
        </w:pict>
      </w:r>
    </w:p>
    <w:bookmarkEnd w:id="28"/>
    <w:bookmarkEnd w:id="29"/>
    <w:bookmarkStart w:id="32" w:name="collect-data"/>
    <w:p>
      <w:pPr>
        <w:pStyle w:val="Heading2"/>
      </w:pPr>
      <w:r>
        <w:t xml:space="preserve">3. Collect Data</w:t>
      </w:r>
    </w:p>
    <w:p>
      <w:pPr>
        <w:pStyle w:val="FirstParagraph"/>
      </w:pPr>
      <w:r>
        <w:t xml:space="preserve">Data collection involved gathering both primary and secondary data points to ensure accuracy in the PCF calculation. Primary data was used where available (e.g., company-specific energy consumption), while secondary data (e.g., industry-average emission factors) filled gaps and provided context.</w:t>
      </w:r>
    </w:p>
    <w:bookmarkStart w:id="30" w:name="Xc9bfd2d141152edd6cfdb0a0e8eb2d6fefc0314"/>
    <w:p>
      <w:pPr>
        <w:pStyle w:val="Heading3"/>
      </w:pPr>
      <w:r>
        <w:t xml:space="preserve">3.1 Primary Data (Provided Parameters &amp; Assumptions)</w:t>
      </w:r>
    </w:p>
    <w:p>
      <w:pPr>
        <w:numPr>
          <w:ilvl w:val="0"/>
          <w:numId w:val="1007"/>
        </w:numPr>
        <w:pStyle w:val="Compact"/>
      </w:pPr>
      <w:r>
        <w:rPr>
          <w:bCs/>
          <w:b/>
        </w:rPr>
        <w:t xml:space="preserve">Detailed Bill of Materials (BOM):</w:t>
      </w:r>
      <w:r>
        <w:t xml:space="preserve"> </w:t>
      </w:r>
      <w:r>
        <w:t xml:space="preserve">The specific BOM (conceptual `rpkephui`) with materials, quantities, and emission factors as detailed in Section 2.</w:t>
      </w:r>
    </w:p>
    <w:p>
      <w:pPr>
        <w:numPr>
          <w:ilvl w:val="0"/>
          <w:numId w:val="1007"/>
        </w:numPr>
        <w:pStyle w:val="Compact"/>
      </w:pPr>
      <w:r>
        <w:rPr>
          <w:bCs/>
          <w:b/>
        </w:rPr>
        <w:t xml:space="preserve">Transport Mode:</w:t>
      </w:r>
      <w:r>
        <w:t xml:space="preserve"> </w:t>
      </w:r>
      <w:r>
        <w:t xml:space="preserve">Road Freight (Heavy Duty Truck) [Assumed from \'Select Mode\'].</w:t>
      </w:r>
    </w:p>
    <w:p>
      <w:pPr>
        <w:numPr>
          <w:ilvl w:val="0"/>
          <w:numId w:val="1007"/>
        </w:numPr>
        <w:pStyle w:val="Compact"/>
      </w:pPr>
      <w:r>
        <w:rPr>
          <w:bCs/>
          <w:b/>
        </w:rPr>
        <w:t xml:space="preserve">Transport Distance (Average):</w:t>
      </w:r>
      <w:r>
        <w:t xml:space="preserve"> </w:t>
      </w:r>
      <w:r>
        <w:t xml:space="preserve">1500 km [Assumed from \'umrtygyfyu\'].</w:t>
      </w:r>
    </w:p>
    <w:p>
      <w:pPr>
        <w:numPr>
          <w:ilvl w:val="0"/>
          <w:numId w:val="1007"/>
        </w:numPr>
        <w:pStyle w:val="Compact"/>
      </w:pPr>
      <w:r>
        <w:rPr>
          <w:bCs/>
          <w:b/>
        </w:rPr>
        <w:t xml:space="preserve">Last-Mile Delivery Channel:</w:t>
      </w:r>
      <w:r>
        <w:t xml:space="preserve"> </w:t>
      </w:r>
      <w:r>
        <w:t xml:space="preserve">Parcel Van [Assumed from \'Delivery Type\'].</w:t>
      </w:r>
    </w:p>
    <w:p>
      <w:pPr>
        <w:numPr>
          <w:ilvl w:val="0"/>
          <w:numId w:val="1007"/>
        </w:numPr>
        <w:pStyle w:val="Compact"/>
      </w:pPr>
      <w:r>
        <w:rPr>
          <w:bCs/>
          <w:b/>
        </w:rPr>
        <w:t xml:space="preserve">Renewable Energy Usage (Production):</w:t>
      </w:r>
      <w:r>
        <w:t xml:space="preserve"> </w:t>
      </w:r>
      <w:r>
        <w:t xml:space="preserve">70% [Assumed from \'wsgspmpher\'].</w:t>
      </w:r>
    </w:p>
    <w:p>
      <w:pPr>
        <w:numPr>
          <w:ilvl w:val="0"/>
          <w:numId w:val="1007"/>
        </w:numPr>
        <w:pStyle w:val="Compact"/>
      </w:pPr>
      <w:r>
        <w:rPr>
          <w:bCs/>
          <w:b/>
        </w:rPr>
        <w:t xml:space="preserve">Energy Intensity (Production):</w:t>
      </w:r>
      <w:r>
        <w:t xml:space="preserve"> </w:t>
      </w:r>
      <w:r>
        <w:t xml:space="preserve">120 kWh/unit [Assumed from \'htnwidhpqk\'].</w:t>
      </w:r>
    </w:p>
    <w:p>
      <w:pPr>
        <w:numPr>
          <w:ilvl w:val="0"/>
          <w:numId w:val="1007"/>
        </w:numPr>
        <w:pStyle w:val="Compact"/>
      </w:pPr>
      <w:r>
        <w:rPr>
          <w:bCs/>
          <w:b/>
        </w:rPr>
        <w:t xml:space="preserve">Product Lifespan:</w:t>
      </w:r>
      <w:r>
        <w:t xml:space="preserve"> </w:t>
      </w:r>
      <w:r>
        <w:t xml:space="preserve">5 years [Assumed from \'kxugnioyis\'].</w:t>
      </w:r>
    </w:p>
    <w:p>
      <w:pPr>
        <w:numPr>
          <w:ilvl w:val="0"/>
          <w:numId w:val="1007"/>
        </w:numPr>
        <w:pStyle w:val="Compact"/>
      </w:pPr>
      <w:r>
        <w:rPr>
          <w:bCs/>
          <w:b/>
        </w:rPr>
        <w:t xml:space="preserve">Energy Consumption in Use Phase (Annual):</w:t>
      </w:r>
      <w:r>
        <w:t xml:space="preserve"> </w:t>
      </w:r>
      <w:r>
        <w:t xml:space="preserve">80 kWh/year [Assumed from \'fhwhwhsjod\'].</w:t>
      </w:r>
    </w:p>
    <w:p>
      <w:pPr>
        <w:numPr>
          <w:ilvl w:val="0"/>
          <w:numId w:val="1007"/>
        </w:numPr>
        <w:pStyle w:val="Compact"/>
      </w:pPr>
      <w:r>
        <w:rPr>
          <w:bCs/>
          <w:b/>
        </w:rPr>
        <w:t xml:space="preserve">Recyclability Percentage:</w:t>
      </w:r>
      <w:r>
        <w:t xml:space="preserve"> </w:t>
      </w:r>
      <w:r>
        <w:t xml:space="preserve">60% [Assumed from \'iizseuivrt\'].</w:t>
      </w:r>
    </w:p>
    <w:p>
      <w:pPr>
        <w:numPr>
          <w:ilvl w:val="0"/>
          <w:numId w:val="1007"/>
        </w:numPr>
        <w:pStyle w:val="Compact"/>
      </w:pPr>
      <w:r>
        <w:rPr>
          <w:bCs/>
          <w:b/>
        </w:rPr>
        <w:t xml:space="preserve">Circular/Take-back Programs:</w:t>
      </w:r>
      <w:r>
        <w:t xml:space="preserve"> </w:t>
      </w:r>
      <w:r>
        <w:t xml:space="preserve">Established Product Take-back Scheme with Material Sorting [Assumed from \'nxdjrvnorz\'].</w:t>
      </w:r>
    </w:p>
    <w:bookmarkEnd w:id="30"/>
    <w:bookmarkStart w:id="31" w:name="X0dc515c92b44c0db47ea21f4b72f6f0bf4ce332"/>
    <w:p>
      <w:pPr>
        <w:pStyle w:val="Heading3"/>
      </w:pPr>
      <w:r>
        <w:t xml:space="preserve">3.2 Secondary Data (Illustrative Emission Factors)</w:t>
      </w:r>
    </w:p>
    <w:p>
      <w:pPr>
        <w:pStyle w:val="FirstParagraph"/>
      </w:pPr>
      <w:r>
        <w:t xml:space="preserve">Industry-standard emission factors, typically sourced from databases like Ecoinvent or DEFRA, are crucial for calculating CO2e emissions from various activities. For this report, illustrative emission factors are used as specific database access is not available:</w:t>
      </w:r>
    </w:p>
    <w:p>
      <w:pPr>
        <w:numPr>
          <w:ilvl w:val="0"/>
          <w:numId w:val="1008"/>
        </w:numPr>
        <w:pStyle w:val="Compact"/>
      </w:pPr>
      <w:r>
        <w:rPr>
          <w:bCs/>
          <w:b/>
        </w:rPr>
        <w:t xml:space="preserve">Electricity Grid Mix (China, non-renewable portion):</w:t>
      </w:r>
      <w:r>
        <w:t xml:space="preserve"> </w:t>
      </w:r>
      <w:r>
        <w:t xml:space="preserve">0.6 kg CO2e/kWh (illustrative).</w:t>
      </w:r>
    </w:p>
    <w:p>
      <w:pPr>
        <w:numPr>
          <w:ilvl w:val="0"/>
          <w:numId w:val="1008"/>
        </w:numPr>
        <w:pStyle w:val="Compact"/>
      </w:pPr>
      <w:r>
        <w:rPr>
          <w:bCs/>
          <w:b/>
        </w:rPr>
        <w:t xml:space="preserve">Road Freight (Heavy Duty Truck):</w:t>
      </w:r>
      <w:r>
        <w:t xml:space="preserve"> </w:t>
      </w:r>
      <w:r>
        <w:t xml:space="preserve">0.09 kg CO2e per tonne-km (tkm) (illustrative).</w:t>
      </w:r>
    </w:p>
    <w:p>
      <w:pPr>
        <w:numPr>
          <w:ilvl w:val="0"/>
          <w:numId w:val="1008"/>
        </w:numPr>
        <w:pStyle w:val="Compact"/>
      </w:pPr>
      <w:r>
        <w:rPr>
          <w:bCs/>
          <w:b/>
        </w:rPr>
        <w:t xml:space="preserve">Parcel Van (Last-Mile):</w:t>
      </w:r>
      <w:r>
        <w:t xml:space="preserve"> </w:t>
      </w:r>
      <w:r>
        <w:t xml:space="preserve">0.3 kg CO2e/km (illustrative).</w:t>
      </w:r>
    </w:p>
    <w:p>
      <w:pPr>
        <w:numPr>
          <w:ilvl w:val="0"/>
          <w:numId w:val="1008"/>
        </w:numPr>
        <w:pStyle w:val="Compact"/>
      </w:pPr>
      <w:r>
        <w:rPr>
          <w:bCs/>
          <w:b/>
        </w:rPr>
        <w:t xml:space="preserve">End-of-Life - Recycling Credit (Metal/Plastic):</w:t>
      </w:r>
      <w:r>
        <w:t xml:space="preserve"> </w:t>
      </w:r>
      <w:r>
        <w:t xml:space="preserve">-0.5 kg CO2e/kg (illustrative credit for avoided virgin material production).</w:t>
      </w:r>
    </w:p>
    <w:p>
      <w:pPr>
        <w:numPr>
          <w:ilvl w:val="0"/>
          <w:numId w:val="1008"/>
        </w:numPr>
        <w:pStyle w:val="Compact"/>
      </w:pPr>
      <w:r>
        <w:rPr>
          <w:bCs/>
          <w:b/>
        </w:rPr>
        <w:t xml:space="preserve">End-of-Life - Landfill/Incineration:</w:t>
      </w:r>
      <w:r>
        <w:t xml:space="preserve"> </w:t>
      </w:r>
      <w:r>
        <w:t xml:space="preserve">+2.0 kg CO2e/kg (illustrative for non-recycled waste).</w:t>
      </w:r>
    </w:p>
    <w:p>
      <w:pPr>
        <w:numPr>
          <w:ilvl w:val="0"/>
          <w:numId w:val="1008"/>
        </w:numPr>
        <w:pStyle w:val="Compact"/>
      </w:pPr>
      <w:r>
        <w:rPr>
          <w:bCs/>
          <w:b/>
        </w:rPr>
        <w:t xml:space="preserve">Product Weight for Transport:</w:t>
      </w:r>
      <w:r>
        <w:t xml:space="preserve"> </w:t>
      </w:r>
      <w:r>
        <w:t xml:space="preserve">Based on BOM materials, total raw material weight is 2.5 + 1.2 + 0.05 + 0.3 = 4.05 kg. Let\'s assume the finished product weight is approximately 5 kg for transport calculations, accounting for some assembly components.</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the corresponding emission factors. All emissions are expressed in kilograms of Carbon Dioxide Equivalent (kg CO2e).</w:t>
      </w:r>
    </w:p>
    <w:bookmarkStart w:id="34" w:name="upstream-emissions-scope-3"/>
    <w:p>
      <w:pPr>
        <w:pStyle w:val="Heading3"/>
      </w:pPr>
      <w:r>
        <w:t xml:space="preserve">4.1 Upstream Emissions (Scope 3)</w:t>
      </w:r>
    </w:p>
    <w:bookmarkStart w:id="33" w:name="material-acquisition-pre-processing"/>
    <w:p>
      <w:pPr>
        <w:pStyle w:val="Heading4"/>
      </w:pPr>
      <w:r>
        <w:t xml:space="preserve">4.1.1 Material Acquisition &amp; Pre-processing</w:t>
      </w:r>
    </w:p>
    <w:p>
      <w:pPr>
        <w:pStyle w:val="FirstParagraph"/>
      </w:pPr>
      <w:r>
        <w:t xml:space="preserve">Based on the provided BOM (conceptual `rpkephui`):</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Aluminium Alloy</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Silicon Wafer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Copper Wire</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w:t>
            </w:r>
          </w:p>
        </w:tc>
      </w:tr>
      <w:tr>
        <w:tc>
          <w:tcPr/>
          <w:p>
            <w:pPr>
              <w:pStyle w:val="Compact"/>
              <w:jc w:val="left"/>
            </w:pPr>
            <w:r>
              <w:t xml:space="preserve">Printed Circuit Board</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gridSpan w:val="4"/>
          </w:tcPr>
          <w:p>
            <w:pPr>
              <w:pStyle w:val="Compact"/>
              <w:jc w:val="right"/>
            </w:pPr>
            <w:r>
              <w:rPr>
                <w:bCs/>
                <w:b/>
              </w:rPr>
              <w:t xml:space="preserve">Total Material CO2e:</w:t>
            </w:r>
          </w:p>
        </w:tc>
        <w:tc>
          <w:tcPr/>
          <w:p>
            <w:pPr>
              <w:pStyle w:val="Compact"/>
              <w:jc w:val="left"/>
            </w:pPr>
            <w:r>
              <w:rPr>
                <w:bCs/>
                <w:b/>
              </w:rPr>
              <w:t xml:space="preserve">28.15 kg</w:t>
            </w:r>
          </w:p>
        </w:tc>
      </w:tr>
    </w:tbl>
    <w:p>
      <w:pPr>
        <w:pStyle w:val="BodyText"/>
      </w:pPr>
      <w:r>
        <w:t xml:space="preserve">Total Material Acquisition &amp; Pre-processing (Scope 3, Category 1) = 28.15 kg CO2e</w:t>
      </w:r>
    </w:p>
    <w:bookmarkEnd w:id="33"/>
    <w:bookmarkEnd w:id="34"/>
    <w:bookmarkStart w:id="36" w:name="core-emissions-scope-1-2"/>
    <w:p>
      <w:pPr>
        <w:pStyle w:val="Heading3"/>
      </w:pPr>
      <w:r>
        <w:t xml:space="preserve">4.2 Core Emissions (Scope 1 &amp; 2)</w:t>
      </w:r>
    </w:p>
    <w:bookmarkStart w:id="35" w:name="manufacturing-production-phase"/>
    <w:p>
      <w:pPr>
        <w:pStyle w:val="Heading4"/>
      </w:pPr>
      <w:r>
        <w:t xml:space="preserve">4.2.1 Manufacturing (Production Phase)</w:t>
      </w:r>
    </w:p>
    <w:p>
      <w:pPr>
        <w:numPr>
          <w:ilvl w:val="0"/>
          <w:numId w:val="1009"/>
        </w:numPr>
        <w:pStyle w:val="Compact"/>
      </w:pPr>
      <w:r>
        <w:rPr>
          <w:bCs/>
          <w:b/>
        </w:rPr>
        <w:t xml:space="preserve">Energy Intensity:</w:t>
      </w:r>
      <w:r>
        <w:t xml:space="preserve"> </w:t>
      </w:r>
      <w:r>
        <w:t xml:space="preserve">120 kWh/unit (`htnwidhpqk`)</w:t>
      </w:r>
    </w:p>
    <w:p>
      <w:pPr>
        <w:numPr>
          <w:ilvl w:val="0"/>
          <w:numId w:val="1009"/>
        </w:numPr>
        <w:pStyle w:val="Compact"/>
      </w:pPr>
      <w:r>
        <w:rPr>
          <w:bCs/>
          <w:b/>
        </w:rPr>
        <w:t xml:space="preserve">Renewable Energy Usage:</w:t>
      </w:r>
      <w:r>
        <w:t xml:space="preserve"> </w:t>
      </w:r>
      <w:r>
        <w:t xml:space="preserve">70% (`wsgspmpher`)</w:t>
      </w:r>
    </w:p>
    <w:p>
      <w:pPr>
        <w:numPr>
          <w:ilvl w:val="0"/>
          <w:numId w:val="1009"/>
        </w:numPr>
        <w:pStyle w:val="Compact"/>
      </w:pPr>
      <w:r>
        <w:rPr>
          <w:bCs/>
          <w:b/>
        </w:rPr>
        <w:t xml:space="preserve">Non-Renewable Energy:</w:t>
      </w:r>
      <w:r>
        <w:t xml:space="preserve"> </w:t>
      </w:r>
      <w:r>
        <w:t xml:space="preserve">120 kWh/unit * (1 - 0.70) = 36 kWh/unit</w:t>
      </w:r>
    </w:p>
    <w:p>
      <w:pPr>
        <w:numPr>
          <w:ilvl w:val="0"/>
          <w:numId w:val="1009"/>
        </w:numPr>
        <w:pStyle w:val="Compact"/>
      </w:pPr>
      <w:r>
        <w:rPr>
          <w:bCs/>
          <w:b/>
        </w:rPr>
        <w:t xml:space="preserve">Electricity Emission Factor (China Grid, non-renewable):</w:t>
      </w:r>
      <w:r>
        <w:t xml:space="preserve"> </w:t>
      </w:r>
      <w:r>
        <w:t xml:space="preserve">0.6 kg CO2e/kWh</w:t>
      </w:r>
    </w:p>
    <w:p>
      <w:pPr>
        <w:numPr>
          <w:ilvl w:val="0"/>
          <w:numId w:val="1009"/>
        </w:numPr>
        <w:pStyle w:val="Compact"/>
      </w:pPr>
      <w:r>
        <w:rPr>
          <w:bCs/>
          <w:b/>
        </w:rPr>
        <w:t xml:space="preserve">Emissions from Purchased Electricity (Scope 2):</w:t>
      </w:r>
      <w:r>
        <w:t xml:space="preserve"> </w:t>
      </w:r>
      <w:r>
        <w:t xml:space="preserve">36 kWh/unit * 0.6 kg CO2e/kWh = 21.6 kg CO2e</w:t>
      </w:r>
    </w:p>
    <w:p>
      <w:pPr>
        <w:numPr>
          <w:ilvl w:val="0"/>
          <w:numId w:val="1009"/>
        </w:numPr>
        <w:pStyle w:val="Compact"/>
      </w:pPr>
      <w:r>
        <w:rPr>
          <w:bCs/>
          <w:b/>
        </w:rPr>
        <w:t xml:space="preserve">Scope 1 Emissions:</w:t>
      </w:r>
      <w:r>
        <w:t xml:space="preserve"> </w:t>
      </w:r>
      <w:r>
        <w:t xml:space="preserve">(Assumed negligible direct emissions for this analysis without further data, e.g., on-site fuel combustion. In a real scenario, this would include company-owned fleet or direct process emissions.) = 0 kg CO2e (for illustrative purposes)</w:t>
      </w:r>
    </w:p>
    <w:p>
      <w:pPr>
        <w:pStyle w:val="FirstParagraph"/>
      </w:pPr>
      <w:r>
        <w:t xml:space="preserve">Total Manufacturing Emissions = 21.6 kg CO2e (Primarily Scope 2)</w:t>
      </w:r>
    </w:p>
    <w:bookmarkEnd w:id="35"/>
    <w:bookmarkEnd w:id="36"/>
    <w:bookmarkStart w:id="40" w:name="downstream-emissions-scope-3"/>
    <w:p>
      <w:pPr>
        <w:pStyle w:val="Heading3"/>
      </w:pPr>
      <w:r>
        <w:t xml:space="preserve">4.3 Downstream Emissions (Scope 3)</w:t>
      </w:r>
    </w:p>
    <w:bookmarkStart w:id="37" w:name="transportation-and-distribution"/>
    <w:p>
      <w:pPr>
        <w:pStyle w:val="Heading4"/>
      </w:pPr>
      <w:r>
        <w:t xml:space="preserve">4.3.1 Transportation and Distribution</w:t>
      </w:r>
    </w:p>
    <w:p>
      <w:pPr>
        <w:numPr>
          <w:ilvl w:val="0"/>
          <w:numId w:val="1010"/>
        </w:numPr>
        <w:pStyle w:val="Compact"/>
      </w:pPr>
      <w:r>
        <w:rPr>
          <w:bCs/>
          <w:b/>
        </w:rPr>
        <w:t xml:space="preserve">Product Weight:</w:t>
      </w:r>
      <w:r>
        <w:t xml:space="preserve"> </w:t>
      </w:r>
      <w:r>
        <w:t xml:space="preserve">5 kg (assumed)</w:t>
      </w:r>
    </w:p>
    <w:p>
      <w:pPr>
        <w:numPr>
          <w:ilvl w:val="0"/>
          <w:numId w:val="1010"/>
        </w:numPr>
        <w:pStyle w:val="Compact"/>
      </w:pPr>
      <w:r>
        <w:rPr>
          <w:bCs/>
          <w:b/>
        </w:rPr>
        <w:t xml:space="preserve">Transport Mode:</w:t>
      </w:r>
      <w:r>
        <w:t xml:space="preserve"> </w:t>
      </w:r>
      <w:r>
        <w:t xml:space="preserve">Road Freight (Heavy Duty Truck)</w:t>
      </w:r>
    </w:p>
    <w:p>
      <w:pPr>
        <w:numPr>
          <w:ilvl w:val="0"/>
          <w:numId w:val="1010"/>
        </w:numPr>
        <w:pStyle w:val="Compact"/>
      </w:pPr>
      <w:r>
        <w:rPr>
          <w:bCs/>
          <w:b/>
        </w:rPr>
        <w:t xml:space="preserve">Transport Distance:</w:t>
      </w:r>
      <w:r>
        <w:t xml:space="preserve"> </w:t>
      </w:r>
      <w:r>
        <w:t xml:space="preserve">1500 km</w:t>
      </w:r>
    </w:p>
    <w:p>
      <w:pPr>
        <w:numPr>
          <w:ilvl w:val="0"/>
          <w:numId w:val="1010"/>
        </w:numPr>
        <w:pStyle w:val="Compact"/>
      </w:pPr>
      <w:r>
        <w:rPr>
          <w:bCs/>
          <w:b/>
        </w:rPr>
        <w:t xml:space="preserve">Emission Factor (Road Freight):</w:t>
      </w:r>
      <w:r>
        <w:t xml:space="preserve"> </w:t>
      </w:r>
      <w:r>
        <w:t xml:space="preserve">0.09 kg CO2e/tkm (0.00009 kg CO2e/kg.km)</w:t>
      </w:r>
    </w:p>
    <w:p>
      <w:pPr>
        <w:numPr>
          <w:ilvl w:val="0"/>
          <w:numId w:val="1010"/>
        </w:numPr>
        <w:pStyle w:val="Compact"/>
      </w:pPr>
      <w:r>
        <w:rPr>
          <w:bCs/>
          <w:b/>
        </w:rPr>
        <w:t xml:space="preserve">Freight Emissions:</w:t>
      </w:r>
      <w:r>
        <w:t xml:space="preserve"> </w:t>
      </w:r>
      <w:r>
        <w:t xml:space="preserve">5 kg * 1500 km * 0.00009 kg CO2e/kg.km = 0.675 kg CO2e</w:t>
      </w:r>
    </w:p>
    <w:p>
      <w:pPr>
        <w:numPr>
          <w:ilvl w:val="0"/>
          <w:numId w:val="1010"/>
        </w:numPr>
        <w:pStyle w:val="Compact"/>
      </w:pPr>
      <w:r>
        <w:rPr>
          <w:bCs/>
          <w:b/>
        </w:rPr>
        <w:t xml:space="preserve">Last-Mile Delivery Channel:</w:t>
      </w:r>
      <w:r>
        <w:t xml:space="preserve"> </w:t>
      </w:r>
      <w:r>
        <w:t xml:space="preserve">Parcel Van</w:t>
      </w:r>
    </w:p>
    <w:p>
      <w:pPr>
        <w:numPr>
          <w:ilvl w:val="0"/>
          <w:numId w:val="1010"/>
        </w:numPr>
        <w:pStyle w:val="Compact"/>
      </w:pPr>
      <w:r>
        <w:rPr>
          <w:bCs/>
          <w:b/>
        </w:rPr>
        <w:t xml:space="preserve">Last-Mile Distance (assumed average):</w:t>
      </w:r>
      <w:r>
        <w:t xml:space="preserve"> </w:t>
      </w:r>
      <w:r>
        <w:t xml:space="preserve">50 km</w:t>
      </w:r>
    </w:p>
    <w:p>
      <w:pPr>
        <w:numPr>
          <w:ilvl w:val="0"/>
          <w:numId w:val="1010"/>
        </w:numPr>
        <w:pStyle w:val="Compact"/>
      </w:pPr>
      <w:r>
        <w:rPr>
          <w:bCs/>
          <w:b/>
        </w:rPr>
        <w:t xml:space="preserve">Emission Factor (Parcel Van):</w:t>
      </w:r>
      <w:r>
        <w:t xml:space="preserve"> </w:t>
      </w:r>
      <w:r>
        <w:t xml:space="preserve">0.3 kg CO2e/km</w:t>
      </w:r>
    </w:p>
    <w:p>
      <w:pPr>
        <w:numPr>
          <w:ilvl w:val="0"/>
          <w:numId w:val="1010"/>
        </w:numPr>
        <w:pStyle w:val="Compact"/>
      </w:pPr>
      <w:r>
        <w:rPr>
          <w:bCs/>
          <w:b/>
        </w:rPr>
        <w:t xml:space="preserve">Last-Mile Emissions:</w:t>
      </w:r>
      <w:r>
        <w:t xml:space="preserve"> </w:t>
      </w:r>
      <w:r>
        <w:t xml:space="preserve">50 km * 0.3 kg CO2e/km = 15.0 kg CO2e</w:t>
      </w:r>
    </w:p>
    <w:p>
      <w:pPr>
        <w:pStyle w:val="FirstParagraph"/>
      </w:pPr>
      <w:r>
        <w:t xml:space="preserve">Total Transport &amp; Distribution (Scope 3, Category 4) = 0.675 kg CO2e + 15.0 kg CO2e = 15.675 kg CO2e</w:t>
      </w:r>
    </w:p>
    <w:bookmarkEnd w:id="37"/>
    <w:bookmarkStart w:id="38" w:name="use-phase"/>
    <w:p>
      <w:pPr>
        <w:pStyle w:val="Heading4"/>
      </w:pPr>
      <w:r>
        <w:t xml:space="preserve">4.3.2 Use Phase</w:t>
      </w:r>
    </w:p>
    <w:p>
      <w:pPr>
        <w:numPr>
          <w:ilvl w:val="0"/>
          <w:numId w:val="1011"/>
        </w:numPr>
        <w:pStyle w:val="Compact"/>
      </w:pPr>
      <w:r>
        <w:rPr>
          <w:bCs/>
          <w:b/>
        </w:rPr>
        <w:t xml:space="preserve">Product Lifespan:</w:t>
      </w:r>
      <w:r>
        <w:t xml:space="preserve"> </w:t>
      </w:r>
      <w:r>
        <w:t xml:space="preserve">5 years (`kxugnioyis`)</w:t>
      </w:r>
    </w:p>
    <w:p>
      <w:pPr>
        <w:numPr>
          <w:ilvl w:val="0"/>
          <w:numId w:val="1011"/>
        </w:numPr>
        <w:pStyle w:val="Compact"/>
      </w:pPr>
      <w:r>
        <w:rPr>
          <w:bCs/>
          <w:b/>
        </w:rPr>
        <w:t xml:space="preserve">Energy Consumption in Use (Annual):</w:t>
      </w:r>
      <w:r>
        <w:t xml:space="preserve"> </w:t>
      </w:r>
      <w:r>
        <w:t xml:space="preserve">80 kWh/year (`fhwhwhsjod`)</w:t>
      </w:r>
    </w:p>
    <w:p>
      <w:pPr>
        <w:numPr>
          <w:ilvl w:val="0"/>
          <w:numId w:val="1011"/>
        </w:numPr>
        <w:pStyle w:val="Compact"/>
      </w:pPr>
      <w:r>
        <w:rPr>
          <w:bCs/>
          <w:b/>
        </w:rPr>
        <w:t xml:space="preserve">Total Energy Consumption over Lifespan:</w:t>
      </w:r>
      <w:r>
        <w:t xml:space="preserve"> </w:t>
      </w:r>
      <w:r>
        <w:t xml:space="preserve">80 kWh/year * 5 years = 400 kWh</w:t>
      </w:r>
    </w:p>
    <w:p>
      <w:pPr>
        <w:numPr>
          <w:ilvl w:val="0"/>
          <w:numId w:val="1011"/>
        </w:numPr>
        <w:pStyle w:val="Compact"/>
      </w:pPr>
      <w:r>
        <w:rPr>
          <w:bCs/>
          <w:b/>
        </w:rPr>
        <w:t xml:space="preserve">Electricity Emission Factor (User\'s Grid Mix - assumed average global):</w:t>
      </w:r>
      <w:r>
        <w:t xml:space="preserve"> </w:t>
      </w:r>
      <w:r>
        <w:t xml:space="preserve">0.5 kg CO2e/kWh (illustrative, varies by region)</w:t>
      </w:r>
    </w:p>
    <w:p>
      <w:pPr>
        <w:numPr>
          <w:ilvl w:val="0"/>
          <w:numId w:val="1011"/>
        </w:numPr>
        <w:pStyle w:val="Compact"/>
      </w:pPr>
      <w:r>
        <w:rPr>
          <w:bCs/>
          <w:b/>
        </w:rPr>
        <w:t xml:space="preserve">Use Phase Emissions:</w:t>
      </w:r>
      <w:r>
        <w:t xml:space="preserve"> </w:t>
      </w:r>
      <w:r>
        <w:t xml:space="preserve">400 kWh * 0.5 kg CO2e/kWh = 200.0 kg CO2e</w:t>
      </w:r>
    </w:p>
    <w:p>
      <w:pPr>
        <w:pStyle w:val="FirstParagraph"/>
      </w:pPr>
      <w:r>
        <w:t xml:space="preserve">Total Use Phase Emissions (Scope 3, Category 11) = 200.0 kg CO2e</w:t>
      </w:r>
    </w:p>
    <w:bookmarkEnd w:id="38"/>
    <w:bookmarkStart w:id="39" w:name="end-of-life-eol-treatment"/>
    <w:p>
      <w:pPr>
        <w:pStyle w:val="Heading4"/>
      </w:pPr>
      <w:r>
        <w:t xml:space="preserve">4.3.3 End-of-Life (EoL) Treatment</w:t>
      </w:r>
    </w:p>
    <w:p>
      <w:pPr>
        <w:numPr>
          <w:ilvl w:val="0"/>
          <w:numId w:val="1012"/>
        </w:numPr>
        <w:pStyle w:val="Compact"/>
      </w:pPr>
      <w:r>
        <w:rPr>
          <w:bCs/>
          <w:b/>
        </w:rPr>
        <w:t xml:space="preserve">Recyclability Percentage:</w:t>
      </w:r>
      <w:r>
        <w:t xml:space="preserve"> </w:t>
      </w:r>
      <w:r>
        <w:t xml:space="preserve">60% (`iizseuivrt`)</w:t>
      </w:r>
    </w:p>
    <w:p>
      <w:pPr>
        <w:numPr>
          <w:ilvl w:val="0"/>
          <w:numId w:val="1012"/>
        </w:numPr>
        <w:pStyle w:val="Compact"/>
      </w:pPr>
      <w:r>
        <w:rPr>
          <w:bCs/>
          <w:b/>
        </w:rPr>
        <w:t xml:space="preserve">Circular/Take-back Programs:</w:t>
      </w:r>
      <w:r>
        <w:t xml:space="preserve"> </w:t>
      </w:r>
      <w:r>
        <w:t xml:space="preserve">Established Product Take-back Scheme with Material Sorting (`nxdjrvnorz`)</w:t>
      </w:r>
    </w:p>
    <w:p>
      <w:pPr>
        <w:numPr>
          <w:ilvl w:val="0"/>
          <w:numId w:val="1012"/>
        </w:numPr>
        <w:pStyle w:val="Compact"/>
      </w:pPr>
      <w:r>
        <w:rPr>
          <w:bCs/>
          <w:b/>
        </w:rPr>
        <w:t xml:space="preserve">Total Product Weight:</w:t>
      </w:r>
      <w:r>
        <w:t xml:space="preserve"> </w:t>
      </w:r>
      <w:r>
        <w:t xml:space="preserve">5 kg</w:t>
      </w:r>
    </w:p>
    <w:p>
      <w:pPr>
        <w:numPr>
          <w:ilvl w:val="0"/>
          <w:numId w:val="1012"/>
        </w:numPr>
        <w:pStyle w:val="Compact"/>
      </w:pPr>
      <w:r>
        <w:rPr>
          <w:bCs/>
          <w:b/>
        </w:rPr>
        <w:t xml:space="preserve">Weight Recycled:</w:t>
      </w:r>
      <w:r>
        <w:t xml:space="preserve"> </w:t>
      </w:r>
      <w:r>
        <w:t xml:space="preserve">5 kg * 0.60 = 3 kg</w:t>
      </w:r>
    </w:p>
    <w:p>
      <w:pPr>
        <w:numPr>
          <w:ilvl w:val="0"/>
          <w:numId w:val="1012"/>
        </w:numPr>
        <w:pStyle w:val="Compact"/>
      </w:pPr>
      <w:r>
        <w:rPr>
          <w:bCs/>
          <w:b/>
        </w:rPr>
        <w:t xml:space="preserve">Weight Disposed/Incinerated:</w:t>
      </w:r>
      <w:r>
        <w:t xml:space="preserve"> </w:t>
      </w:r>
      <w:r>
        <w:t xml:space="preserve">5 kg * (1 - 0.60) = 2 kg</w:t>
      </w:r>
    </w:p>
    <w:p>
      <w:pPr>
        <w:numPr>
          <w:ilvl w:val="0"/>
          <w:numId w:val="1012"/>
        </w:numPr>
        <w:pStyle w:val="Compact"/>
      </w:pPr>
      <w:r>
        <w:rPr>
          <w:bCs/>
          <w:b/>
        </w:rPr>
        <w:t xml:space="preserve">Recycling Credit:</w:t>
      </w:r>
      <w:r>
        <w:t xml:space="preserve"> </w:t>
      </w:r>
      <w:r>
        <w:t xml:space="preserve">3 kg * -0.5 kg CO2e/kg = -1.5 kg CO2e (negative indicates avoided emissions)</w:t>
      </w:r>
    </w:p>
    <w:p>
      <w:pPr>
        <w:numPr>
          <w:ilvl w:val="0"/>
          <w:numId w:val="1012"/>
        </w:numPr>
        <w:pStyle w:val="Compact"/>
      </w:pPr>
      <w:r>
        <w:rPr>
          <w:bCs/>
          <w:b/>
        </w:rPr>
        <w:t xml:space="preserve">Disposal/Incineration Emissions:</w:t>
      </w:r>
      <w:r>
        <w:t xml:space="preserve"> </w:t>
      </w:r>
      <w:r>
        <w:t xml:space="preserve">2 kg * 2.0 kg CO2e/kg = 4.0 kg CO2e</w:t>
      </w:r>
    </w:p>
    <w:p>
      <w:pPr>
        <w:pStyle w:val="FirstParagraph"/>
      </w:pPr>
      <w:r>
        <w:t xml:space="preserve">Total End-of-Life Emissions (Scope 3, Category 12) = -1.5 kg CO2e + 4.0 kg CO2e = 2.5 kg CO2e</w:t>
      </w:r>
    </w:p>
    <w:bookmarkEnd w:id="39"/>
    <w:bookmarkEnd w:id="40"/>
    <w:bookmarkStart w:id="42" w:name="total-product-carbon-footprint"/>
    <w:p>
      <w:pPr>
        <w:pStyle w:val="Heading3"/>
      </w:pPr>
      <w:r>
        <w:t xml:space="preserve">4.4 Total Product Carbon Footprint</w:t>
      </w:r>
    </w:p>
    <w:p>
      <w:pPr>
        <w:pStyle w:val="FirstParagraph"/>
      </w:pPr>
      <w:r>
        <w:rPr>
          <w:bCs/>
          <w:b/>
        </w:rP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CO2e (kg)</w:t>
            </w:r>
          </w:p>
        </w:tc>
      </w:tr>
      <w:tr>
        <w:tc>
          <w:tcPr/>
          <w:p>
            <w:pPr>
              <w:pStyle w:val="Compact"/>
              <w:jc w:val="left"/>
            </w:pPr>
            <w:r>
              <w:t xml:space="preserve">Upstream Emissions</w:t>
            </w:r>
          </w:p>
        </w:tc>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28.15</w:t>
            </w:r>
          </w:p>
        </w:tc>
      </w:tr>
      <w:tr>
        <w:tc>
          <w:tcPr/>
          <w:p>
            <w:pPr>
              <w:pStyle w:val="Compact"/>
              <w:jc w:val="left"/>
            </w:pPr>
            <w:r>
              <w:t xml:space="preserve">Core Emissions</w:t>
            </w:r>
          </w:p>
        </w:tc>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21.60</w:t>
            </w:r>
          </w:p>
        </w:tc>
      </w:tr>
      <w:tr>
        <w:tc>
          <w:tcPr/>
          <w:p>
            <w:pPr>
              <w:pStyle w:val="Compact"/>
              <w:jc w:val="left"/>
            </w:pPr>
            <w:r>
              <w:t xml:space="preserve">Downstream Emissions</w:t>
            </w:r>
          </w:p>
        </w:tc>
        <w:tc>
          <w:tcPr/>
          <w:p>
            <w:pPr>
              <w:pStyle w:val="Compact"/>
              <w:jc w:val="left"/>
            </w:pPr>
            <w:r>
              <w:t xml:space="preserve">Transportation &amp; Distribution</w:t>
            </w:r>
          </w:p>
        </w:tc>
        <w:tc>
          <w:tcPr/>
          <w:p>
            <w:pPr>
              <w:pStyle w:val="Compact"/>
              <w:jc w:val="left"/>
            </w:pPr>
            <w:r>
              <w:t xml:space="preserve">Scope 3 (Category 4)</w:t>
            </w:r>
          </w:p>
        </w:tc>
        <w:tc>
          <w:tcPr/>
          <w:p>
            <w:pPr>
              <w:pStyle w:val="Compact"/>
              <w:jc w:val="left"/>
            </w:pPr>
            <w:r>
              <w:t xml:space="preserve">15.68</w:t>
            </w:r>
          </w:p>
        </w:tc>
      </w:tr>
      <w:tr>
        <w:tc>
          <w:tcPr/>
          <w:p>
            <w:pPr>
              <w:pStyle w:val="Compact"/>
              <w:jc w:val="left"/>
            </w:pPr>
            <w:r>
              <w:t xml:space="preserve">Downstream Emissions</w:t>
            </w:r>
          </w:p>
        </w:tc>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200.00</w:t>
            </w:r>
          </w:p>
        </w:tc>
      </w:tr>
      <w:tr>
        <w:tc>
          <w:tcPr/>
          <w:p>
            <w:pPr>
              <w:pStyle w:val="Compact"/>
              <w:jc w:val="left"/>
            </w:pPr>
            <w:r>
              <w:t xml:space="preserve">Downstream Emissions</w:t>
            </w:r>
          </w:p>
        </w:tc>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2.50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267.93 kg CO2e per 1.0 unit of hkpnqnxlkt</w:t>
            </w:r>
          </w:p>
        </w:tc>
      </w:tr>
    </w:tbl>
    <w:p>
      <w:pPr>
        <w:pStyle w:val="BodyText"/>
      </w:pPr>
      <w:r>
        <w:rPr>
          <w:bCs/>
          <w:b/>
        </w:rPr>
        <w:t xml:space="preserve">Breakdown by GHG Scope:</w:t>
      </w:r>
    </w:p>
    <w:p>
      <w:pPr>
        <w:numPr>
          <w:ilvl w:val="0"/>
          <w:numId w:val="1013"/>
        </w:numPr>
        <w:pStyle w:val="Compact"/>
      </w:pPr>
      <w:r>
        <w:rPr>
          <w:bCs/>
          <w:b/>
        </w:rPr>
        <w:t xml:space="preserve">Scope 1:</w:t>
      </w:r>
      <w:r>
        <w:t xml:space="preserve"> </w:t>
      </w:r>
      <w:r>
        <w:t xml:space="preserve">0.0 kg CO2e (illustrative, assuming negligible direct emissions)</w:t>
      </w:r>
    </w:p>
    <w:p>
      <w:pPr>
        <w:numPr>
          <w:ilvl w:val="0"/>
          <w:numId w:val="1013"/>
        </w:numPr>
        <w:pStyle w:val="Compact"/>
      </w:pPr>
      <w:r>
        <w:rPr>
          <w:bCs/>
          <w:b/>
        </w:rPr>
        <w:t xml:space="preserve">Scope 2:</w:t>
      </w:r>
      <w:r>
        <w:t xml:space="preserve"> </w:t>
      </w:r>
      <w:r>
        <w:t xml:space="preserve">21.6 kg CO2e</w:t>
      </w:r>
    </w:p>
    <w:p>
      <w:pPr>
        <w:numPr>
          <w:ilvl w:val="0"/>
          <w:numId w:val="1013"/>
        </w:numPr>
        <w:pStyle w:val="Compact"/>
      </w:pPr>
      <w:r>
        <w:rPr>
          <w:bCs/>
          <w:b/>
        </w:rPr>
        <w:t xml:space="preserve">Scope 3:</w:t>
      </w:r>
      <w:r>
        <w:t xml:space="preserve"> </w:t>
      </w:r>
      <w:r>
        <w:t xml:space="preserve">28.15 (Materials) + 15.68 (Transport) + 200.00 (Use) + 2.50 (EoL) = 246.33 kg CO2e</w:t>
      </w:r>
    </w:p>
    <w:p>
      <w:pPr>
        <w:pStyle w:val="FirstParagraph"/>
      </w:pPr>
      <w:r>
        <w:rPr>
          <w:bCs/>
          <w:b/>
        </w:rPr>
        <w:t xml:space="preserve">Total Scope 3 Coverage:</w:t>
      </w:r>
      <w:r>
        <w:t xml:space="preserve"> </w:t>
      </w:r>
      <w:r>
        <w:t xml:space="preserve">(246.33 / 267.93) * 100% = 91.94%. While aiming for 95% coverage, this analysis highlights key areas. Further detailed data collection for minor components or services would be required to reach the 95% threshold for full compliance with 2026 requirements. However, the largest contributors are well-covered.</w:t>
      </w:r>
    </w:p>
    <w:bookmarkStart w:id="41" w:name="X7ef73fe3d39a8d84fae696b42f814aa0d860ec0"/>
    <w:p>
      <w:pPr>
        <w:pStyle w:val="Heading4"/>
      </w:pPr>
      <w:r>
        <w:t xml:space="preserve">4.5 2026 LSR Update (Land Sector and Removals Standard)</w:t>
      </w:r>
    </w:p>
    <w:p>
      <w:pPr>
        <w:pStyle w:val="FirstParagraph"/>
      </w:pPr>
      <w:r>
        <w:t xml:space="preserve">The Land Sector and Removals (LSR) Standard is acknowledged for its role in accounting for emissions and removals associated with land use. For hkpnqnxlkt, direct land use impacts (e.g., from bio-based materials, direct land conversion) were not specifically identified in the provided BOM. However, in a full LSR-compliant assessment, any land use change emissions or biogenic carbon removals associated with raw materials (e.g., wood products, agricultural feedstock) would be quantified and reported separately under relevant Scope 3 categories or as specific removals. This analysis assumes no direct material-related LSR impacts without further data. Xggllqvoyw is committed to incorporating LSR requirements for any future bio-based materials or land-intensive operations.</w:t>
      </w:r>
    </w:p>
    <w:p>
      <w:r>
        <w:pict>
          <v:rect style="width:0;height:1.5pt" o:hralign="center" o:hrstd="t" o:hr="t"/>
        </w:pict>
      </w:r>
    </w:p>
    <w:bookmarkEnd w:id="41"/>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reveals the following key emission hotspots for hkpnqnxlkt:</w:t>
      </w:r>
    </w:p>
    <w:p>
      <w:pPr>
        <w:numPr>
          <w:ilvl w:val="0"/>
          <w:numId w:val="1014"/>
        </w:numPr>
        <w:pStyle w:val="Compact"/>
      </w:pPr>
      <w:r>
        <w:rPr>
          <w:bCs/>
          <w:b/>
        </w:rPr>
        <w:t xml:space="preserve">Use Phase (200.0 kg CO2e):</w:t>
      </w:r>
      <w:r>
        <w:t xml:space="preserve"> </w:t>
      </w:r>
      <w:r>
        <w:t xml:space="preserve">This is by far the largest contributor, primarily due to the energy consumption during the product\'s 5-year lifespan. This highlights the importance of energy efficiency in product design.</w:t>
      </w:r>
    </w:p>
    <w:p>
      <w:pPr>
        <w:numPr>
          <w:ilvl w:val="0"/>
          <w:numId w:val="1014"/>
        </w:numPr>
        <w:pStyle w:val="Compact"/>
      </w:pPr>
      <w:r>
        <w:rPr>
          <w:bCs/>
          <w:b/>
        </w:rPr>
        <w:t xml:space="preserve">Material Acquisition (28.15 kg CO2e):</w:t>
      </w:r>
      <w:r>
        <w:t xml:space="preserve"> </w:t>
      </w:r>
      <w:r>
        <w:t xml:space="preserve">Aluminium Alloy is a significant contributor within this stage, underscoring the impact of material choice.</w:t>
      </w:r>
    </w:p>
    <w:p>
      <w:pPr>
        <w:numPr>
          <w:ilvl w:val="0"/>
          <w:numId w:val="1014"/>
        </w:numPr>
        <w:pStyle w:val="Compact"/>
      </w:pPr>
      <w:r>
        <w:rPr>
          <w:bCs/>
          <w:b/>
        </w:rPr>
        <w:t xml:space="preserve">Manufacturing (21.60 kg CO2e):</w:t>
      </w:r>
      <w:r>
        <w:t xml:space="preserve"> </w:t>
      </w:r>
      <w:r>
        <w:t xml:space="preserve">Purchased electricity for production contributes a notable portion, even with 70% renewable energy usage. Further increasing renewable energy or improving process efficiency could reduce this.</w:t>
      </w:r>
    </w:p>
    <w:p>
      <w:pPr>
        <w:numPr>
          <w:ilvl w:val="0"/>
          <w:numId w:val="1014"/>
        </w:numPr>
        <w:pStyle w:val="Compact"/>
      </w:pPr>
      <w:r>
        <w:rPr>
          <w:bCs/>
          <w:b/>
        </w:rPr>
        <w:t xml:space="preserve">Last-Mile Delivery (15.0 kg CO2e):</w:t>
      </w:r>
      <w:r>
        <w:t xml:space="preserve"> </w:t>
      </w:r>
      <w:r>
        <w:t xml:space="preserve">This component of transportation has a higher impact per km compared to long-haul freight, indicating opportunities in optimizing last-mile logistics or adopting lower-emission delivery methods.</w:t>
      </w:r>
    </w:p>
    <w:bookmarkEnd w:id="44"/>
    <w:bookmarkStart w:id="45" w:name="reliability-and-limitations"/>
    <w:p>
      <w:pPr>
        <w:pStyle w:val="Heading3"/>
      </w:pPr>
      <w:r>
        <w:t xml:space="preserve">5.2 Reliability and Limitations</w:t>
      </w:r>
    </w:p>
    <w:p>
      <w:pPr>
        <w:pStyle w:val="FirstParagraph"/>
      </w:pPr>
      <w:r>
        <w:t xml:space="preserve">The reliability of this PCF is good for the available data, particularly for the detailed BOM and energy parameters provided. However, limitations include:</w:t>
      </w:r>
    </w:p>
    <w:p>
      <w:pPr>
        <w:numPr>
          <w:ilvl w:val="0"/>
          <w:numId w:val="1015"/>
        </w:numPr>
        <w:pStyle w:val="Compact"/>
      </w:pPr>
      <w:r>
        <w:rPr>
          <w:bCs/>
          <w:b/>
        </w:rPr>
        <w:t xml:space="preserve">Illustrative Emission Factors:</w:t>
      </w:r>
      <w:r>
        <w:t xml:space="preserve"> </w:t>
      </w:r>
      <w:r>
        <w:t xml:space="preserve">The use of generic emission factors for certain processes (e.g., electricity grid mix, transport, EoL) means the results are indicative. A more precise assessment would require access to specific, regionalized, and up-to-date Ecoinvent or DEFRA factors.</w:t>
      </w:r>
    </w:p>
    <w:p>
      <w:pPr>
        <w:numPr>
          <w:ilvl w:val="0"/>
          <w:numId w:val="1015"/>
        </w:numPr>
        <w:pStyle w:val="Compact"/>
      </w:pPr>
      <w:r>
        <w:rPr>
          <w:bCs/>
          <w:b/>
        </w:rPr>
        <w:t xml:space="preserve">Assumptions for Placeholders:</w:t>
      </w:r>
      <w:r>
        <w:t xml:space="preserve"> </w:t>
      </w:r>
      <w:r>
        <w:t xml:space="preserve">Various assumptions were made for parameters provided as generic strings (e.g., \'Select Mode\', \'umrtygyfyu\', \'wsgspmpher\', \'htnwidhpqk\', \'kxugnioyis\', \'fhwhwhsjod\', \'iizseuivrt\', \'nxdjrvnorz\'). While reasonable, actual data would enhance accuracy.</w:t>
      </w:r>
    </w:p>
    <w:p>
      <w:pPr>
        <w:numPr>
          <w:ilvl w:val="0"/>
          <w:numId w:val="1015"/>
        </w:numPr>
        <w:pStyle w:val="Compact"/>
      </w:pPr>
      <w:r>
        <w:rPr>
          <w:bCs/>
          <w:b/>
        </w:rPr>
        <w:t xml:space="preserve">LSR Standard:</w:t>
      </w:r>
      <w:r>
        <w:t xml:space="preserve"> </w:t>
      </w:r>
      <w:r>
        <w:t xml:space="preserve">While acknowledged, specific LSR impacts were not quantifiable without detailed land-use related data for materials.</w:t>
      </w:r>
    </w:p>
    <w:bookmarkEnd w:id="45"/>
    <w:bookmarkStart w:id="46" w:name="recommendations-for-emission-reduction"/>
    <w:p>
      <w:pPr>
        <w:pStyle w:val="Heading3"/>
      </w:pPr>
      <w:r>
        <w:t xml:space="preserve">5.3 Recommendations for Emission Reduction</w:t>
      </w:r>
    </w:p>
    <w:p>
      <w:pPr>
        <w:numPr>
          <w:ilvl w:val="0"/>
          <w:numId w:val="1016"/>
        </w:numPr>
        <w:pStyle w:val="Compact"/>
      </w:pPr>
      <w:r>
        <w:rPr>
          <w:bCs/>
          <w:b/>
        </w:rPr>
        <w:t xml:space="preserve">Enhance Use Phase Efficiency:</w:t>
      </w:r>
      <w:r>
        <w:t xml:space="preserve"> </w:t>
      </w:r>
      <w:r>
        <w:t xml:space="preserve">Focus on designing hkpnqnxlkt for even lower energy consumption during its operational lifespan. This could involve more energy-efficient components, standby modes, or promoting shorter usage cycles where appropriate.</w:t>
      </w:r>
    </w:p>
    <w:p>
      <w:pPr>
        <w:numPr>
          <w:ilvl w:val="0"/>
          <w:numId w:val="1016"/>
        </w:numPr>
        <w:pStyle w:val="Compact"/>
      </w:pPr>
      <w:r>
        <w:rPr>
          <w:bCs/>
          <w:b/>
        </w:rPr>
        <w:t xml:space="preserve">Optimize Material Selection:</w:t>
      </w:r>
      <w:r>
        <w:t xml:space="preserve"> </w:t>
      </w:r>
      <w:r>
        <w:t xml:space="preserve">Investigate alternative materials with lower embodied carbon for high-impact components like aluminium alloy, or increase the recycled content of materials.</w:t>
      </w:r>
    </w:p>
    <w:p>
      <w:pPr>
        <w:numPr>
          <w:ilvl w:val="0"/>
          <w:numId w:val="1016"/>
        </w:numPr>
        <w:pStyle w:val="Compact"/>
      </w:pPr>
      <w:r>
        <w:rPr>
          <w:bCs/>
          <w:b/>
        </w:rPr>
        <w:t xml:space="preserve">Increase Renewable Energy Sourcing:</w:t>
      </w:r>
      <w:r>
        <w:t xml:space="preserve"> </w:t>
      </w:r>
      <w:r>
        <w:t xml:space="preserve">Strive for 100% renewable energy in manufacturing operations, potentially through Power Purchase Agreements (PPAs) or on-site generation.</w:t>
      </w:r>
    </w:p>
    <w:p>
      <w:pPr>
        <w:numPr>
          <w:ilvl w:val="0"/>
          <w:numId w:val="1016"/>
        </w:numPr>
        <w:pStyle w:val="Compact"/>
      </w:pPr>
      <w:r>
        <w:rPr>
          <w:bCs/>
          <w:b/>
        </w:rPr>
        <w:t xml:space="preserve">Streamline Logistics:</w:t>
      </w:r>
      <w:r>
        <w:t xml:space="preserve"> </w:t>
      </w:r>
      <w:r>
        <w:t xml:space="preserve">Explore optimized freight routes, consolidation of shipments, and transition to lower-emission transport modes (e.g., rail, electric vehicles for last-mile delivery).</w:t>
      </w:r>
    </w:p>
    <w:p>
      <w:pPr>
        <w:numPr>
          <w:ilvl w:val="0"/>
          <w:numId w:val="1016"/>
        </w:numPr>
        <w:pStyle w:val="Compact"/>
      </w:pPr>
      <w:r>
        <w:rPr>
          <w:bCs/>
          <w:b/>
        </w:rPr>
        <w:t xml:space="preserve">Strengthen Circularity:</w:t>
      </w:r>
      <w:r>
        <w:t xml:space="preserve"> </w:t>
      </w:r>
      <w:r>
        <w:t xml:space="preserve">Expand the existing take-back programs and explore innovative circular business models to maximize material recovery and reuse, going beyond the 60% recyclability target.</w:t>
      </w:r>
    </w:p>
    <w:p>
      <w:r>
        <w:pict>
          <v:rect style="width:0;height:1.5pt" o:hralign="center" o:hrstd="t" o:hr="t"/>
        </w:pict>
      </w:r>
    </w:p>
    <w:p>
      <w:pPr>
        <w:pStyle w:val="FirstParagraph"/>
      </w:pPr>
      <w:r>
        <w:t xml:space="preserve">Confidential - Internal Use Only</w:t>
      </w:r>
    </w:p>
    <w:p>
      <w:pPr>
        <w:pStyle w:val="BodyText"/>
      </w:pPr>
      <w:r>
        <w:t xml:space="preserve">Report prepared by gvhggtjkgl, Senior Sustainability Consultant</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hkpnqnxlkt - xggllqvoyw</dc:title>
  <dc:creator/>
  <dc:description>Detailed Product Carbon Footprint (PCF) analysis for hkpnqnxlkt, performed by Senior Sustainability Consultant gvhggtjkgl, adhering to GHG Protocol and 2026 LSR update.</dc:description>
  <dc:language>en</dc:language>
  <cp:keywords/>
  <dcterms:created xsi:type="dcterms:W3CDTF">2026-07-15T02:19:32Z</dcterms:created>
  <dcterms:modified xsi:type="dcterms:W3CDTF">2026-07-15T02:19:32Z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