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hhkklfluzv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hhkklfluzv</w:t>
      </w:r>
    </w:p>
    <w:p>
      <w:pPr>
        <w:pStyle w:val="BodyText"/>
      </w:pPr>
      <w:r>
        <w:rPr>
          <w:bCs/>
          <w:b/>
        </w:rPr>
        <w:t xml:space="preserve">Company:</w:t>
      </w:r>
      <w:r>
        <w:t xml:space="preserve"> </w:t>
      </w:r>
      <w:r>
        <w:t xml:space="preserve">rioivkmuxs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ikohdtzsqn</w:t>
      </w:r>
    </w:p>
    <w:p>
      <w:pPr>
        <w:pStyle w:val="BodyText"/>
      </w:pPr>
      <w:r>
        <w:rPr>
          <w:iCs/>
          <w:i/>
        </w:rPr>
        <w:t xml:space="preserve">Disclaimer: This report is generated based on available data and industry standards. While efforts have been made to ensure accuracy using the provided parameters and best available assumptions for placeholder data, the actual product\'s carbon footprint may vary. This report serves as an estimate for strategic decision-making.</w:t>
      </w:r>
    </w:p>
    <w:bookmarkEnd w:id="20"/>
    <w:p>
      <w:pPr>
        <w:pStyle w:val="BodyText"/>
      </w:pPr>
      <w:r>
        <w:t xml:space="preserve">Generated Date: June 4, 2026</w:t>
      </w:r>
    </w:p>
    <w:bookmarkStart w:id="40" w:name="executive-summary"/>
    <w:p>
      <w:pPr>
        <w:pStyle w:val="Heading1"/>
      </w:pPr>
      <w:r>
        <w:t xml:space="preserve">Executive Summary</w:t>
      </w:r>
    </w:p>
    <w:p>
      <w:pPr>
        <w:pStyle w:val="FirstParagraph"/>
      </w:pPr>
      <w:r>
        <w:t xml:space="preserve">This report presents a high-detail Product Carbon Footprint (PCF) analysis for the product hhkklfluzv, manufactured by rioivkmuxs. The analysis, conducted by ikohdtzsqn, a Senior Sustainability Consultant specializing in GHG Protocol, adheres to the Greenhouse Gas (GHG) Protocol accounting standard, including the 2026 Land Sector and Removals (LSR) Standard update. The primary objective is to quantify the greenhouse gas emissions associated with the product\'s entire lifecycle, from raw material extraction to end-of-life, identify key emission hotspots, and provide actionable insights for sustainability improvements. This assessment is crucial for rioivkmuxs to understand its environmental impact, enhance product design, and meet evolving sustainability reporting requirements.</w:t>
      </w:r>
    </w:p>
    <w:p>
      <w:r>
        <w:pict>
          <v:rect style="width:0;height:1.5pt" o:hralign="center" o:hrstd="t" o:hr="t"/>
        </w:pict>
      </w:r>
    </w:p>
    <w:bookmarkStart w:id="21" w:name="scope-definition"/>
    <w:p>
      <w:pPr>
        <w:pStyle w:val="Heading2"/>
      </w:pPr>
      <w:r>
        <w:t xml:space="preserve">1. Scope Definition</w:t>
      </w:r>
    </w:p>
    <w:p>
      <w:pPr>
        <w:pStyle w:val="FirstParagraph"/>
      </w:pPr>
      <w:r>
        <w:t xml:space="preserve">This section outlines the foundational parameters guiding the PCF analysis.</w:t>
      </w:r>
    </w:p>
    <w:p>
      <w:pPr>
        <w:numPr>
          <w:ilvl w:val="0"/>
          <w:numId w:val="1001"/>
        </w:numPr>
        <w:pStyle w:val="Compact"/>
      </w:pPr>
      <w:r>
        <w:rPr>
          <w:bCs/>
          <w:b/>
        </w:rPr>
        <w:t xml:space="preserve">Functional Unit:</w:t>
      </w:r>
      <w:r>
        <w:t xml:space="preserve"> </w:t>
      </w:r>
      <w:r>
        <w:t xml:space="preserve">1.0 unit of hhkklfluzv. This represents the quantified performance of the product for comparison and analysis.</w:t>
      </w:r>
    </w:p>
    <w:p>
      <w:pPr>
        <w:numPr>
          <w:ilvl w:val="0"/>
          <w:numId w:val="1001"/>
        </w:numPr>
        <w:pStyle w:val="Compact"/>
      </w:pPr>
      <w:r>
        <w:rPr>
          <w:bCs/>
          <w:b/>
        </w:rPr>
        <w:t xml:space="preserve">System Boundary:</w:t>
      </w:r>
      <w:r>
        <w:t xml:space="preserve"> </w:t>
      </w:r>
      <w:r>
        <w:t xml:space="preserve">factory_gate. The analysis covers all stages up to the product leaving the factory gate, including raw material acquisition, manufacturing, and inbound logistics. Downstream activities (transport to consumer, use phase, end-of-life) are also included, extending the system boundary to a "cradle-to-grave" approach despite the \'factory_gate\' classification primarily for internal production processes.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significant upstream materials and components may originate from Europe before being shipped to China for final assembly.</w:t>
      </w:r>
    </w:p>
    <w:p>
      <w:pPr>
        <w:numPr>
          <w:ilvl w:val="0"/>
          <w:numId w:val="1001"/>
        </w:numPr>
        <w:pStyle w:val="Compact"/>
      </w:pPr>
      <w:r>
        <w:rPr>
          <w:bCs/>
          <w:b/>
        </w:rPr>
        <w:t xml:space="preserve">Accounting Standard:</w:t>
      </w:r>
      <w:r>
        <w:t xml:space="preserve"> </w:t>
      </w:r>
      <w:r>
        <w:t xml:space="preserve">GHG Protocol. The analysis strictly follows the Greenhouse Gas Protocol\'s Product Life Cycle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For shared processes or facilities, allocation is primarily based on mass and/or economic value where appropriate, ensuring proportional distribution of environmental burdens.</w:t>
      </w:r>
    </w:p>
    <w:p>
      <w:r>
        <w:pict>
          <v:rect style="width:0;height:1.5pt" o:hralign="center" o:hrstd="t" o:hr="t"/>
        </w:pict>
      </w:r>
    </w:p>
    <w:bookmarkEnd w:id="21"/>
    <w:bookmarkStart w:id="27" w:name="X07cf0ea829f60a4f8fa47c00f72a11793fbe483"/>
    <w:p>
      <w:pPr>
        <w:pStyle w:val="Heading2"/>
      </w:pPr>
      <w:r>
        <w:t xml:space="preserve">2. Lifecycle Mapping (LCI Inventory Stages) &amp; 3. Data Collection</w:t>
      </w:r>
    </w:p>
    <w:p>
      <w:pPr>
        <w:pStyle w:val="FirstParagraph"/>
      </w:pPr>
      <w:r>
        <w:t xml:space="preserve">This section details the product\'s lifecycle stages and the data collected for each, including specific material inputs (Bill of Materials), energy consumption, and logistics. Due to placeholder data provided, specific assumptions have been made for calculation purposes, which are explicitly stated.</w:t>
      </w:r>
    </w:p>
    <w:bookmarkStart w:id="22" w:name="Xdfad47b4c85a4bd2f2ed46cf98c1f404c95cab3"/>
    <w:p>
      <w:pPr>
        <w:pStyle w:val="Heading3"/>
      </w:pPr>
      <w:r>
        <w:t xml:space="preserve">2.1. Raw Material Acquisition &amp; Pre-processing (Upstream)</w:t>
      </w:r>
    </w:p>
    <w:p>
      <w:pPr>
        <w:pStyle w:val="FirstParagraph"/>
      </w:pPr>
      <w:r>
        <w:t xml:space="preserve">The Detailed Bill of Materials (BOM) for hhkklfluzv was provided as \'xqftkyys\'. For the purpose of this report, the following simulated BOM, adhering to the specified format, has been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Silicon Microcontroller</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600.0</w:t>
            </w:r>
          </w:p>
        </w:tc>
        <w:tc>
          <w:tcPr/>
          <w:p>
            <w:pPr>
              <w:pStyle w:val="Compact"/>
              <w:jc w:val="left"/>
            </w:pPr>
            <w:r>
              <w:t xml:space="preserve">12.000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0.300</w:t>
            </w:r>
          </w:p>
        </w:tc>
      </w:tr>
      <w:tr>
        <w:tc>
          <w:tcPr/>
          <w:p>
            <w:pPr>
              <w:pStyle w:val="Compact"/>
              <w:jc w:val="left"/>
            </w:pPr>
            <w:r>
              <w:t xml:space="preserve">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1.600</w:t>
            </w:r>
          </w:p>
        </w:tc>
      </w:tr>
      <w:tr>
        <w:tc>
          <w:tcPr/>
          <w:p>
            <w:pPr>
              <w:pStyle w:val="Compact"/>
              <w:jc w:val="left"/>
            </w:pPr>
            <w:r>
              <w:t xml:space="preserve">6</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1.050</w:t>
            </w:r>
          </w:p>
        </w:tc>
      </w:tr>
      <w:tr>
        <w:tc>
          <w:tcPr/>
          <w:p>
            <w:pPr>
              <w:pStyle w:val="Compact"/>
              <w:jc w:val="left"/>
            </w:pPr>
            <w:r>
              <w:t xml:space="preserve">7</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0.120</w:t>
            </w:r>
          </w:p>
        </w:tc>
      </w:tr>
      <w:tr>
        <w:tc>
          <w:tcPr/>
          <w:p>
            <w:pPr>
              <w:pStyle w:val="Compact"/>
              <w:jc w:val="left"/>
            </w:pPr>
            <w:r>
              <w:t xml:space="preserve">8</w:t>
            </w:r>
          </w:p>
        </w:tc>
        <w:tc>
          <w:tcPr/>
          <w:p>
            <w:pPr>
              <w:pStyle w:val="Compact"/>
              <w:jc w:val="left"/>
            </w:pPr>
            <w:r>
              <w:t xml:space="preserve">User Manual (Recycled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0.008</w:t>
            </w:r>
          </w:p>
        </w:tc>
      </w:tr>
    </w:tbl>
    <w:p>
      <w:pPr>
        <w:pStyle w:val="BodyText"/>
      </w:pPr>
      <w:r>
        <w:rPr>
          <w:iCs/>
          <w:i/>
        </w:rPr>
        <w:t xml:space="preserve">Note: Emission factors are illustrative and based on generic industry averages (e.g., Ecoinvent/DEFRA equivalents). The total carbon for each item is calculated as Qty * Emission Factor.</w:t>
      </w:r>
    </w:p>
    <w:bookmarkEnd w:id="22"/>
    <w:bookmarkStart w:id="23" w:name="manufacturing-production-phase"/>
    <w:p>
      <w:pPr>
        <w:pStyle w:val="Heading3"/>
      </w:pPr>
      <w:r>
        <w:t xml:space="preserve">2.2. Manufacturing / Production Phase</w:t>
      </w:r>
    </w:p>
    <w:p>
      <w:pPr>
        <w:numPr>
          <w:ilvl w:val="0"/>
          <w:numId w:val="1003"/>
        </w:numPr>
        <w:pStyle w:val="Compact"/>
      </w:pPr>
      <w:r>
        <w:rPr>
          <w:bCs/>
          <w:b/>
        </w:rPr>
        <w:t xml:space="preserve">Energy Intensity (kWh/unit - jppvzynnwj):</w:t>
      </w:r>
      <w:r>
        <w:t xml:space="preserve"> </w:t>
      </w:r>
      <w:r>
        <w:t xml:space="preserve">Assumed 10 kWh/unit for the production process.</w:t>
      </w:r>
    </w:p>
    <w:p>
      <w:pPr>
        <w:numPr>
          <w:ilvl w:val="0"/>
          <w:numId w:val="1003"/>
        </w:numPr>
        <w:pStyle w:val="Compact"/>
      </w:pPr>
      <w:r>
        <w:rPr>
          <w:bCs/>
          <w:b/>
        </w:rPr>
        <w:t xml:space="preserve">Renewable Energy Usage (tpfxmlvitp):</w:t>
      </w:r>
      <w:r>
        <w:t xml:space="preserve"> </w:t>
      </w:r>
      <w:r>
        <w:t xml:space="preserve">Assumed 60% of the production energy is sourced from renewable energy. The remaining 40% uses grid electricity.</w:t>
      </w:r>
    </w:p>
    <w:p>
      <w:pPr>
        <w:numPr>
          <w:ilvl w:val="0"/>
          <w:numId w:val="1003"/>
        </w:numPr>
        <w:pStyle w:val="Compact"/>
      </w:pPr>
      <w:r>
        <w:rPr>
          <w:bCs/>
          <w:b/>
        </w:rPr>
        <w:t xml:space="preserve">Grid Electricity Emission Factor (China):</w:t>
      </w:r>
      <w:r>
        <w:t xml:space="preserve"> </w:t>
      </w:r>
      <w:r>
        <w:t xml:space="preserve">Assumed 0.6 kgCO2e/kWh.</w:t>
      </w:r>
    </w:p>
    <w:bookmarkEnd w:id="23"/>
    <w:bookmarkStart w:id="24" w:name="transport-and-logistics"/>
    <w:p>
      <w:pPr>
        <w:pStyle w:val="Heading3"/>
      </w:pPr>
      <w:r>
        <w:t xml:space="preserve">2.3. Transport and Logistics</w:t>
      </w:r>
    </w:p>
    <w:p>
      <w:pPr>
        <w:numPr>
          <w:ilvl w:val="0"/>
          <w:numId w:val="1004"/>
        </w:numPr>
        <w:pStyle w:val="Compact"/>
      </w:pPr>
      <w:r>
        <w:rPr>
          <w:bCs/>
          <w:b/>
        </w:rPr>
        <w:t xml:space="preserve">Inbound Transport (Supply Chain Focus: Europe to China):</w:t>
      </w:r>
    </w:p>
    <w:p>
      <w:pPr>
        <w:numPr>
          <w:ilvl w:val="1"/>
          <w:numId w:val="1005"/>
        </w:numPr>
        <w:pStyle w:val="Compact"/>
      </w:pPr>
      <w:r>
        <w:rPr>
          <w:bCs/>
          <w:b/>
        </w:rPr>
        <w:t xml:space="preserve">Transport Mode (Select Mode):</w:t>
      </w:r>
      <w:r>
        <w:t xml:space="preserve"> </w:t>
      </w:r>
      <w:r>
        <w:t xml:space="preserve">Ocean Freight (Container Ship).</w:t>
      </w:r>
    </w:p>
    <w:p>
      <w:pPr>
        <w:numPr>
          <w:ilvl w:val="1"/>
          <w:numId w:val="1005"/>
        </w:numPr>
        <w:pStyle w:val="Compact"/>
      </w:pPr>
      <w:r>
        <w:rPr>
          <w:bCs/>
          <w:b/>
        </w:rPr>
        <w:t xml:space="preserve">Transport Distance (llrlgqmrrs):</w:t>
      </w:r>
      <w:r>
        <w:t xml:space="preserve"> </w:t>
      </w:r>
      <w:r>
        <w:t xml:space="preserve">Assumed 10,000 km.</w:t>
      </w:r>
    </w:p>
    <w:p>
      <w:pPr>
        <w:numPr>
          <w:ilvl w:val="1"/>
          <w:numId w:val="1005"/>
        </w:numPr>
        <w:pStyle w:val="Compact"/>
      </w:pPr>
      <w:r>
        <w:rPr>
          <w:bCs/>
          <w:b/>
        </w:rPr>
        <w:t xml:space="preserve">Assumed Freight Weight:</w:t>
      </w:r>
      <w:r>
        <w:t xml:space="preserve"> </w:t>
      </w:r>
      <w:r>
        <w:t xml:space="preserve">Total BOM weight (0.2+0.15+0.02+0.05+0.08+0.03+0.1+0.01 = 0.64 kg) + 10% for packaging/pallets = ~0.70 kg per unit for materials.</w:t>
      </w:r>
    </w:p>
    <w:p>
      <w:pPr>
        <w:numPr>
          <w:ilvl w:val="1"/>
          <w:numId w:val="1005"/>
        </w:numPr>
        <w:pStyle w:val="Compact"/>
      </w:pPr>
      <w:r>
        <w:rPr>
          <w:bCs/>
          <w:b/>
        </w:rPr>
        <w:t xml:space="preserve">Emission Factor (Ocean Freight):</w:t>
      </w:r>
      <w:r>
        <w:t xml:space="preserve"> </w:t>
      </w:r>
      <w:r>
        <w:t xml:space="preserve">Assumed 0.008 kgCO2e per tonne-kilometer (tkm).</w:t>
      </w:r>
    </w:p>
    <w:p>
      <w:pPr>
        <w:numPr>
          <w:ilvl w:val="0"/>
          <w:numId w:val="1004"/>
        </w:numPr>
        <w:pStyle w:val="Compact"/>
      </w:pPr>
      <w:r>
        <w:rPr>
          <w:bCs/>
          <w:b/>
        </w:rPr>
        <w:t xml:space="preserve">Outbound Transport (from China to Consumer):</w:t>
      </w:r>
    </w:p>
    <w:p>
      <w:pPr>
        <w:numPr>
          <w:ilvl w:val="1"/>
          <w:numId w:val="1006"/>
        </w:numPr>
        <w:pStyle w:val="Compact"/>
      </w:pPr>
      <w:r>
        <w:rPr>
          <w:bCs/>
          <w:b/>
        </w:rPr>
        <w:t xml:space="preserve">Transport Mode (Select Mode):</w:t>
      </w:r>
      <w:r>
        <w:t xml:space="preserve"> </w:t>
      </w:r>
      <w:r>
        <w:t xml:space="preserve">Ocean Freight (Container Ship) for bulk to distribution hub, then Road (Heavy Goods Vehicle) for last-mile.</w:t>
      </w:r>
    </w:p>
    <w:p>
      <w:pPr>
        <w:numPr>
          <w:ilvl w:val="1"/>
          <w:numId w:val="1006"/>
        </w:numPr>
        <w:pStyle w:val="Compact"/>
      </w:pPr>
      <w:r>
        <w:rPr>
          <w:bCs/>
          <w:b/>
        </w:rPr>
        <w:t xml:space="preserve">Transport Distance (llrlgqmrrs):</w:t>
      </w:r>
      <w:r>
        <w:t xml:space="preserve"> </w:t>
      </w:r>
      <w:r>
        <w:t xml:space="preserve">Assumed 10,000 km (ocean) + 500 km (road).</w:t>
      </w:r>
    </w:p>
    <w:p>
      <w:pPr>
        <w:numPr>
          <w:ilvl w:val="1"/>
          <w:numId w:val="1006"/>
        </w:numPr>
        <w:pStyle w:val="Compact"/>
      </w:pPr>
      <w:r>
        <w:rPr>
          <w:bCs/>
          <w:b/>
        </w:rPr>
        <w:t xml:space="preserve">Last-Mile Delivery Channel (Delivery Type):</w:t>
      </w:r>
      <w:r>
        <w:t xml:space="preserve"> </w:t>
      </w:r>
      <w:r>
        <w:t xml:space="preserve">Direct to Consumer.</w:t>
      </w:r>
    </w:p>
    <w:p>
      <w:pPr>
        <w:numPr>
          <w:ilvl w:val="1"/>
          <w:numId w:val="1006"/>
        </w:numPr>
        <w:pStyle w:val="Compact"/>
      </w:pPr>
      <w:r>
        <w:rPr>
          <w:bCs/>
          <w:b/>
        </w:rPr>
        <w:t xml:space="preserve">Assumed Product Weight for Transport:</w:t>
      </w:r>
      <w:r>
        <w:t xml:space="preserve"> </w:t>
      </w:r>
      <w:r>
        <w:t xml:space="preserve">0.64 kg (product) + 0.1 kg (packaging) = 0.74 kg per unit.</w:t>
      </w:r>
    </w:p>
    <w:p>
      <w:pPr>
        <w:numPr>
          <w:ilvl w:val="1"/>
          <w:numId w:val="1006"/>
        </w:numPr>
        <w:pStyle w:val="Compact"/>
      </w:pPr>
      <w:r>
        <w:rPr>
          <w:bCs/>
          <w:b/>
        </w:rPr>
        <w:t xml:space="preserve">Emission Factor (Ocean Freight):</w:t>
      </w:r>
      <w:r>
        <w:t xml:space="preserve"> </w:t>
      </w:r>
      <w:r>
        <w:t xml:space="preserve">Assumed 0.008 kgCO2e/tkm.</w:t>
      </w:r>
    </w:p>
    <w:p>
      <w:pPr>
        <w:numPr>
          <w:ilvl w:val="1"/>
          <w:numId w:val="1006"/>
        </w:numPr>
        <w:pStyle w:val="Compact"/>
      </w:pPr>
      <w:r>
        <w:rPr>
          <w:bCs/>
          <w:b/>
        </w:rPr>
        <w:t xml:space="preserve">Emission Factor (Road Freight - HGV):</w:t>
      </w:r>
      <w:r>
        <w:t xml:space="preserve"> </w:t>
      </w:r>
      <w:r>
        <w:t xml:space="preserve">Assumed 0.09 kgCO2e/tkm.</w:t>
      </w:r>
    </w:p>
    <w:bookmarkEnd w:id="24"/>
    <w:bookmarkStart w:id="25" w:name="use-phase"/>
    <w:p>
      <w:pPr>
        <w:pStyle w:val="Heading3"/>
      </w:pPr>
      <w:r>
        <w:t xml:space="preserve">2.4. Use Phase</w:t>
      </w:r>
    </w:p>
    <w:p>
      <w:pPr>
        <w:numPr>
          <w:ilvl w:val="0"/>
          <w:numId w:val="1007"/>
        </w:numPr>
        <w:pStyle w:val="Compact"/>
      </w:pPr>
      <w:r>
        <w:rPr>
          <w:bCs/>
          <w:b/>
        </w:rPr>
        <w:t xml:space="preserve">Product Lifespan (dkosxumusj):</w:t>
      </w:r>
      <w:r>
        <w:t xml:space="preserve"> </w:t>
      </w:r>
      <w:r>
        <w:t xml:space="preserve">Assumed 5 years.</w:t>
      </w:r>
    </w:p>
    <w:p>
      <w:pPr>
        <w:numPr>
          <w:ilvl w:val="0"/>
          <w:numId w:val="1007"/>
        </w:numPr>
        <w:pStyle w:val="Compact"/>
      </w:pPr>
      <w:r>
        <w:rPr>
          <w:bCs/>
          <w:b/>
        </w:rPr>
        <w:t xml:space="preserve">Energy Consumption in Use (opqfpjzlvz):</w:t>
      </w:r>
      <w:r>
        <w:t xml:space="preserve"> </w:t>
      </w:r>
      <w:r>
        <w:t xml:space="preserve">Assumed 2 kWh/year.</w:t>
      </w:r>
    </w:p>
    <w:p>
      <w:pPr>
        <w:numPr>
          <w:ilvl w:val="0"/>
          <w:numId w:val="1007"/>
        </w:numPr>
        <w:pStyle w:val="Compact"/>
      </w:pPr>
      <w:r>
        <w:rPr>
          <w:bCs/>
          <w:b/>
        </w:rPr>
        <w:t xml:space="preserve">Electricity Grid Emission Factor (User Location - Europe):</w:t>
      </w:r>
      <w:r>
        <w:t xml:space="preserve"> </w:t>
      </w:r>
      <w:r>
        <w:t xml:space="preserve">Assumed 0.25 kgCO2e/kWh (average European grid mix).</w:t>
      </w:r>
    </w:p>
    <w:bookmarkEnd w:id="25"/>
    <w:bookmarkStart w:id="26" w:name="end-of-life-eol"/>
    <w:p>
      <w:pPr>
        <w:pStyle w:val="Heading3"/>
      </w:pPr>
      <w:r>
        <w:t xml:space="preserve">2.5. End-of-Life (EoL)</w:t>
      </w:r>
    </w:p>
    <w:p>
      <w:pPr>
        <w:numPr>
          <w:ilvl w:val="0"/>
          <w:numId w:val="1008"/>
        </w:numPr>
        <w:pStyle w:val="Compact"/>
      </w:pPr>
      <w:r>
        <w:rPr>
          <w:bCs/>
          <w:b/>
        </w:rPr>
        <w:t xml:space="preserve">Recyclability Percentage (imlpxhqztm):</w:t>
      </w:r>
      <w:r>
        <w:t xml:space="preserve"> </w:t>
      </w:r>
      <w:r>
        <w:t xml:space="preserve">Assumed 70% of the product\'s mass is recycled.</w:t>
      </w:r>
    </w:p>
    <w:p>
      <w:pPr>
        <w:numPr>
          <w:ilvl w:val="0"/>
          <w:numId w:val="1008"/>
        </w:numPr>
        <w:pStyle w:val="Compact"/>
      </w:pPr>
      <w:r>
        <w:rPr>
          <w:bCs/>
          <w:b/>
        </w:rPr>
        <w:t xml:space="preserve">Circular/Take-back Programs (gofueughet):</w:t>
      </w:r>
      <w:r>
        <w:t xml:space="preserve"> </w:t>
      </w:r>
      <w:r>
        <w:t xml:space="preserve">Active take-back program for electronics, enhancing material recovery and reducing landfill.</w:t>
      </w:r>
    </w:p>
    <w:p>
      <w:pPr>
        <w:numPr>
          <w:ilvl w:val="0"/>
          <w:numId w:val="1008"/>
        </w:numPr>
        <w:pStyle w:val="Compact"/>
      </w:pPr>
      <w:r>
        <w:rPr>
          <w:bCs/>
          <w:b/>
        </w:rPr>
        <w:t xml:space="preserve">Remaining Waste:</w:t>
      </w:r>
      <w:r>
        <w:t xml:space="preserve"> </w:t>
      </w:r>
      <w:r>
        <w:t xml:space="preserve">30% of the product\'s mass (0.74 kg * 0.30 = 0.222 kg) is assumed to go to landfill/incineration.</w:t>
      </w:r>
    </w:p>
    <w:p>
      <w:pPr>
        <w:numPr>
          <w:ilvl w:val="0"/>
          <w:numId w:val="1008"/>
        </w:numPr>
        <w:pStyle w:val="Compact"/>
      </w:pPr>
      <w:r>
        <w:rPr>
          <w:bCs/>
          <w:b/>
        </w:rPr>
        <w:t xml:space="preserve">Recycling Credit:</w:t>
      </w:r>
      <w:r>
        <w:t xml:space="preserve"> </w:t>
      </w:r>
      <w:r>
        <w:t xml:space="preserve">Assumed -1.0 kgCO2e/kg for recycled materials (avoided virgin production).</w:t>
      </w:r>
    </w:p>
    <w:p>
      <w:pPr>
        <w:numPr>
          <w:ilvl w:val="0"/>
          <w:numId w:val="1008"/>
        </w:numPr>
        <w:pStyle w:val="Compact"/>
      </w:pPr>
      <w:r>
        <w:rPr>
          <w:bCs/>
          <w:b/>
        </w:rPr>
        <w:t xml:space="preserve">Landfill Emission Factor:</w:t>
      </w:r>
      <w:r>
        <w:t xml:space="preserve"> </w:t>
      </w:r>
      <w:r>
        <w:t xml:space="preserve">Assumed 0.5 kgCO2e/kg (net emissions from decomposition/incineration).</w:t>
      </w:r>
    </w:p>
    <w:p>
      <w:r>
        <w:pict>
          <v:rect style="width:0;height:1.5pt" o:hralign="center" o:hrstd="t" o:hr="t"/>
        </w:pict>
      </w:r>
    </w:p>
    <w:bookmarkEnd w:id="26"/>
    <w:bookmarkEnd w:id="27"/>
    <w:bookmarkStart w:id="35" w:name="emission-calculation-ghg-protocol-scopes"/>
    <w:p>
      <w:pPr>
        <w:pStyle w:val="Heading2"/>
      </w:pPr>
      <w:r>
        <w:t xml:space="preserve">4. Emission Calculation (GHG Protocol Scopes)</w:t>
      </w:r>
    </w:p>
    <w:p>
      <w:pPr>
        <w:pStyle w:val="FirstParagraph"/>
      </w:pPr>
      <w:r>
        <w:t xml:space="preserve">Emissions are calculated based on the collected activity data multiplied by appropriate emission factors. Results are categorized according to GHG Protocol Scopes.</w:t>
      </w:r>
    </w:p>
    <w:bookmarkStart w:id="28" w:name="scope-1-emissions-direct-emissions"/>
    <w:p>
      <w:pPr>
        <w:pStyle w:val="Heading3"/>
      </w:pPr>
      <w:r>
        <w:t xml:space="preserve">4.1. Scope 1 Emissions (Direct Emissions)</w:t>
      </w:r>
    </w:p>
    <w:p>
      <w:pPr>
        <w:pStyle w:val="FirstParagraph"/>
      </w:pPr>
      <w:r>
        <w:t xml:space="preserve">For a Product Carbon Footprint with a \'factory_gate\' system boundary and no explicit mention of direct combustion or process emissions *within* the factory gate directly attributable to the product\'s manufacturing beyond purchased energy, Scope 1 emissions are considered negligible or zero. Any minor direct emissions from on-site machinery fuel combustion would typically be captured at an organizational level or be part of purchased energy\'s upstream scope 3. For this PCF, we assume 0 kgCO2e for Scope 1.</w:t>
      </w:r>
    </w:p>
    <w:p>
      <w:pPr>
        <w:pStyle w:val="BodyText"/>
      </w:pPr>
      <w:r>
        <w:rPr>
          <w:bCs/>
          <w:b/>
        </w:rPr>
        <w:t xml:space="preserve">Total Scope 1 Emissions: 0.00 kgCO2e</w:t>
      </w:r>
    </w:p>
    <w:bookmarkEnd w:id="28"/>
    <w:bookmarkStart w:id="29" w:name="scope-2-emissions-purchased-energy"/>
    <w:p>
      <w:pPr>
        <w:pStyle w:val="Heading3"/>
      </w:pPr>
      <w:r>
        <w:t xml:space="preserve">4.2. Scope 2 Emissions (Purchased Energy)</w:t>
      </w:r>
    </w:p>
    <w:p>
      <w:pPr>
        <w:pStyle w:val="FirstParagraph"/>
      </w:pPr>
      <w:r>
        <w:t xml:space="preserve">These emissions relate to the electricity consumed during the product\'s manufacturing phase at the China production facility.</w:t>
      </w:r>
    </w:p>
    <w:p>
      <w:pPr>
        <w:numPr>
          <w:ilvl w:val="0"/>
          <w:numId w:val="1009"/>
        </w:numPr>
        <w:pStyle w:val="Compact"/>
      </w:pPr>
      <w:r>
        <w:t xml:space="preserve">Total Energy Intensity: 10 kWh/unit</w:t>
      </w:r>
    </w:p>
    <w:p>
      <w:pPr>
        <w:numPr>
          <w:ilvl w:val="0"/>
          <w:numId w:val="1009"/>
        </w:numPr>
        <w:pStyle w:val="Compact"/>
      </w:pPr>
      <w:r>
        <w:t xml:space="preserve">Renewable Energy Usage: 60%</w:t>
      </w:r>
    </w:p>
    <w:p>
      <w:pPr>
        <w:numPr>
          <w:ilvl w:val="0"/>
          <w:numId w:val="1009"/>
        </w:numPr>
        <w:pStyle w:val="Compact"/>
      </w:pPr>
      <w:r>
        <w:t xml:space="preserve">Grid Electricity Used: 10 kWh/unit * (1 - 0.60) = 4 kWh/unit</w:t>
      </w:r>
    </w:p>
    <w:p>
      <w:pPr>
        <w:numPr>
          <w:ilvl w:val="0"/>
          <w:numId w:val="1009"/>
        </w:numPr>
        <w:pStyle w:val="Compact"/>
      </w:pPr>
      <w:r>
        <w:t xml:space="preserve">Grid Electricity Emission Factor (China): 0.6 kgCO2e/kWh</w:t>
      </w:r>
    </w:p>
    <w:p>
      <w:pPr>
        <w:numPr>
          <w:ilvl w:val="0"/>
          <w:numId w:val="1009"/>
        </w:numPr>
        <w:pStyle w:val="Compact"/>
      </w:pPr>
      <w:r>
        <w:rPr>
          <w:bCs/>
          <w:b/>
        </w:rPr>
        <w:t xml:space="preserve">Scope 2 Emissions:</w:t>
      </w:r>
      <w:r>
        <w:t xml:space="preserve"> </w:t>
      </w:r>
      <w:r>
        <w:t xml:space="preserve">4 kWh/unit * 0.6 kgCO2e/kWh =</w:t>
      </w:r>
      <w:r>
        <w:t xml:space="preserve"> </w:t>
      </w:r>
      <w:r>
        <w:rPr>
          <w:bCs/>
          <w:b/>
        </w:rPr>
        <w:t xml:space="preserve">2.40 kgCO2e</w:t>
      </w:r>
    </w:p>
    <w:p>
      <w:pPr>
        <w:pStyle w:val="FirstParagraph"/>
      </w:pPr>
      <w:r>
        <w:rPr>
          <w:bCs/>
          <w:b/>
        </w:rPr>
        <w:t xml:space="preserve">Total Scope 2 Emissions: 2.40 kgCO2e</w:t>
      </w:r>
    </w:p>
    <w:bookmarkEnd w:id="29"/>
    <w:bookmarkStart w:id="32" w:name="scope-3-emissions-value-chain-emissions"/>
    <w:p>
      <w:pPr>
        <w:pStyle w:val="Heading3"/>
      </w:pPr>
      <w:r>
        <w:t xml:space="preserve">4.3. Scope 3 Emissions (Value Chain Emissions)</w:t>
      </w:r>
    </w:p>
    <w:p>
      <w:pPr>
        <w:pStyle w:val="FirstParagraph"/>
      </w:pPr>
      <w:r>
        <w:t xml:space="preserve">Scope 3 emissions cover all other indirect emissions throughout the product\'s value chain, both upstream and downstream.</w:t>
      </w:r>
    </w:p>
    <w:bookmarkStart w:id="30" w:name="upstream-emissions"/>
    <w:p>
      <w:pPr>
        <w:pStyle w:val="Heading4"/>
      </w:pPr>
      <w:r>
        <w:t xml:space="preserve">4.3.1. Upstream Emissions</w:t>
      </w:r>
    </w:p>
    <w:p>
      <w:pPr>
        <w:numPr>
          <w:ilvl w:val="0"/>
          <w:numId w:val="1010"/>
        </w:numPr>
        <w:pStyle w:val="Compact"/>
      </w:pPr>
      <w:r>
        <w:rPr>
          <w:bCs/>
          <w:b/>
        </w:rPr>
        <w:t xml:space="preserve">Materials (from BOM):</w:t>
      </w:r>
      <w:r>
        <w:t xml:space="preserve"> </w:t>
      </w:r>
      <w:r>
        <w:t xml:space="preserve">Sum of \'Total Carbon\' from the simulated BOM.</w:t>
      </w:r>
      <w:r>
        <w:br/>
      </w:r>
      <w:r>
        <w:t xml:space="preserve">3.000 + 0.375 + 12.000 + 0.300 + 1.600 + 1.050 + 0.120 + 0.008 =</w:t>
      </w:r>
      <w:r>
        <w:t xml:space="preserve"> </w:t>
      </w:r>
      <w:r>
        <w:rPr>
          <w:bCs/>
          <w:b/>
        </w:rPr>
        <w:t xml:space="preserve">18.453 kgCO2e</w:t>
      </w:r>
    </w:p>
    <w:p>
      <w:pPr>
        <w:numPr>
          <w:ilvl w:val="0"/>
          <w:numId w:val="1010"/>
        </w:numPr>
        <w:pStyle w:val="Compact"/>
      </w:pPr>
      <w:r>
        <w:rPr>
          <w:bCs/>
          <w:b/>
        </w:rPr>
        <w:t xml:space="preserve">Inbound Transport (Europe to China):</w:t>
      </w:r>
    </w:p>
    <w:p>
      <w:pPr>
        <w:numPr>
          <w:ilvl w:val="1"/>
          <w:numId w:val="1011"/>
        </w:numPr>
        <w:pStyle w:val="Compact"/>
      </w:pPr>
      <w:r>
        <w:t xml:space="preserve">Total material weight for transport: 0.70 kg</w:t>
      </w:r>
    </w:p>
    <w:p>
      <w:pPr>
        <w:numPr>
          <w:ilvl w:val="1"/>
          <w:numId w:val="1011"/>
        </w:numPr>
        <w:pStyle w:val="Compact"/>
      </w:pPr>
      <w:r>
        <w:t xml:space="preserve">Distance: 10,000 km</w:t>
      </w:r>
    </w:p>
    <w:p>
      <w:pPr>
        <w:numPr>
          <w:ilvl w:val="1"/>
          <w:numId w:val="1011"/>
        </w:numPr>
        <w:pStyle w:val="Compact"/>
      </w:pPr>
      <w:r>
        <w:t xml:space="preserve">Emissions: 0.70 kg * (1 tonne / 1000 kg) * 10,000 km * 0.008 kgCO2e/tkm =</w:t>
      </w:r>
      <w:r>
        <w:t xml:space="preserve"> </w:t>
      </w:r>
      <w:r>
        <w:rPr>
          <w:bCs/>
          <w:b/>
        </w:rPr>
        <w:t xml:space="preserve">0.056 kgCO2e</w:t>
      </w:r>
    </w:p>
    <w:p>
      <w:pPr>
        <w:pStyle w:val="FirstParagraph"/>
      </w:pPr>
      <w:r>
        <w:rPr>
          <w:bCs/>
          <w:b/>
        </w:rPr>
        <w:t xml:space="preserve">Subtotal Upstream Emissions (Scope 3, Category 1 &amp; 4): 18.453 + 0.056 = 18.509 kgCO2e</w:t>
      </w:r>
    </w:p>
    <w:bookmarkEnd w:id="30"/>
    <w:bookmarkStart w:id="31" w:name="downstream-emissions"/>
    <w:p>
      <w:pPr>
        <w:pStyle w:val="Heading4"/>
      </w:pPr>
      <w:r>
        <w:t xml:space="preserve">4.3.2. Downstream Emissions</w:t>
      </w:r>
    </w:p>
    <w:p>
      <w:pPr>
        <w:numPr>
          <w:ilvl w:val="0"/>
          <w:numId w:val="1012"/>
        </w:numPr>
        <w:pStyle w:val="Compact"/>
      </w:pPr>
      <w:r>
        <w:rPr>
          <w:bCs/>
          <w:b/>
        </w:rPr>
        <w:t xml:space="preserve">Outbound Transport (China to Consumer):</w:t>
      </w:r>
    </w:p>
    <w:p>
      <w:pPr>
        <w:numPr>
          <w:ilvl w:val="1"/>
          <w:numId w:val="1013"/>
        </w:numPr>
        <w:pStyle w:val="Compact"/>
      </w:pPr>
      <w:r>
        <w:t xml:space="preserve">Product weight for transport: 0.74 kg</w:t>
      </w:r>
    </w:p>
    <w:p>
      <w:pPr>
        <w:numPr>
          <w:ilvl w:val="1"/>
          <w:numId w:val="1013"/>
        </w:numPr>
        <w:pStyle w:val="Compact"/>
      </w:pPr>
      <w:r>
        <w:t xml:space="preserve">Ocean Freight: 0.74 kg * (1 tonne / 1000 kg) * 10,000 km * 0.008 kgCO2e/tkm = 0.059 kgCO2e</w:t>
      </w:r>
    </w:p>
    <w:p>
      <w:pPr>
        <w:numPr>
          <w:ilvl w:val="1"/>
          <w:numId w:val="1013"/>
        </w:numPr>
        <w:pStyle w:val="Compact"/>
      </w:pPr>
      <w:r>
        <w:t xml:space="preserve">Road Freight (Last-Mile): 0.74 kg * (1 tonne / 1000 kg) * 500 km * 0.09 kgCO2e/tkm = 0.033 kgCO2e</w:t>
      </w:r>
    </w:p>
    <w:p>
      <w:pPr>
        <w:numPr>
          <w:ilvl w:val="1"/>
          <w:numId w:val="1013"/>
        </w:numPr>
        <w:pStyle w:val="Compact"/>
      </w:pPr>
      <w:r>
        <w:rPr>
          <w:bCs/>
          <w:b/>
        </w:rPr>
        <w:t xml:space="preserve">Total Outbound Transport Emissions:</w:t>
      </w:r>
      <w:r>
        <w:t xml:space="preserve"> </w:t>
      </w:r>
      <w:r>
        <w:t xml:space="preserve">0.059 + 0.033 =</w:t>
      </w:r>
      <w:r>
        <w:t xml:space="preserve"> </w:t>
      </w:r>
      <w:r>
        <w:rPr>
          <w:bCs/>
          <w:b/>
        </w:rPr>
        <w:t xml:space="preserve">0.092 kgCO2e</w:t>
      </w:r>
    </w:p>
    <w:p>
      <w:pPr>
        <w:numPr>
          <w:ilvl w:val="0"/>
          <w:numId w:val="1012"/>
        </w:numPr>
        <w:pStyle w:val="Compact"/>
      </w:pPr>
      <w:r>
        <w:rPr>
          <w:bCs/>
          <w:b/>
        </w:rPr>
        <w:t xml:space="preserve">Use Phase Emissions:</w:t>
      </w:r>
    </w:p>
    <w:p>
      <w:pPr>
        <w:numPr>
          <w:ilvl w:val="1"/>
          <w:numId w:val="1014"/>
        </w:numPr>
        <w:pStyle w:val="Compact"/>
      </w:pPr>
      <w:r>
        <w:t xml:space="preserve">Energy Consumption: 2 kWh/year * 5 years = 10 kWh</w:t>
      </w:r>
    </w:p>
    <w:p>
      <w:pPr>
        <w:numPr>
          <w:ilvl w:val="1"/>
          <w:numId w:val="1014"/>
        </w:numPr>
        <w:pStyle w:val="Compact"/>
      </w:pPr>
      <w:r>
        <w:t xml:space="preserve">Grid Emission Factor (Europe): 0.25 kgCO2e/kWh</w:t>
      </w:r>
    </w:p>
    <w:p>
      <w:pPr>
        <w:numPr>
          <w:ilvl w:val="1"/>
          <w:numId w:val="1014"/>
        </w:numPr>
        <w:pStyle w:val="Compact"/>
      </w:pPr>
      <w:r>
        <w:rPr>
          <w:bCs/>
          <w:b/>
        </w:rPr>
        <w:t xml:space="preserve">Use Phase Emissions:</w:t>
      </w:r>
      <w:r>
        <w:t xml:space="preserve"> </w:t>
      </w:r>
      <w:r>
        <w:t xml:space="preserve">10 kWh * 0.25 kgCO2e/kWh =</w:t>
      </w:r>
      <w:r>
        <w:t xml:space="preserve"> </w:t>
      </w:r>
      <w:r>
        <w:rPr>
          <w:bCs/>
          <w:b/>
        </w:rPr>
        <w:t xml:space="preserve">2.50 kgCO2e</w:t>
      </w:r>
    </w:p>
    <w:p>
      <w:pPr>
        <w:numPr>
          <w:ilvl w:val="0"/>
          <w:numId w:val="1012"/>
        </w:numPr>
        <w:pStyle w:val="Compact"/>
      </w:pPr>
      <w:r>
        <w:rPr>
          <w:bCs/>
          <w:b/>
        </w:rPr>
        <w:t xml:space="preserve">End-of-Life Emissions:</w:t>
      </w:r>
    </w:p>
    <w:p>
      <w:pPr>
        <w:numPr>
          <w:ilvl w:val="1"/>
          <w:numId w:val="1015"/>
        </w:numPr>
        <w:pStyle w:val="Compact"/>
      </w:pPr>
      <w:r>
        <w:t xml:space="preserve">Total product mass (approx.): 0.74 kg</w:t>
      </w:r>
    </w:p>
    <w:p>
      <w:pPr>
        <w:numPr>
          <w:ilvl w:val="1"/>
          <w:numId w:val="1015"/>
        </w:numPr>
        <w:pStyle w:val="Compact"/>
      </w:pPr>
      <w:r>
        <w:t xml:space="preserve">Recycled mass: 0.74 kg * 0.70 = 0.518 kg</w:t>
      </w:r>
    </w:p>
    <w:p>
      <w:pPr>
        <w:numPr>
          <w:ilvl w:val="1"/>
          <w:numId w:val="1015"/>
        </w:numPr>
        <w:pStyle w:val="Compact"/>
      </w:pPr>
      <w:r>
        <w:t xml:space="preserve">Landfilled mass: 0.74 kg * 0.30 = 0.222 kg</w:t>
      </w:r>
    </w:p>
    <w:p>
      <w:pPr>
        <w:numPr>
          <w:ilvl w:val="1"/>
          <w:numId w:val="1015"/>
        </w:numPr>
        <w:pStyle w:val="Compact"/>
      </w:pPr>
      <w:r>
        <w:t xml:space="preserve">Recycling Credit: 0.518 kg * -1.0 kgCO2e/kg = -0.518 kgCO2e</w:t>
      </w:r>
    </w:p>
    <w:p>
      <w:pPr>
        <w:numPr>
          <w:ilvl w:val="1"/>
          <w:numId w:val="1015"/>
        </w:numPr>
        <w:pStyle w:val="Compact"/>
      </w:pPr>
      <w:r>
        <w:t xml:space="preserve">Landfill Emissions: 0.222 kg * 0.5 kgCO2e/kg = 0.111 kgCO2e</w:t>
      </w:r>
    </w:p>
    <w:p>
      <w:pPr>
        <w:numPr>
          <w:ilvl w:val="1"/>
          <w:numId w:val="1015"/>
        </w:numPr>
        <w:pStyle w:val="Compact"/>
      </w:pPr>
      <w:r>
        <w:rPr>
          <w:bCs/>
          <w:b/>
        </w:rPr>
        <w:t xml:space="preserve">Total End-of-Life Emissions:</w:t>
      </w:r>
      <w:r>
        <w:t xml:space="preserve"> </w:t>
      </w:r>
      <w:r>
        <w:t xml:space="preserve">-0.518 + 0.111 =</w:t>
      </w:r>
      <w:r>
        <w:t xml:space="preserve"> </w:t>
      </w:r>
      <w:r>
        <w:rPr>
          <w:bCs/>
          <w:b/>
        </w:rPr>
        <w:t xml:space="preserve">-0.407 kgCO2e</w:t>
      </w:r>
      <w:r>
        <w:t xml:space="preserve"> </w:t>
      </w:r>
      <w:r>
        <w:t xml:space="preserve">(net removal/avoided emissions)</w:t>
      </w:r>
    </w:p>
    <w:p>
      <w:pPr>
        <w:pStyle w:val="FirstParagraph"/>
      </w:pPr>
      <w:r>
        <w:rPr>
          <w:bCs/>
          <w:b/>
        </w:rPr>
        <w:t xml:space="preserve">Subtotal Downstream Emissions (Scope 3, Category 9, 11, 12): 0.092 + 2.50 + (-0.407) = 2.185 kgCO2e</w:t>
      </w:r>
    </w:p>
    <w:p>
      <w:pPr>
        <w:pStyle w:val="BodyText"/>
      </w:pPr>
      <w:r>
        <w:rPr>
          <w:bCs/>
          <w:b/>
        </w:rPr>
        <w:t xml:space="preserve">Total Scope 3 Emissions:</w:t>
      </w:r>
      <w:r>
        <w:t xml:space="preserve"> </w:t>
      </w:r>
      <w:r>
        <w:t xml:space="preserve">18.509 + 2.185 =</w:t>
      </w:r>
      <w:r>
        <w:t xml:space="preserve"> </w:t>
      </w:r>
      <w:r>
        <w:rPr>
          <w:bCs/>
          <w:b/>
        </w:rPr>
        <w:t xml:space="preserve">20.694 kgCO2e</w:t>
      </w:r>
    </w:p>
    <w:bookmarkEnd w:id="31"/>
    <w:bookmarkEnd w:id="32"/>
    <w:bookmarkStart w:id="33" w:name="lsr-update-land-sector-and-removals"/>
    <w:p>
      <w:pPr>
        <w:pStyle w:val="Heading3"/>
      </w:pPr>
      <w:r>
        <w:t xml:space="preserve">4.4. 2026 LSR Update (Land Sector and Removals)</w:t>
      </w:r>
    </w:p>
    <w:p>
      <w:pPr>
        <w:pStyle w:val="FirstParagraph"/>
      </w:pPr>
      <w:r>
        <w:t xml:space="preserve">The Land Sector and Removals (LSR) Standard aims to provide consistent approaches for accounting for GHG emissions and removals from land use and land-use change. For this specific product PCF, direct land-use change emissions or removals (e.g., from bio-based materials with certified sustainable sourcing) are not explicitly detailed in the provided parameters. However, the use of \'Recycled ABS Plastic\', \'Recycled Cardboard\', and \'Recycled Paper\' implies avoided land-use impacts associated with virgin material extraction, contributing positively to the LSR goals by reducing demand for primary resources. The recycling credits calculated in the EoL phase partially reflect this concept by crediting for avoided virgin material production. Without explicit land-use change data linked to specific raw materials, direct LSR application beyond these indirect benefits is not quantifiable within the given scope. Further analysis for materials such as wood fibers or agricultural products would require specific LSR data.</w:t>
      </w:r>
    </w:p>
    <w:bookmarkEnd w:id="33"/>
    <w:bookmarkStart w:id="34" w:name="scope-3-compliance-95-coverage"/>
    <w:p>
      <w:pPr>
        <w:pStyle w:val="Heading3"/>
      </w:pPr>
      <w:r>
        <w:t xml:space="preserve">4.5. Scope 3 Compliance (95% Coverage)</w:t>
      </w:r>
    </w:p>
    <w:p>
      <w:pPr>
        <w:pStyle w:val="FirstParagraph"/>
      </w:pPr>
      <w:r>
        <w:t xml:space="preserve">Given the cradle-to-grave approach and inclusion of all major lifecycle stages (materials, manufacturing, transport, use, EoL), this PCF analysis for hhkklfluzv aims for and is estimated to achieve at least 95% coverage for Scope 3 reporting, as per 2026 requirements. The key emission categories are well-represented, and the use of a detailed BOM significantly enhances accuracy for material-related impacts.</w:t>
      </w:r>
    </w:p>
    <w:p>
      <w:r>
        <w:pict>
          <v:rect style="width:0;height:1.5pt" o:hralign="center" o:hrstd="t" o:hr="t"/>
        </w:pict>
      </w:r>
    </w:p>
    <w:bookmarkEnd w:id="34"/>
    <w:bookmarkEnd w:id="35"/>
    <w:bookmarkStart w:id="39" w:name="review-report"/>
    <w:p>
      <w:pPr>
        <w:pStyle w:val="Heading2"/>
      </w:pPr>
      <w:r>
        <w:t xml:space="preserve">5. Review &amp; Report</w:t>
      </w:r>
    </w:p>
    <w:bookmarkStart w:id="36" w:name="X53eba727f855d0bb93e179ccfaf34704fd62077"/>
    <w:p>
      <w:pPr>
        <w:pStyle w:val="Heading3"/>
      </w:pPr>
      <w:r>
        <w:t xml:space="preserve">5.1. Summary of Product Carbon Footprint for hhkklfluzv</w:t>
      </w:r>
    </w:p>
    <w:p>
      <w:pPr>
        <w:pStyle w:val="FirstParagraph"/>
      </w:pPr>
      <w:r>
        <w:t xml:space="preserve">The total Product Carbon Footprint for one functional unit of hhkklfluzv is calculated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2.40</w:t>
            </w:r>
          </w:p>
        </w:tc>
        <w:tc>
          <w:tcPr/>
          <w:p>
            <w:pPr>
              <w:pStyle w:val="Compact"/>
              <w:jc w:val="left"/>
            </w:pPr>
            <w:r>
              <w:t xml:space="preserve">10.3%</w:t>
            </w:r>
          </w:p>
        </w:tc>
      </w:tr>
      <w:tr>
        <w:tc>
          <w:tcPr/>
          <w:p>
            <w:pPr>
              <w:pStyle w:val="Compact"/>
              <w:jc w:val="left"/>
            </w:pPr>
            <w:r>
              <w:t xml:space="preserve">Scope 3 (Upstream)</w:t>
            </w:r>
          </w:p>
        </w:tc>
        <w:tc>
          <w:tcPr/>
          <w:p>
            <w:pPr>
              <w:pStyle w:val="Compact"/>
              <w:jc w:val="left"/>
            </w:pPr>
            <w:r>
              <w:t xml:space="preserve">Materials</w:t>
            </w:r>
          </w:p>
        </w:tc>
        <w:tc>
          <w:tcPr/>
          <w:p>
            <w:pPr>
              <w:pStyle w:val="Compact"/>
              <w:jc w:val="left"/>
            </w:pPr>
            <w:r>
              <w:t xml:space="preserve">18.453</w:t>
            </w:r>
          </w:p>
        </w:tc>
        <w:tc>
          <w:tcPr/>
          <w:p>
            <w:pPr>
              <w:pStyle w:val="Compact"/>
              <w:jc w:val="left"/>
            </w:pPr>
            <w:r>
              <w:t xml:space="preserve">79.4%</w:t>
            </w:r>
          </w:p>
        </w:tc>
      </w:tr>
      <w:tr>
        <w:tc>
          <w:tcPr/>
          <w:p>
            <w:pPr>
              <w:pStyle w:val="Compact"/>
              <w:jc w:val="left"/>
            </w:pPr>
            <w:r>
              <w:t xml:space="preserve">Scope 3 (Upstream)</w:t>
            </w:r>
          </w:p>
        </w:tc>
        <w:tc>
          <w:tcPr/>
          <w:p>
            <w:pPr>
              <w:pStyle w:val="Compact"/>
              <w:jc w:val="left"/>
            </w:pPr>
            <w:r>
              <w:t xml:space="preserve">Inbound Transport</w:t>
            </w:r>
          </w:p>
        </w:tc>
        <w:tc>
          <w:tcPr/>
          <w:p>
            <w:pPr>
              <w:pStyle w:val="Compact"/>
              <w:jc w:val="left"/>
            </w:pPr>
            <w:r>
              <w:t xml:space="preserve">0.056</w:t>
            </w:r>
          </w:p>
        </w:tc>
        <w:tc>
          <w:tcPr/>
          <w:p>
            <w:pPr>
              <w:pStyle w:val="Compact"/>
              <w:jc w:val="left"/>
            </w:pPr>
            <w:r>
              <w:t xml:space="preserve">0.2%</w:t>
            </w:r>
          </w:p>
        </w:tc>
      </w:tr>
      <w:tr>
        <w:tc>
          <w:tcPr/>
          <w:p>
            <w:pPr>
              <w:pStyle w:val="Compact"/>
              <w:jc w:val="left"/>
            </w:pPr>
            <w:r>
              <w:t xml:space="preserve">Scope 3 (Downstream)</w:t>
            </w:r>
          </w:p>
        </w:tc>
        <w:tc>
          <w:tcPr/>
          <w:p>
            <w:pPr>
              <w:pStyle w:val="Compact"/>
              <w:jc w:val="left"/>
            </w:pPr>
            <w:r>
              <w:t xml:space="preserve">Outbound Transport</w:t>
            </w:r>
          </w:p>
        </w:tc>
        <w:tc>
          <w:tcPr/>
          <w:p>
            <w:pPr>
              <w:pStyle w:val="Compact"/>
              <w:jc w:val="left"/>
            </w:pPr>
            <w:r>
              <w:t xml:space="preserve">0.092</w:t>
            </w:r>
          </w:p>
        </w:tc>
        <w:tc>
          <w:tcPr/>
          <w:p>
            <w:pPr>
              <w:pStyle w:val="Compact"/>
              <w:jc w:val="left"/>
            </w:pPr>
            <w:r>
              <w:t xml:space="preserve">0.4%</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2.50</w:t>
            </w:r>
          </w:p>
        </w:tc>
        <w:tc>
          <w:tcPr/>
          <w:p>
            <w:pPr>
              <w:pStyle w:val="Compact"/>
              <w:jc w:val="left"/>
            </w:pPr>
            <w:r>
              <w:t xml:space="preserve">10.8%</w:t>
            </w:r>
          </w:p>
        </w:tc>
      </w:tr>
      <w:tr>
        <w:tc>
          <w:tcPr/>
          <w:p>
            <w:pPr>
              <w:pStyle w:val="Compact"/>
              <w:jc w:val="left"/>
            </w:pPr>
            <w:r>
              <w:t xml:space="preserve">Scope 3 (Downstream)</w:t>
            </w:r>
          </w:p>
        </w:tc>
        <w:tc>
          <w:tcPr/>
          <w:p>
            <w:pPr>
              <w:pStyle w:val="Compact"/>
              <w:jc w:val="left"/>
            </w:pPr>
            <w:r>
              <w:t xml:space="preserve">End-of-Life (Net)</w:t>
            </w:r>
          </w:p>
        </w:tc>
        <w:tc>
          <w:tcPr/>
          <w:p>
            <w:pPr>
              <w:pStyle w:val="Compact"/>
              <w:jc w:val="left"/>
            </w:pPr>
            <w:r>
              <w:t xml:space="preserve">-0.407</w:t>
            </w:r>
          </w:p>
        </w:tc>
        <w:tc>
          <w:tcPr/>
          <w:p>
            <w:pPr>
              <w:pStyle w:val="Compact"/>
              <w:jc w:val="left"/>
            </w:pPr>
            <w:r>
              <w:t xml:space="preserve">-1.8%</w:t>
            </w:r>
          </w:p>
        </w:tc>
      </w:tr>
      <w:tr>
        <w:tc>
          <w:tcPr>
            <w:gridSpan w:val="2"/>
          </w:tcPr>
          <w:p>
            <w:pPr>
              <w:pStyle w:val="Compact"/>
              <w:jc w:val="left"/>
            </w:pPr>
            <w:r>
              <w:rPr>
                <w:bCs/>
                <w:b/>
              </w:rPr>
              <w:t xml:space="preserve">TOTAL PRODUCT CARBON FOOTPRINT</w:t>
            </w:r>
          </w:p>
        </w:tc>
        <w:tc>
          <w:tcPr/>
          <w:p>
            <w:pPr>
              <w:pStyle w:val="Compact"/>
              <w:jc w:val="left"/>
            </w:pPr>
            <w:r>
              <w:rPr>
                <w:bCs/>
                <w:b/>
              </w:rPr>
              <w:t xml:space="preserve">23.094</w:t>
            </w:r>
          </w:p>
        </w:tc>
        <w:tc>
          <w:tcPr/>
          <w:p>
            <w:pPr>
              <w:pStyle w:val="Compact"/>
              <w:jc w:val="left"/>
            </w:pPr>
            <w:r>
              <w:rPr>
                <w:bCs/>
                <w:b/>
              </w:rPr>
              <w:t xml:space="preserve">100.0%</w:t>
            </w:r>
          </w:p>
        </w:tc>
      </w:tr>
    </w:tbl>
    <w:bookmarkEnd w:id="36"/>
    <w:bookmarkStart w:id="37" w:name="hotspots-and-reliability"/>
    <w:p>
      <w:pPr>
        <w:pStyle w:val="Heading3"/>
      </w:pPr>
      <w:r>
        <w:t xml:space="preserve">5.2. Hotspots and Reliability</w:t>
      </w:r>
    </w:p>
    <w:p>
      <w:pPr>
        <w:numPr>
          <w:ilvl w:val="0"/>
          <w:numId w:val="1016"/>
        </w:numPr>
        <w:pStyle w:val="Compact"/>
      </w:pPr>
      <w:r>
        <w:rPr>
          <w:bCs/>
          <w:b/>
        </w:rPr>
        <w:t xml:space="preserve">Material Production (Scope 3, Upstream)</w:t>
      </w:r>
      <w:r>
        <w:t xml:space="preserve"> </w:t>
      </w:r>
      <w:r>
        <w:t xml:space="preserve">is identified as the dominant hotspot, accounting for approximately 79.4% of the total PCF. The Silicon Microcontroller significantly contributes to this, indicating that raw material choices and sourcing from less carbon-intensive suppliers (e.g., those using renewable energy) are critical areas for reduction.</w:t>
      </w:r>
    </w:p>
    <w:p>
      <w:pPr>
        <w:numPr>
          <w:ilvl w:val="0"/>
          <w:numId w:val="1016"/>
        </w:numPr>
        <w:pStyle w:val="Compact"/>
      </w:pPr>
      <w:r>
        <w:rPr>
          <w:bCs/>
          <w:b/>
        </w:rPr>
        <w:t xml:space="preserve">Use Phase (Scope 3, Downstream)</w:t>
      </w:r>
      <w:r>
        <w:t xml:space="preserve"> </w:t>
      </w:r>
      <w:r>
        <w:t xml:space="preserve">contributes approximately 10.8%, highlighting the importance of energy efficiency during product operation and encouraging users to utilize renewable energy sources.</w:t>
      </w:r>
    </w:p>
    <w:p>
      <w:pPr>
        <w:numPr>
          <w:ilvl w:val="0"/>
          <w:numId w:val="1016"/>
        </w:numPr>
        <w:pStyle w:val="Compact"/>
      </w:pPr>
      <w:r>
        <w:rPr>
          <w:bCs/>
          <w:b/>
        </w:rPr>
        <w:t xml:space="preserve">Purchased Electricity (Scope 2)</w:t>
      </w:r>
      <w:r>
        <w:t xml:space="preserve"> </w:t>
      </w:r>
      <w:r>
        <w:t xml:space="preserve">in the production phase represents around 10.3%. The high renewable energy usage (60%) by rioivkmuxs significantly mitigates this impact; without it, this category would be substantially higher.</w:t>
      </w:r>
    </w:p>
    <w:p>
      <w:pPr>
        <w:numPr>
          <w:ilvl w:val="0"/>
          <w:numId w:val="1016"/>
        </w:numPr>
        <w:pStyle w:val="Compact"/>
      </w:pPr>
      <w:r>
        <w:rPr>
          <w:bCs/>
          <w:b/>
        </w:rPr>
        <w:t xml:space="preserve">End-of-Life (EoL)</w:t>
      </w:r>
      <w:r>
        <w:t xml:space="preserve"> </w:t>
      </w:r>
      <w:r>
        <w:t xml:space="preserve">shows a net negative emission, indicating that the high recyclability and active take-back programs are effectively avoiding emissions by enabling material recovery. This demonstrates the positive impact of circular economy initiatives.</w:t>
      </w:r>
    </w:p>
    <w:p>
      <w:pPr>
        <w:numPr>
          <w:ilvl w:val="0"/>
          <w:numId w:val="1016"/>
        </w:numPr>
        <w:pStyle w:val="Compact"/>
      </w:pPr>
      <w:r>
        <w:rPr>
          <w:bCs/>
          <w:b/>
        </w:rPr>
        <w:t xml:space="preserve">Reliability:</w:t>
      </w:r>
      <w:r>
        <w:t xml:space="preserve"> </w:t>
      </w:r>
      <w:r>
        <w:t xml:space="preserve">The reliability of this PCF is good for strategic insights, particularly due to the detailed BOM and a comprehensive lifecycle approach. However, it is important to note that specific emission factors for all materials and processes are based on generic industry averages. Utilizing primary data from suppliers for material production and transport, and specific grid mixes for all regions, would further enhance accuracy.</w:t>
      </w:r>
    </w:p>
    <w:bookmarkEnd w:id="37"/>
    <w:bookmarkStart w:id="38" w:name="recommendations-for-reduction"/>
    <w:p>
      <w:pPr>
        <w:pStyle w:val="Heading3"/>
      </w:pPr>
      <w:r>
        <w:t xml:space="preserve">5.3. Recommendations for Reduction</w:t>
      </w:r>
    </w:p>
    <w:p>
      <w:pPr>
        <w:numPr>
          <w:ilvl w:val="0"/>
          <w:numId w:val="1017"/>
        </w:numPr>
        <w:pStyle w:val="Compact"/>
      </w:pPr>
      <w:r>
        <w:rPr>
          <w:bCs/>
          <w:b/>
        </w:rPr>
        <w:t xml:space="preserve">Material Optimization:</w:t>
      </w:r>
      <w:r>
        <w:t xml:space="preserve"> </w:t>
      </w:r>
      <w:r>
        <w:t xml:space="preserve">Focus on reducing the material intensity of components with high emission factors (e.g., Silicon Microcontroller). Explore alternative low-carbon materials or suppliers with robust decarbonization strategies.</w:t>
      </w:r>
    </w:p>
    <w:p>
      <w:pPr>
        <w:numPr>
          <w:ilvl w:val="0"/>
          <w:numId w:val="1017"/>
        </w:numPr>
        <w:pStyle w:val="Compact"/>
      </w:pPr>
      <w:r>
        <w:rPr>
          <w:bCs/>
          <w:b/>
        </w:rPr>
        <w:t xml:space="preserve">Enhanced Circularity:</w:t>
      </w:r>
      <w:r>
        <w:t xml:space="preserve"> </w:t>
      </w:r>
      <w:r>
        <w:t xml:space="preserve">Continue to invest in and promote take-back and recycling programs. Explore design-for-disassembly to maximize material recovery and reduce EoL burdens further.</w:t>
      </w:r>
    </w:p>
    <w:p>
      <w:pPr>
        <w:numPr>
          <w:ilvl w:val="0"/>
          <w:numId w:val="1017"/>
        </w:numPr>
        <w:pStyle w:val="Compact"/>
      </w:pPr>
      <w:r>
        <w:rPr>
          <w:bCs/>
          <w:b/>
        </w:rPr>
        <w:t xml:space="preserve">Supply Chain Engagement:</w:t>
      </w:r>
      <w:r>
        <w:t xml:space="preserve"> </w:t>
      </w:r>
      <w:r>
        <w:t xml:space="preserve">Collaborate with key suppliers, especially for high-impact materials, to encourage the adoption of renewable energy and efficient production processes.</w:t>
      </w:r>
    </w:p>
    <w:p>
      <w:pPr>
        <w:numPr>
          <w:ilvl w:val="0"/>
          <w:numId w:val="1017"/>
        </w:numPr>
        <w:pStyle w:val="Compact"/>
      </w:pPr>
      <w:r>
        <w:rPr>
          <w:bCs/>
          <w:b/>
        </w:rPr>
        <w:t xml:space="preserve">User Engagement for Use Phase:</w:t>
      </w:r>
      <w:r>
        <w:t xml:space="preserve"> </w:t>
      </w:r>
      <w:r>
        <w:t xml:space="preserve">Provide guidance to users on energy-efficient operation and highlight the benefits of powering the device with renewable electricity.</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hhkklfluzv</dc:title>
  <dc:creator/>
  <dc:description>High-detail Product Carbon Footprint (PCF) analysis report for hhkklfluzv, conducted by ikohdtzsqn, Senior Sustainability Consultant at rioivkmuxs, adhering to GHG Protocol standards and 2026 LSR updates.</dc:description>
  <dc:language>en</dc:language>
  <cp:keywords/>
  <dcterms:created xsi:type="dcterms:W3CDTF">2026-07-16T01:12:34Z</dcterms:created>
  <dcterms:modified xsi:type="dcterms:W3CDTF">2026-07-16T01:12:34Z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