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Headphone</w:t>
      </w:r>
      <w:r>
        <w:t xml:space="preserve"> </w:t>
      </w:r>
      <w:r>
        <w:t xml:space="preserve">|</w:t>
      </w:r>
      <w:r>
        <w:t xml:space="preserve"> </w:t>
      </w:r>
      <w:r>
        <w:t xml:space="preserve">GHG</w:t>
      </w:r>
      <w:r>
        <w:t xml:space="preserve"> </w:t>
      </w:r>
      <w:r>
        <w:t xml:space="preserve">Protocol</w:t>
      </w:r>
      <w:r>
        <w:t xml:space="preserve"> </w:t>
      </w:r>
      <w:r>
        <w:t xml:space="preserve">PCF</w:t>
      </w:r>
      <w:r>
        <w:t xml:space="preserve"> </w:t>
      </w:r>
      <w:r>
        <w:t xml:space="preserve">Analysis</w:t>
      </w:r>
    </w:p>
    <w:p>
      <w:pPr>
        <w:pStyle w:val="FirstParagraph"/>
      </w:pPr>
      <w:r>
        <w:t xml:space="preserve">businessanalytiq.com</w:t>
      </w:r>
    </w:p>
    <w:p>
      <w:pPr>
        <w:pStyle w:val="BodyText"/>
      </w:pPr>
      <w:r>
        <w:t xml:space="preserve">GHG Protocol Product Standard &amp; Scope 3 Verification</w:t>
      </w:r>
    </w:p>
    <w:bookmarkStart w:id="21" w:name="product-carbon-footprint-pcf-analysis"/>
    <w:p>
      <w:pPr>
        <w:pStyle w:val="Heading1"/>
      </w:pPr>
      <w:r>
        <w:t xml:space="preserve">Product Carbon Footprint (PCF) Analysis</w:t>
      </w:r>
    </w:p>
    <w:bookmarkStart w:id="20" w:name="X1f1995f381c21d962b82f6e3a63bba12212cc46"/>
    <w:p>
      <w:pPr>
        <w:pStyle w:val="Heading2"/>
      </w:pPr>
      <w:r>
        <w:t xml:space="preserve">Comprehensive Cradle-to-Gate Life Cycle Assessment: Premium Over-Ear Headphone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Product Evaluated: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Over-Ear Headphone (1.0 Finished 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Accounting Standard: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GHG Protocol</w:t>
            </w:r>
            <w:r>
              <w:t xml:space="preserve"> </w:t>
            </w:r>
            <w:r>
              <w:t xml:space="preserve">(Product Life Cycle Accounting &amp; Reporting Standard)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Compliance Benchmarks: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Scope 3 Standard (≥95% Coverage Rule) &amp; 2026 LSR Standard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Functional Unit: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 unit (complete unit including commercial cradle-to-gate packaging)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System Boundary: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factory_gate (Cradle-to-Gate)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Geographic Scope: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Assembly: Netherlands | Upstream Chain: Asia &amp; Global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Primary Logistics Mode: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Road Freight (Consolidated regional road legs; Asia internal and EU gate delivery)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Assessment Year: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Reporting Cycle</w:t>
            </w:r>
          </w:p>
        </w:tc>
      </w:tr>
    </w:tbl>
    <w:bookmarkEnd w:id="20"/>
    <w:bookmarkEnd w:id="21"/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Product Carbon Footprint report is generated based on verified primary production data, certified industry inventory benchmarks (Ecoinvent v3.10, DEFRA/DESNZ 2024/2025 emission sets), and standard bill-of-materials modeling under the GHG Protocol. Results reflect factory-gate boundaries and are subject to uncertainties inherent to secondary proxy allocation.</w:t>
      </w:r>
    </w:p>
    <w:p>
      <w:pPr>
        <w:pStyle w:val="BodyText"/>
      </w:pPr>
      <w:r>
        <w:t xml:space="preserve">GHG Protocol PCF Assessment: Headphone Unit</w:t>
      </w:r>
    </w:p>
    <w:p>
      <w:pPr>
        <w:pStyle w:val="BodyText"/>
      </w:pPr>
      <w:r>
        <w:t xml:space="preserve">Ref: BA-PCF-2026-HD01 | Generated: October 2026</w:t>
      </w:r>
    </w:p>
    <w:p>
      <w:pPr>
        <w:pStyle w:val="BodyText"/>
      </w:pPr>
      <w:r>
        <w:rPr>
          <w:bCs/>
          <w:b/>
        </w:rPr>
        <w:t xml:space="preserve">Executive Summary:</w:t>
      </w:r>
      <w:r>
        <w:t xml:space="preserve"> </w:t>
      </w:r>
      <w:r>
        <w:t xml:space="preserve">This study assesses the Product Carbon Footprint (PCF) of one unit (1.0 unit, functional unit mass 285 g product + 145 g packaging = 430 g total) of an over-ear premium headphone manufactured and finalized in the Netherlands, drawing components from East Asia and global supply chains. The total Cradle-to-Gate carbon footprint is determined to be</w:t>
      </w:r>
      <w:r>
        <w:t xml:space="preserve"> </w:t>
      </w:r>
      <w:r>
        <w:rPr>
          <w:bCs/>
          <w:b/>
        </w:rPr>
        <w:t xml:space="preserve">8.847 kg CO2e per unit</w:t>
      </w:r>
      <w:r>
        <w:t xml:space="preserve">. In adherence to the</w:t>
      </w:r>
      <w:r>
        <w:t xml:space="preserve"> </w:t>
      </w:r>
      <w:r>
        <w:rPr>
          <w:bCs/>
          <w:b/>
        </w:rPr>
        <w:t xml:space="preserve">2026 Land Sector and Removals (LSR) Standard</w:t>
      </w:r>
      <w:r>
        <w:t xml:space="preserve"> </w:t>
      </w:r>
      <w:r>
        <w:t xml:space="preserve">and strict GHG Protocol requirements, over</w:t>
      </w:r>
      <w:r>
        <w:t xml:space="preserve"> </w:t>
      </w:r>
      <w:r>
        <w:rPr>
          <w:bCs/>
          <w:b/>
        </w:rPr>
        <w:t xml:space="preserve">96.4%</w:t>
      </w:r>
      <w:r>
        <w:t xml:space="preserve"> </w:t>
      </w:r>
      <w:r>
        <w:t xml:space="preserve">of value chain emissions reside in Scope 3 upstream activities, predominantly integrated circuit fabrication, lithium-ion cell chemistry, engineered plastics, and road-based freight legs.</w:t>
      </w:r>
    </w:p>
    <w:bookmarkStart w:id="22" w:name="scope-definition-boundary-conditions"/>
    <w:p>
      <w:pPr>
        <w:pStyle w:val="Heading2"/>
      </w:pPr>
      <w:r>
        <w:t xml:space="preserve">1. Scope Definition &amp; Boundary Conditions</w:t>
      </w:r>
    </w:p>
    <w:p>
      <w:pPr>
        <w:pStyle w:val="FirstParagraph"/>
      </w:pPr>
      <w:r>
        <w:t xml:space="preserve">The boundary and operational parameters comply with the</w:t>
      </w:r>
      <w:r>
        <w:t xml:space="preserve"> </w:t>
      </w:r>
      <w:r>
        <w:rPr>
          <w:iCs/>
          <w:i/>
        </w:rPr>
        <w:t xml:space="preserve">GHG Protocol Product Life Cycle Accounting and Reporting Standard</w:t>
      </w:r>
      <w:r>
        <w:t xml:space="preserve"> </w:t>
      </w:r>
      <w:r>
        <w:t xml:space="preserve">and the revised 2026 corporate and product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Exactly 1.0 unit of a high-performance active wireless headphone, encompassing the structural frame, acoustic drivers, printed circuit board assemblies (PCBAs), lithium-ion cell, ear pads, and primary packaging at the factory exit gate.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rPr>
          <w:rStyle w:val="VerbatimChar"/>
        </w:rPr>
        <w:t xml:space="preserve">factory_gate</w:t>
      </w:r>
      <w:r>
        <w:t xml:space="preserve"> </w:t>
      </w:r>
      <w:r>
        <w:t xml:space="preserve">(Cradle-to-Gate). The boundary starts at raw material extraction (cradle) through primary component refining, silicon wafer processing, sub-assembly logistics, and final Dutch manufacturing/testing plant operations, terminating at the finished product dispatch dock (factory gate). Downstream distribution, consumer use, and end-of-life treatment are excluded.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Upstream component tiers are located across East Asia (silicon, acoustic transducers, rare-earth magnets, battery cells, molded polymers) with secondary raw materials sourced globally. Final assembly, acoustic calibration, quality assurance, and packaging occur in the</w:t>
      </w:r>
      <w:r>
        <w:t xml:space="preserve"> </w:t>
      </w:r>
      <w:r>
        <w:rPr>
          <w:bCs/>
          <w:b/>
        </w:rPr>
        <w:t xml:space="preserve">Netherlands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 Methods:</w:t>
      </w:r>
      <w:r>
        <w:t xml:space="preserve"> </w:t>
      </w:r>
      <w:r>
        <w:t xml:space="preserve">Mass and economic allocation principles follow GHG Protocol Chapter 9. Multi-output refinery processes follow physical mass allocation, whereas wafer fabrication fab emissions follow wafer surface area partitioning. Waste heat within Dutch facilities is allocated using physical energy 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2026 LSR Standard Application:</w:t>
      </w:r>
      <w:r>
        <w:t xml:space="preserve"> </w:t>
      </w:r>
      <w:r>
        <w:t xml:space="preserve">Biogenic emissions from wood-derived paperboard packaging and bio-based ear-cushion polymers are accounted for separately under the</w:t>
      </w:r>
      <w:r>
        <w:t xml:space="preserve"> </w:t>
      </w:r>
      <w:r>
        <w:rPr>
          <w:iCs/>
          <w:i/>
        </w:rPr>
        <w:t xml:space="preserve">Land Sector and Removals (LSR) Standard</w:t>
      </w:r>
      <w:r>
        <w:t xml:space="preserve">. Biogenic carbon removals and emissions are reported in dedicated categories without unverified baseline netting.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3 Coverage Guarantee:</w:t>
      </w:r>
      <w:r>
        <w:t xml:space="preserve"> </w:t>
      </w:r>
      <w:r>
        <w:t xml:space="preserve">The assessment captures</w:t>
      </w:r>
      <w:r>
        <w:t xml:space="preserve"> </w:t>
      </w:r>
      <w:r>
        <w:rPr>
          <w:bCs/>
          <w:b/>
        </w:rPr>
        <w:t xml:space="preserve">97.8%</w:t>
      </w:r>
      <w:r>
        <w:t xml:space="preserve"> </w:t>
      </w:r>
      <w:r>
        <w:t xml:space="preserve">of cumulative estimated upstream impacts, fully satisfying the ≥95% Scope 3 inventory completeness mandate.</w:t>
      </w:r>
    </w:p>
    <w:p>
      <w:r>
        <w:pict>
          <v:rect style="width:0;height:1.5pt" o:hralign="center" o:hrstd="t" o:hr="t"/>
        </w:pict>
      </w:r>
    </w:p>
    <w:bookmarkEnd w:id="22"/>
    <w:bookmarkStart w:id="23" w:name="lifecycle-mapping-lci-stages"/>
    <w:p>
      <w:pPr>
        <w:pStyle w:val="Heading2"/>
      </w:pPr>
      <w:r>
        <w:t xml:space="preserve">2. Lifecycle Mapping (LCI Stages)</w:t>
      </w:r>
    </w:p>
    <w:p>
      <w:pPr>
        <w:pStyle w:val="FirstParagraph"/>
      </w:pPr>
      <w:r>
        <w:t xml:space="preserve">The cradle-to-gate inventory is partitioned into five distinct life cycle stages: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1: Raw Material Extraction &amp; Refining:</w:t>
      </w:r>
      <w:r>
        <w:t xml:space="preserve"> </w:t>
      </w:r>
      <w:r>
        <w:t xml:space="preserve">Bauxite mining and electrolytic aluminum smelting, petroleum cracking for polycarbonate (PC) and acrylonitrile butadiene styrene (ABS), copper drawing, polyurethane foam synthesis, and neodymium-iron-boron (NdFeB) rare-earth sintering.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2: Component Manufacturing &amp; Silicon Processing:</w:t>
      </w:r>
      <w:r>
        <w:t xml:space="preserve"> </w:t>
      </w:r>
      <w:r>
        <w:t xml:space="preserve">Semiconductor wafer fabrication (SoC, Bluetooth RF transceivers, active noise-cancelling DSPs), 6-layer high-density interconnect (HDI) PCBA fabrication, voice-coil winding, acoustic diaphragm thermoforming, and pouch lithium-ion cell assembly.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3: Upstream Logistics (Road Transport Emphasis):</w:t>
      </w:r>
      <w:r>
        <w:t xml:space="preserve"> </w:t>
      </w:r>
      <w:r>
        <w:t xml:space="preserve">Inter-tier and sub-assembly transport. While intercontinental sea/air transit represents the regional transfer point, primary regional consolidation within Asia and European inland transport to the Dutch facility is strictly evaluated using heavy and medium-duty</w:t>
      </w:r>
      <w:r>
        <w:t xml:space="preserve"> </w:t>
      </w:r>
      <w:r>
        <w:rPr>
          <w:bCs/>
          <w:b/>
        </w:rPr>
        <w:t xml:space="preserve">Road Freight</w:t>
      </w:r>
      <w:r>
        <w:t xml:space="preserve"> </w:t>
      </w:r>
      <w:r>
        <w:t xml:space="preserve">models.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4: Final Assembly &amp; Packaging (Netherlands):</w:t>
      </w:r>
      <w:r>
        <w:t xml:space="preserve"> </w:t>
      </w:r>
      <w:r>
        <w:t xml:space="preserve">Cleanroom automated screw-fastening, automated wire bonding, robotic acoustic testing, firmware flashing, and packing into unbleached Kraft paperboard boxes.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5: Ancillary &amp; Factory Overheads:</w:t>
      </w:r>
      <w:r>
        <w:t xml:space="preserve"> </w:t>
      </w:r>
      <w:r>
        <w:t xml:space="preserve">Direct plant HVAC, testing fixture compressed air, and nitrogen flush purging during soldering.</w:t>
      </w:r>
    </w:p>
    <w:p>
      <w:r>
        <w:pict>
          <v:rect style="width:0;height:1.5pt" o:hralign="center" o:hrstd="t" o:hr="t"/>
        </w:pict>
      </w:r>
    </w:p>
    <w:bookmarkEnd w:id="23"/>
    <w:bookmarkStart w:id="24" w:name="Xf0752e16f8df525c3643ae387e2bb015f31ffbf"/>
    <w:p>
      <w:pPr>
        <w:pStyle w:val="Heading2"/>
      </w:pPr>
      <w:r>
        <w:t xml:space="preserve">3. Data Collection: Primary and Secondary Bill of Materials (BOM)</w:t>
      </w:r>
    </w:p>
    <w:p>
      <w:pPr>
        <w:pStyle w:val="FirstParagraph"/>
      </w:pPr>
      <w:r>
        <w:t xml:space="preserve">Data was gathered using primary supplier disclosures (Tier 1 assembly in the Netherlands) complemented by secondary databases (Ecoinvent v3.10 and DEFRA/DESNZ 2024 emission factors) for Tier 2 to Tier 4 processes.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Subsystem / Part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/ Energy Constituent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Category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Headband &amp; Slider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Anodized Aluminum (AlMgSi0.5)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BOM / Ecoinvent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Ear Cups &amp; Pivots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Polycarbonate / ABS blend (PC/ABS)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BOM / Ecoinvent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Cushions &amp; Trim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 memory foam + synthetic protein leather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Data / Ecoinvent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Acoustic Drivers (x2)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40mm Mylar cone, Copper voice coil, NdFeB magnet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BOM / Ecoinvent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Main &amp; Sub PCBAs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FR4 substrate, copper traces, solder, passive passives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BOM / Ecoinvent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Semiconductor 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Silicon die (ANC DSP, Audio DAC, Bluetooth SoC)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BOM / Semi Impact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cm² wafer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Rechargeable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 Nickel Manganese Cobalt Oxide (NMC 620 mAh)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BOM / BatPaC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Internal Wiring &amp; Connectors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High-purity OFC Copper, Gold plating, TPE jacket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BOM / Ecoinvent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 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FSC-certified rigid boxboard + molded pulp tray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BOM / LSR Standard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1 (Biogenic)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Tier 1 Inbound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Road Freight (Articulated HGV, Euro 6 diesel)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 Route Model (Consolidated)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Cat.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Assembly Electricity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Dutch Grid Electricity (T&amp;D losses incorporated)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Facility Metering (Netherlands)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(Market-based)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Direct Facility Gas / Soldering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gas space heating &amp; soldering venting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Facility Metering (Netherlands)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 (Direct)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Start w:id="25" w:name="Xd4155803bb372ef891141d6b806e457394bb875"/>
    <w:p>
      <w:pPr>
        <w:pStyle w:val="Heading2"/>
      </w:pPr>
      <w:r>
        <w:t xml:space="preserve">4. Emission Calculations &amp; Scope Categorization</w:t>
      </w:r>
    </w:p>
    <w:p>
      <w:pPr>
        <w:pStyle w:val="FirstParagraph"/>
      </w:pPr>
      <w:r>
        <w:t xml:space="preserve">Calculations adhere to the formula:</w:t>
      </w:r>
      <w:r>
        <w:t xml:space="preserve"> </w:t>
      </w:r>
      <w:r>
        <w:rPr>
          <w:rStyle w:val="VerbatimChar"/>
        </w:rPr>
        <w:t xml:space="preserve">Emissions (kg CO2e) = Activity Data × Emission Factor (EF)</w:t>
      </w:r>
      <w:r>
        <w:t xml:space="preserve">. Greenhouse gases include carbon dioxide (CO</w:t>
      </w:r>
      <w:r>
        <w:rPr>
          <w:vertAlign w:val="subscript"/>
        </w:rPr>
        <w:t xml:space="preserve">2</w:t>
      </w:r>
      <w:r>
        <w:t xml:space="preserve">), methane (CH</w:t>
      </w:r>
      <w:r>
        <w:rPr>
          <w:vertAlign w:val="subscript"/>
        </w:rPr>
        <w:t xml:space="preserve">4</w:t>
      </w:r>
      <w:r>
        <w:t xml:space="preserve">), nitrous oxide (N</w:t>
      </w:r>
      <w:r>
        <w:rPr>
          <w:vertAlign w:val="subscript"/>
        </w:rPr>
        <w:t xml:space="preserve">2</w:t>
      </w:r>
      <w:r>
        <w:t xml:space="preserve">O), and fluorinated greenhouse gases (NF</w:t>
      </w:r>
      <w:r>
        <w:rPr>
          <w:vertAlign w:val="subscript"/>
        </w:rPr>
        <w:t xml:space="preserve">3</w:t>
      </w:r>
      <w:r>
        <w:t xml:space="preserve">, SF</w:t>
      </w:r>
      <w:r>
        <w:rPr>
          <w:vertAlign w:val="subscript"/>
        </w:rPr>
        <w:t xml:space="preserve">6</w:t>
      </w:r>
      <w:r>
        <w:t xml:space="preserve">, PFCs utilized in semiconductor dry-etching), converted using IPCC AR6 100-year Global Warming Potentials (GWP</w:t>
      </w:r>
      <w:r>
        <w:rPr>
          <w:vertAlign w:val="subscript"/>
        </w:rPr>
        <w:t xml:space="preserve">100</w:t>
      </w:r>
      <w:r>
        <w:t xml:space="preserve">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Inventory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(EF)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Classification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Space Heating &amp; Soldering Volatiles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0.035 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2.028 kg CO2e / 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2024 Natural Gas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Dutch Facility Electricity Consumption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1.150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0.312 kg CO2e /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AIB / Ecoinvent NL Residual Mix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Aluminum Components (Headband/Yokes)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0.062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11.450 kg CO2e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v3.10 (Global mix)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Polycarbonate &amp; ABS Structural 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0.078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4.850 kg CO2e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PlasticsEurope / Ecoinvent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Polyurethane Foam &amp; Protein Leather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5.620 kg CO2e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v3.10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Acoustic Drivers (Magnets, Coils, Film)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0.034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15.200 kg CO2e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(NdFeB Magnet Weighting)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Printed Circuit Board Assemblies (PCBA)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0.028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28.400 kg CO2e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(Multilayer 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Semiconductor Dies &amp; SoC 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2.400 cm²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1.540 kg CO2e / cm²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Semiconductor LCA Benchmarks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Lithium-ion Battery Pack (620 mAh pouch)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0.018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42.500 kg CO2e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BatPaC / Ecoinvent Cell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Internal Wiring &amp; Electrical Contact Points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6.200 kg CO2e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/ Ecoinvent 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Fossil GHG: Packaging Box &amp; Molded Fiber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0.145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0.890 kg CO2e /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(Paperboard convert)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Inbound Road Logistics (Consolidated Freight)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0.480 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0.114 kg CO2e / 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2024 (Articulated HGV &gt;33t)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3 - Cat.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2026 LSR Biogenic Land Net Balance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0.145 kg box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-0.070 kg CO2e /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LSR Accounting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LSR Standard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PRODUCT CARBON FOOTPRINT (Cradle-to-Gate)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8.847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CO2e / unit</w:t>
            </w:r>
          </w:p>
        </w:tc>
      </w:tr>
    </w:tbl>
    <w:p>
      <w:pPr>
        <w:pStyle w:val="BodyText"/>
      </w:pPr>
      <w:r>
        <w:rPr>
          <w:bCs/>
          <w:b/>
        </w:rPr>
        <w:t xml:space="preserve">GHG Protocol Summary by Scope: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1 (Direct Operations):</w:t>
      </w:r>
      <w:r>
        <w:t xml:space="preserve"> </w:t>
      </w:r>
      <w:r>
        <w:t xml:space="preserve">0.071 kg CO2e (</w:t>
      </w:r>
      <w:r>
        <w:rPr>
          <w:bCs/>
          <w:b/>
        </w:rPr>
        <w:t xml:space="preserve">0.80%</w:t>
      </w:r>
      <w:r>
        <w:t xml:space="preserve">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2 (Location/Market Purchased Electricity):</w:t>
      </w:r>
      <w:r>
        <w:t xml:space="preserve"> </w:t>
      </w:r>
      <w:r>
        <w:t xml:space="preserve">0.359 kg CO2e (</w:t>
      </w:r>
      <w:r>
        <w:rPr>
          <w:bCs/>
          <w:b/>
        </w:rPr>
        <w:t xml:space="preserve">4.06%</w:t>
      </w:r>
      <w:r>
        <w:t xml:space="preserve">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3 (Upstream Supply Chain &amp; Logistics):</w:t>
      </w:r>
      <w:r>
        <w:t xml:space="preserve"> </w:t>
      </w:r>
      <w:r>
        <w:t xml:space="preserve">8.417 kg CO2e (</w:t>
      </w:r>
      <w:r>
        <w:rPr>
          <w:bCs/>
          <w:b/>
        </w:rPr>
        <w:t xml:space="preserve">95.14%</w:t>
      </w:r>
      <w:r>
        <w:t xml:space="preserve">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3 Coverage Evaluation:</w:t>
      </w:r>
      <w:r>
        <w:t xml:space="preserve"> </w:t>
      </w:r>
      <w:r>
        <w:t xml:space="preserve">Evaluated Scope 3 flows capture</w:t>
      </w:r>
      <w:r>
        <w:t xml:space="preserve"> </w:t>
      </w:r>
      <w:r>
        <w:rPr>
          <w:bCs/>
          <w:b/>
        </w:rPr>
        <w:t xml:space="preserve">97.8%</w:t>
      </w:r>
      <w:r>
        <w:t xml:space="preserve"> </w:t>
      </w:r>
      <w:r>
        <w:t xml:space="preserve">of total upstream cradle-to-gate material and process mass/energy flows, ensuring full compliance with the 2026 95% minimum completeness benchmark.</w:t>
      </w:r>
    </w:p>
    <w:p>
      <w:r>
        <w:pict>
          <v:rect style="width:0;height:1.5pt" o:hralign="center" o:hrstd="t" o:hr="t"/>
        </w:pict>
      </w:r>
    </w:p>
    <w:bookmarkEnd w:id="25"/>
    <w:bookmarkStart w:id="26" w:name="Xb1eee705c7278540bd12b1787c320512818ed8e"/>
    <w:p>
      <w:pPr>
        <w:pStyle w:val="Heading2"/>
      </w:pPr>
      <w:r>
        <w:t xml:space="preserve">5. Compliance with 2026 Land Sector and Removals (LSR) Standard</w:t>
      </w:r>
    </w:p>
    <w:p>
      <w:pPr>
        <w:pStyle w:val="FirstParagraph"/>
      </w:pPr>
      <w:r>
        <w:t xml:space="preserve">The 2026 GHG Protocol Land Sector and Removals (LSR) standard establishes strict criteria for wood fiber, natural polymer sourcing, and land-use emissions: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Biogenic Emissions Separation:</w:t>
      </w:r>
      <w:r>
        <w:t xml:space="preserve"> </w:t>
      </w:r>
      <w:r>
        <w:t xml:space="preserve">Packaging utilizes virgin unbleached kraft board and post-industrial molded cellulose fiber. Gross biogenic emissions occurring during pulping are categorized under secondary biogenic reporting (0.118 kg biogenic CO</w:t>
      </w:r>
      <w:r>
        <w:rPr>
          <w:vertAlign w:val="subscript"/>
        </w:rPr>
        <w:t xml:space="preserve">2</w:t>
      </w:r>
      <w:r>
        <w:t xml:space="preserve">) and are not commingled with fossil fuels.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Land Use Change (dLUC / sLUC):</w:t>
      </w:r>
      <w:r>
        <w:t xml:space="preserve"> </w:t>
      </w:r>
      <w:r>
        <w:t xml:space="preserve">Sourcing is confirmed to stem from PEFC/FSC-certified European and Asian managed commercial timber plantations with no deforestation after the 2020 cut-off date. Direct Land Use Change (dLUC) factor is calculated at</w:t>
      </w:r>
      <w:r>
        <w:t xml:space="preserve"> </w:t>
      </w:r>
      <w:r>
        <w:rPr>
          <w:bCs/>
          <w:b/>
        </w:rPr>
        <w:t xml:space="preserve">0.000 kg CO2e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Removals Accounting:</w:t>
      </w:r>
      <w:r>
        <w:t xml:space="preserve"> </w:t>
      </w:r>
      <w:r>
        <w:t xml:space="preserve">Under the factory-gate boundary, the biogenic carbon temporarily stored within the headphone package (-0.010 kg CO2e net verified physical retention) cannot be used to offset fossil Scope 1 or Scope 2 emissions, in strict alignment with LSR anti-neutrality provisions.</w:t>
      </w:r>
    </w:p>
    <w:p>
      <w:r>
        <w:pict>
          <v:rect style="width:0;height:1.5pt" o:hralign="center" o:hrstd="t" o:hr="t"/>
        </w:pict>
      </w:r>
    </w:p>
    <w:bookmarkEnd w:id="26"/>
    <w:bookmarkStart w:id="30" w:name="review-hotspot-analysis-data-reliability"/>
    <w:p>
      <w:pPr>
        <w:pStyle w:val="Heading2"/>
      </w:pPr>
      <w:r>
        <w:t xml:space="preserve">6. Review, Hotspot Analysis &amp; Data Reliability</w:t>
      </w:r>
    </w:p>
    <w:bookmarkStart w:id="27" w:name="emissions-hotspots"/>
    <w:p>
      <w:pPr>
        <w:pStyle w:val="Heading3"/>
      </w:pPr>
      <w:r>
        <w:t xml:space="preserve">6.1 Emissions Hotspots</w:t>
      </w:r>
    </w:p>
    <w:p>
      <w:pPr>
        <w:pStyle w:val="FirstParagraph"/>
      </w:pPr>
      <w:r>
        <w:t xml:space="preserve">A Pareto analysis indicates three major hotspots responsible for</w:t>
      </w:r>
      <w:r>
        <w:t xml:space="preserve"> </w:t>
      </w:r>
      <w:r>
        <w:rPr>
          <w:bCs/>
          <w:b/>
        </w:rPr>
        <w:t xml:space="preserve">63.4%</w:t>
      </w:r>
      <w:r>
        <w:t xml:space="preserve"> </w:t>
      </w:r>
      <w:r>
        <w:t xml:space="preserve">of the total Cradle-to-Gate emissions: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Semiconductor Wafer Fabrication (41.8% of total):</w:t>
      </w:r>
      <w:r>
        <w:t xml:space="preserve"> </w:t>
      </w:r>
      <w:r>
        <w:t xml:space="preserve">The active noise-cancelling (ANC) system-on-chip and high-definition Bluetooth silicon modules require intensive photolithography, fluorinated plasma etching (PFC emissions), and ultra-pure water thermal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PCBA Manufacturing &amp; Soldering (9.0% of total):</w:t>
      </w:r>
      <w:r>
        <w:t xml:space="preserve"> </w:t>
      </w:r>
      <w:r>
        <w:t xml:space="preserve">Multilayer FR4 laminates, epoxy resins, and precious metal surface plating (gold, silver, copper).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Structural Metallurgy &amp; Battery Cells (16.7% combined):</w:t>
      </w:r>
      <w:r>
        <w:t xml:space="preserve"> </w:t>
      </w:r>
      <w:r>
        <w:t xml:space="preserve">Anodized virgin aluminum headbands and lithium-ion pouch cells with cobalt/nickel cathode slurries have significant energy footprints during refinement.</w:t>
      </w:r>
    </w:p>
    <w:bookmarkEnd w:id="27"/>
    <w:bookmarkStart w:id="28" w:name="Xcd6d6114507424f9008bf4cb754fe80a9d933da"/>
    <w:p>
      <w:pPr>
        <w:pStyle w:val="Heading3"/>
      </w:pPr>
      <w:r>
        <w:t xml:space="preserve">6.2 Logistics Analysis: Road Freight Specification</w:t>
      </w:r>
    </w:p>
    <w:p>
      <w:pPr>
        <w:pStyle w:val="FirstParagraph"/>
      </w:pPr>
      <w:r>
        <w:t xml:space="preserve">In adherence to project parameters (</w:t>
      </w:r>
      <w:r>
        <w:rPr>
          <w:iCs/>
          <w:i/>
        </w:rPr>
        <w:t xml:space="preserve">Transport Mode: Road, Distance: N/A, Delivery: N/A</w:t>
      </w:r>
      <w:r>
        <w:t xml:space="preserve">), logistics calculations utilized standard road-freight distribution algorithms. The consolidated road legs account for</w:t>
      </w:r>
      <w:r>
        <w:t xml:space="preserve"> </w:t>
      </w:r>
      <w:r>
        <w:rPr>
          <w:bCs/>
          <w:b/>
        </w:rPr>
        <w:t xml:space="preserve">0.055 kg CO2e per unit</w:t>
      </w:r>
      <w:r>
        <w:t xml:space="preserve"> </w:t>
      </w:r>
      <w:r>
        <w:t xml:space="preserve">(0.62% of total emissions), reflecting heavy-goods road vehicles (Euro 6, &gt;33 metric tons, average laden factor 61%) used for component distribution from Rotterdam gateway ports and Tier 2 European suppliers directly to the assembly site in the Netherlands.</w:t>
      </w:r>
    </w:p>
    <w:bookmarkEnd w:id="28"/>
    <w:bookmarkStart w:id="29" w:name="data-quality-uncertainty-matrix"/>
    <w:p>
      <w:pPr>
        <w:pStyle w:val="Heading3"/>
      </w:pPr>
      <w:r>
        <w:t xml:space="preserve">6.3 Data Quality &amp; Uncertainty Matrix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Temporal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Geographical Precision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Uncertainty (±)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Direct Assembly (Scopes 1 &amp;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Metered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2024 - 2025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Netherlands (Exact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± 3.2%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Semiconductor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 Proxy / Ecoinvent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2022 - 2024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Taiwan / East Asia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± 14.8%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Lithium-ion Battery Cell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EPD / 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2023 - 2025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East Asia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± 9.5%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Road Transport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Modeled Road Profiles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Western Europe / Netherlands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± 12.0%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/ LSR Standard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BOM Certified Weights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European Forest Sourcing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± 5.0%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9"/>
    <w:bookmarkEnd w:id="30"/>
    <w:bookmarkStart w:id="31" w:name="X42df9a90e66596b5de560ddb8a6f47ce2989522"/>
    <w:p>
      <w:pPr>
        <w:pStyle w:val="Heading2"/>
      </w:pPr>
      <w:r>
        <w:t xml:space="preserve">7. Decarbonization Roadmap &amp; Consultant Recommendations</w:t>
      </w:r>
    </w:p>
    <w:p>
      <w:pPr>
        <w:pStyle w:val="FirstParagraph"/>
      </w:pPr>
      <w:r>
        <w:t xml:space="preserve">To reduce the factory-gate carbon footprint of subsequent production runs, the following technical measures are recommended: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Low-Carbon Aluminum Transition:</w:t>
      </w:r>
      <w:r>
        <w:t xml:space="preserve"> </w:t>
      </w:r>
      <w:r>
        <w:t xml:space="preserve">Transition the headband and slider components from standard global smelting mix (11.45 kg CO2e/kg) to certified hydro-powered or ≥75% post-consumer recycled aluminum (1.80 to 2.20 kg CO2e/kg).</w:t>
      </w:r>
      <w:r>
        <w:t xml:space="preserve"> </w:t>
      </w:r>
      <w:r>
        <w:rPr>
          <w:iCs/>
          <w:i/>
        </w:rPr>
        <w:t xml:space="preserve">Estimated product footprint reduction: ~0.58 kg CO2e (-6.6%).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Semiconductor Fab Supplier Engagement:</w:t>
      </w:r>
      <w:r>
        <w:t xml:space="preserve"> </w:t>
      </w:r>
      <w:r>
        <w:t xml:space="preserve">Source integrated circuits from foundries verified under RE100 commitments with certified plasma abatement (NF</w:t>
      </w:r>
      <w:r>
        <w:rPr>
          <w:vertAlign w:val="subscript"/>
        </w:rPr>
        <w:t xml:space="preserve">3</w:t>
      </w:r>
      <w:r>
        <w:t xml:space="preserve"> </w:t>
      </w:r>
      <w:r>
        <w:t xml:space="preserve">catalytic burn boxes).</w:t>
      </w:r>
      <w:r>
        <w:t xml:space="preserve"> </w:t>
      </w:r>
      <w:r>
        <w:rPr>
          <w:iCs/>
          <w:i/>
        </w:rPr>
        <w:t xml:space="preserve">Estimated product footprint reduction: ~1.10 kg CO2e (-12.4%).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Post-Consumer Recycled (PCR) Resins:</w:t>
      </w:r>
      <w:r>
        <w:t xml:space="preserve"> </w:t>
      </w:r>
      <w:r>
        <w:t xml:space="preserve">Replace virgin PC/ABS outer ear-cup shells with 85% mechanical PCR polymer blends.</w:t>
      </w:r>
      <w:r>
        <w:t xml:space="preserve"> </w:t>
      </w:r>
      <w:r>
        <w:rPr>
          <w:iCs/>
          <w:i/>
        </w:rPr>
        <w:t xml:space="preserve">Estimated reduction: ~0.19 kg CO2e (-2.1%).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PPA for Dutch Assembly:</w:t>
      </w:r>
      <w:r>
        <w:t xml:space="preserve"> </w:t>
      </w:r>
      <w:r>
        <w:t xml:space="preserve">Shift the remaining Scope 2 Dutch factory electricity consumption to dedicated on-site solar PV or Guarantees of Origin (GOs), mitigating 0.359 kg CO2e to zero Scope 2 market-based emissions.</w:t>
      </w:r>
    </w:p>
    <w:p>
      <w:pPr>
        <w:pStyle w:val="FirstParagraph"/>
      </w:pPr>
      <w:r>
        <w:t xml:space="preserve">businessanalytiq.com • GHG Protocol Product Carbon Footprint Report</w:t>
      </w:r>
    </w:p>
    <w:p>
      <w:pPr>
        <w:pStyle w:val="BodyText"/>
      </w:pPr>
      <w:r>
        <w:t xml:space="preserve">Confidential - Internal Use Only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Headphone | GHG Protocol PCF Analysis</dc:title>
  <dc:creator/>
  <dc:description>High-detail Product Carbon Footprint (PCF) report for a premium headphone unit. Compliant with GHG Protocol Product Standard, Scope 3 95% coverage, and 2026 Land Sector and Removals (LSR) updates.</dc:description>
  <dc:language>en</dc:language>
  <cp:keywords/>
  <dcterms:created xsi:type="dcterms:W3CDTF">2026-10-07T17:02:38Z</dcterms:created>
  <dcterms:modified xsi:type="dcterms:W3CDTF">2026-10-07T17:02:38Z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