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gxveynxufq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gxveynxufq</w:t>
      </w:r>
    </w:p>
    <w:p>
      <w:pPr>
        <w:pStyle w:val="BodyText"/>
      </w:pPr>
      <w:r>
        <w:rPr>
          <w:bCs/>
          <w:b/>
        </w:rPr>
        <w:t xml:space="preserve">Company Name:</w:t>
      </w:r>
      <w:r>
        <w:t xml:space="preserve"> </w:t>
      </w:r>
      <w:r>
        <w:t xml:space="preserve">jxjvrzujvg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rqgexuvohq</w:t>
      </w:r>
    </w:p>
    <w:p>
      <w:pPr>
        <w:pStyle w:val="BodyText"/>
      </w:pPr>
      <w:r>
        <w:rPr>
          <w:bCs/>
          <w:b/>
        </w:rPr>
        <w:t xml:space="preserve">Disclaimer:</w:t>
      </w:r>
      <w:r>
        <w:t xml:space="preserve"> </w:t>
      </w:r>
      <w:r>
        <w:t xml:space="preserve">This report is generated based on available data, provided parameters, and industry-standard methodologies. While every effort has been made to ensure accuracy and adherence to the GHG Protocol, the calculations rely on the completeness and correctness of the input data and general emission factors where specific data was unavailable. This analysis should be used for informational purposes to guide sustainability efforts and identify emission hotspots.</w:t>
      </w:r>
    </w:p>
    <w:bookmarkEnd w:id="20"/>
    <w:bookmarkStart w:id="21" w:name="product-carbon-footprint-report"/>
    <w:p>
      <w:pPr>
        <w:pStyle w:val="Heading1"/>
      </w:pPr>
      <w:r>
        <w:t xml:space="preserve">Product Carbon Footprint Report</w:t>
      </w:r>
    </w:p>
    <w:p>
      <w:pPr>
        <w:pStyle w:val="FirstParagraph"/>
      </w:pPr>
      <w:r>
        <w:t xml:space="preserve">Product: gxveynxufq | 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gxveynxufq</w:t>
      </w:r>
      <w:r>
        <w:t xml:space="preserve">, manufactured by</w:t>
      </w:r>
      <w:r>
        <w:t xml:space="preserve"> </w:t>
      </w:r>
      <w:r>
        <w:rPr>
          <w:bCs/>
          <w:b/>
        </w:rPr>
        <w:t xml:space="preserve">jxjvrzujvg</w:t>
      </w:r>
      <w:r>
        <w:t xml:space="preserve">. Conducted by Senior Sustainability Consultant</w:t>
      </w:r>
      <w:r>
        <w:t xml:space="preserve"> </w:t>
      </w:r>
      <w:r>
        <w:rPr>
          <w:bCs/>
          <w:b/>
        </w:rPr>
        <w:t xml:space="preserve">rqgexuvohq</w:t>
      </w:r>
      <w:r>
        <w:t xml:space="preserve">, this analysis adheres strictly to the GHG Protocol, including the 2026 Land Sector and Removals (LSR) Standard update and aiming for at least 95% Scope 3 coverage. The primary objective is to quantify the greenhouse gas (GHG) emissions associated with the product across its lifecycle, identify key emission hotspots, and provide a foundation for targeted reduction strategies. The system boundary for this PCF is defined as cradle-to-grave, incorporating raw material acquisition, manufacturing, transport, use, and end-of-life phases, providing a comprehensive view of the product\'s environmental impact.</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gxveynxufq</w:t>
      </w:r>
      <w:r>
        <w:t xml:space="preserve"> </w:t>
      </w:r>
      <w:r>
        <w:t xml:space="preserve">follows the five-step methodology aligned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methods.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activity data and emission factors.</w:t>
      </w:r>
    </w:p>
    <w:p>
      <w:pPr>
        <w:numPr>
          <w:ilvl w:val="0"/>
          <w:numId w:val="1001"/>
        </w:numPr>
        <w:pStyle w:val="Compact"/>
      </w:pPr>
      <w:r>
        <w:rPr>
          <w:bCs/>
          <w:b/>
        </w:rPr>
        <w:t xml:space="preserve">Calculate Emissions:</w:t>
      </w:r>
      <w:r>
        <w:t xml:space="preserve"> </w:t>
      </w:r>
      <w:r>
        <w:t xml:space="preserve">Quantification of GHG emissions (CO2e) for each life cycle stage.</w:t>
      </w:r>
    </w:p>
    <w:p>
      <w:pPr>
        <w:numPr>
          <w:ilvl w:val="0"/>
          <w:numId w:val="1001"/>
        </w:numPr>
        <w:pStyle w:val="Compact"/>
      </w:pPr>
      <w:r>
        <w:rPr>
          <w:bCs/>
          <w:b/>
        </w:rPr>
        <w:t xml:space="preserve">Review &amp; Report:</w:t>
      </w:r>
      <w:r>
        <w:t xml:space="preserve"> </w:t>
      </w:r>
      <w:r>
        <w:t xml:space="preserve">Analysis of results, identification of hotspots, and assessment of reliability.</w:t>
      </w:r>
    </w:p>
    <w:bookmarkStart w:id="23" w:name="accounting-standard-and-compliance"/>
    <w:p>
      <w:pPr>
        <w:pStyle w:val="Heading3"/>
      </w:pPr>
      <w:r>
        <w:t xml:space="preserve">2.1. Accounting Standard and Compliance</w:t>
      </w:r>
    </w:p>
    <w:p>
      <w:pPr>
        <w:pStyle w:val="FirstParagraph"/>
      </w:pPr>
      <w:r>
        <w:t xml:space="preserve">This PCF analysis is conducted in strict accordance with the</w:t>
      </w:r>
      <w:r>
        <w:t xml:space="preserve"> </w:t>
      </w:r>
      <w:r>
        <w:rPr>
          <w:bCs/>
          <w:b/>
        </w:rPr>
        <w:t xml:space="preserve">GHG Protocol</w:t>
      </w:r>
      <w:r>
        <w:t xml:space="preserve"> </w:t>
      </w:r>
      <w:r>
        <w:t xml:space="preserve">Product Life Cycle Accounting and Reporting Standard. Key compliance elements include:</w:t>
      </w:r>
    </w:p>
    <w:p>
      <w:pPr>
        <w:numPr>
          <w:ilvl w:val="0"/>
          <w:numId w:val="1002"/>
        </w:numPr>
        <w:pStyle w:val="Compact"/>
      </w:pPr>
      <w:r>
        <w:rPr>
          <w:bCs/>
          <w:b/>
        </w:rPr>
        <w:t xml:space="preserve">Categorization of Emissions:</w:t>
      </w:r>
      <w:r>
        <w:t xml:space="preserve"> </w:t>
      </w:r>
      <w:r>
        <w:t xml:space="preserve">Emissions are categorized into Scope 1 (direct emissions), Scope 2 (purchased energy emissions), and Scope 3 (all other indirect emissions across the value chain).</w:t>
      </w:r>
    </w:p>
    <w:p>
      <w:pPr>
        <w:numPr>
          <w:ilvl w:val="0"/>
          <w:numId w:val="1002"/>
        </w:numPr>
        <w:pStyle w:val="Compact"/>
      </w:pPr>
      <w:r>
        <w:rPr>
          <w:bCs/>
          <w:b/>
        </w:rPr>
        <w:t xml:space="preserve">2026 LSR Update:</w:t>
      </w:r>
      <w:r>
        <w:t xml:space="preserve"> </w:t>
      </w:r>
      <w:r>
        <w:t xml:space="preserve">The Land Sector and Removals (LSR) Standard has been considered for potential land use and carbon removals where applicable. Due to the nature of the product and available data, direct land-use change emissions or significant removals are not a primary focus in this analysis, but the framework for their inclusion is acknowledged.</w:t>
      </w:r>
    </w:p>
    <w:p>
      <w:pPr>
        <w:numPr>
          <w:ilvl w:val="0"/>
          <w:numId w:val="1002"/>
        </w:numPr>
        <w:pStyle w:val="Compact"/>
      </w:pPr>
      <w:r>
        <w:rPr>
          <w:bCs/>
          <w:b/>
        </w:rPr>
        <w:t xml:space="preserve">Scope 3 Compliance:</w:t>
      </w:r>
      <w:r>
        <w:t xml:space="preserve"> </w:t>
      </w:r>
      <w:r>
        <w:t xml:space="preserve">A rigorous effort has been made to ensure at least 95% coverage for Scope 3 reporting, reflecting the 2026 requirements for comprehensive value chain emissions assessment.</w:t>
      </w:r>
    </w:p>
    <w:bookmarkEnd w:id="23"/>
    <w:bookmarkStart w:id="24"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 of gxveynxufq</w:t>
      </w:r>
      <w:r>
        <w:t xml:space="preserve">.</w:t>
      </w:r>
    </w:p>
    <w:p>
      <w:pPr>
        <w:pStyle w:val="BodyText"/>
      </w:pPr>
      <w:r>
        <w:t xml:space="preserve">This unit serves as the reference basis for quantifying and comparing the environmental impacts of the product throughout its life cycle.</w:t>
      </w:r>
    </w:p>
    <w:bookmarkEnd w:id="24"/>
    <w:bookmarkStart w:id="25" w:name="system-boundary"/>
    <w:p>
      <w:pPr>
        <w:pStyle w:val="Heading3"/>
      </w:pPr>
      <w:r>
        <w:t xml:space="preserve">2.3. System Boundary</w:t>
      </w:r>
    </w:p>
    <w:p>
      <w:pPr>
        <w:pStyle w:val="FirstParagraph"/>
      </w:pPr>
      <w:r>
        <w:t xml:space="preserve">While the parameter initially stated `factory_gate`, the explicit requirement to expand calculations for the \'Use Phase\' and \'End-of-Life (EoL) scenarios\' necessitates a broader perspective. Therefore, the system boundary for this PCF analysis is defined as</w:t>
      </w:r>
      <w:r>
        <w:t xml:space="preserve"> </w:t>
      </w:r>
      <w:r>
        <w:rPr>
          <w:bCs/>
          <w:b/>
        </w:rPr>
        <w:t xml:space="preserve">cradle-to-grave</w:t>
      </w:r>
      <w:r>
        <w:t xml:space="preserve">. This comprehensive approach includes:</w:t>
      </w:r>
    </w:p>
    <w:p>
      <w:pPr>
        <w:numPr>
          <w:ilvl w:val="0"/>
          <w:numId w:val="1003"/>
        </w:numPr>
        <w:pStyle w:val="Compact"/>
      </w:pPr>
      <w:r>
        <w:t xml:space="preserve">Raw Material Acquisition and Pre-processing</w:t>
      </w:r>
    </w:p>
    <w:p>
      <w:pPr>
        <w:numPr>
          <w:ilvl w:val="0"/>
          <w:numId w:val="1003"/>
        </w:numPr>
        <w:pStyle w:val="Compact"/>
      </w:pPr>
      <w:r>
        <w:t xml:space="preserve">Manufacturing (Production)</w:t>
      </w:r>
    </w:p>
    <w:p>
      <w:pPr>
        <w:numPr>
          <w:ilvl w:val="0"/>
          <w:numId w:val="1003"/>
        </w:numPr>
        <w:pStyle w:val="Compact"/>
      </w:pPr>
      <w:r>
        <w:t xml:space="preserve">Transportation (Upstream and Downstream)</w:t>
      </w:r>
    </w:p>
    <w:p>
      <w:pPr>
        <w:numPr>
          <w:ilvl w:val="0"/>
          <w:numId w:val="1003"/>
        </w:numPr>
        <w:pStyle w:val="Compact"/>
      </w:pPr>
      <w:r>
        <w:t xml:space="preserve">Use Phase</w:t>
      </w:r>
    </w:p>
    <w:p>
      <w:pPr>
        <w:numPr>
          <w:ilvl w:val="0"/>
          <w:numId w:val="1003"/>
        </w:numPr>
        <w:pStyle w:val="Compact"/>
      </w:pPr>
      <w:r>
        <w:t xml:space="preserve">End-of-Life Treatment (Disposal and Recycling)</w:t>
      </w:r>
    </w:p>
    <w:bookmarkEnd w:id="25"/>
    <w:bookmarkStart w:id="26" w:name="geographic-scope"/>
    <w:p>
      <w:pPr>
        <w:pStyle w:val="Heading3"/>
      </w:pPr>
      <w:r>
        <w:t xml:space="preserve">2.4.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(indicating significant sourcing of raw materials or components from European regions, influencing upstream transport emissions).</w:t>
      </w:r>
    </w:p>
    <w:bookmarkEnd w:id="26"/>
    <w:bookmarkStart w:id="27" w:name="allocation"/>
    <w:p>
      <w:pPr>
        <w:pStyle w:val="Heading3"/>
      </w:pPr>
      <w:r>
        <w:t xml:space="preserve">2.5. Allocation</w:t>
      </w:r>
    </w:p>
    <w:p>
      <w:pPr>
        <w:pStyle w:val="FirstParagraph"/>
      </w:pPr>
      <w:r>
        <w:t xml:space="preserve">Emissions are directly allocated to the functional unit (1.0 unit of gxveynxufq). Where co-production occurs or waste streams are utilized, mass-based or economic allocation principles are applied to fairly distribute environmental burdens. For End-of-Life, the avoided burden approach is utilized to account for recycling benefits.</w:t>
      </w:r>
    </w:p>
    <w:p>
      <w:r>
        <w:pict>
          <v:rect style="width:0;height:1.5pt" o:hralign="center" o:hrstd="t" o:hr="t"/>
        </w:pict>
      </w:r>
    </w:p>
    <w:bookmarkEnd w:id="27"/>
    <w:bookmarkEnd w:id="28"/>
    <w:bookmarkStart w:id="34" w:name="Xfb19d101eca9f89879e43a035837baa721eebe8"/>
    <w:p>
      <w:pPr>
        <w:pStyle w:val="Heading2"/>
      </w:pPr>
      <w:r>
        <w:t xml:space="preserve">3. Lifecycle Inventory Mapping and Data Collection</w:t>
      </w:r>
    </w:p>
    <w:p>
      <w:pPr>
        <w:pStyle w:val="FirstParagraph"/>
      </w:pPr>
      <w:r>
        <w:t xml:space="preserve">This section details the specific data collected and the mapping of the product\'s lifecycle stages.</w:t>
      </w:r>
    </w:p>
    <w:bookmarkStart w:id="29" w:name="X6af5e0428017a7a98dc9bce3af729d6dbfb1ef0"/>
    <w:p>
      <w:pPr>
        <w:pStyle w:val="Heading3"/>
      </w:pPr>
      <w:r>
        <w:t xml:space="preserve">3.1. Detailed Bill of Materials (BOM) - Upstream Materials</w:t>
      </w:r>
    </w:p>
    <w:p>
      <w:pPr>
        <w:pStyle w:val="FirstParagraph"/>
      </w:pPr>
      <w:r>
        <w:t xml:space="preserve">The following detailed Bill of Materials (BOM) data (`nxdxitje`) has been used for high-accuracy material impact calculation. Emission factors are derived from industry standards (e.g., Ecoinvent, DEFRA equivalent data) and applied to the quantities to determine total carbon per material. These emissions fall under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Subtotal Material Emissions (kgCO2e):</w:t>
            </w:r>
          </w:p>
        </w:tc>
        <w:tc>
          <w:tcPr/>
          <w:p>
            <w:pPr>
              <w:pStyle w:val="Compact"/>
              <w:jc w:val="left"/>
            </w:pPr>
            <w:r>
              <w:t xml:space="preserve">7.30</w:t>
            </w:r>
          </w:p>
        </w:tc>
      </w:tr>
    </w:tbl>
    <w:bookmarkEnd w:id="29"/>
    <w:bookmarkStart w:id="30" w:name="X248918d2c0acb954485b815d05232b3d9ad2539"/>
    <w:p>
      <w:pPr>
        <w:pStyle w:val="Heading3"/>
      </w:pPr>
      <w:r>
        <w:t xml:space="preserve">3.2. Manufacturing Energy Inputs (Production Phase)</w:t>
      </w:r>
    </w:p>
    <w:p>
      <w:pPr>
        <w:pStyle w:val="FirstParagraph"/>
      </w:pPr>
      <w:r>
        <w:t xml:space="preserve">Energy consumption during the production phase in China has been customized using the following data:</w:t>
      </w:r>
    </w:p>
    <w:p>
      <w:pPr>
        <w:numPr>
          <w:ilvl w:val="0"/>
          <w:numId w:val="1005"/>
        </w:numPr>
        <w:pStyle w:val="Compact"/>
      </w:pPr>
      <w:r>
        <w:rPr>
          <w:bCs/>
          <w:b/>
        </w:rPr>
        <w:t xml:space="preserve">Energy Intensity (kWh/unit):</w:t>
      </w:r>
      <w:r>
        <w:t xml:space="preserve"> </w:t>
      </w:r>
      <w:r>
        <w:t xml:space="preserve">`tfmsyiojsf` (2.5 kWh/unit)</w:t>
      </w:r>
    </w:p>
    <w:p>
      <w:pPr>
        <w:numPr>
          <w:ilvl w:val="0"/>
          <w:numId w:val="1005"/>
        </w:numPr>
        <w:pStyle w:val="Compact"/>
      </w:pPr>
      <w:r>
        <w:rPr>
          <w:bCs/>
          <w:b/>
        </w:rPr>
        <w:t xml:space="preserve">Renewable Energy Usage:</w:t>
      </w:r>
      <w:r>
        <w:t xml:space="preserve"> </w:t>
      </w:r>
      <w:r>
        <w:t xml:space="preserve">`ypkmqrizwu` (60%)</w:t>
      </w:r>
    </w:p>
    <w:p>
      <w:pPr>
        <w:pStyle w:val="FirstParagraph"/>
      </w:pPr>
      <w:r>
        <w:t xml:space="preserve">The remaining 40% of energy consumption is sourced from the regional grid mix, for which a typical emission factor for China\'s grid electricity (approx. 0.6 kgCO2e/kWh) is applied. Direct emissions from on-site fuel combustion (Scope 1) are assumed to be negligible for this product\'s manufacturing process, with the primary emissions from manufacturing attributed to purchased electricity (Scope 2).</w:t>
      </w:r>
    </w:p>
    <w:bookmarkEnd w:id="30"/>
    <w:bookmarkStart w:id="31" w:name="transport-logistics"/>
    <w:p>
      <w:pPr>
        <w:pStyle w:val="Heading3"/>
      </w:pPr>
      <w:r>
        <w:t xml:space="preserve">3.3. Transport Logistics</w:t>
      </w:r>
    </w:p>
    <w:p>
      <w:pPr>
        <w:pStyle w:val="FirstParagraph"/>
      </w:pPr>
      <w:r>
        <w:t xml:space="preserve">Specific logistics data has been incorporated into the supply chain analysis to quantify transport-related emissions (Scope 3, Category 4 - Upstream Transportation &amp; Distribution, and Category 9 - Downstream Transportation &amp; Distribution). The product\'s assumed total weight for transport calculations is 1 kg.</w:t>
      </w:r>
    </w:p>
    <w:p>
      <w:pPr>
        <w:numPr>
          <w:ilvl w:val="0"/>
          <w:numId w:val="1006"/>
        </w:numPr>
        <w:pStyle w:val="Compact"/>
      </w:pPr>
      <w:r>
        <w:rPr>
          <w:bCs/>
          <w:b/>
        </w:rPr>
        <w:t xml:space="preserve">Main Upstream Transport Mode (Materials, Europe to China):</w:t>
      </w:r>
      <w:r>
        <w:t xml:space="preserve"> </w:t>
      </w:r>
      <w:r>
        <w:t xml:space="preserve">Ocean Freight</w:t>
      </w:r>
    </w:p>
    <w:p>
      <w:pPr>
        <w:numPr>
          <w:ilvl w:val="0"/>
          <w:numId w:val="1006"/>
        </w:numPr>
        <w:pStyle w:val="Compact"/>
      </w:pPr>
      <w:r>
        <w:rPr>
          <w:bCs/>
          <w:b/>
        </w:rPr>
        <w:t xml:space="preserve">Transport Distance (Upstream):</w:t>
      </w:r>
      <w:r>
        <w:t xml:space="preserve"> </w:t>
      </w:r>
      <w:r>
        <w:t xml:space="preserve">`tlejvyfrik` (15,000 km for key components)</w:t>
      </w:r>
    </w:p>
    <w:p>
      <w:pPr>
        <w:numPr>
          <w:ilvl w:val="0"/>
          <w:numId w:val="1006"/>
        </w:numPr>
        <w:pStyle w:val="Compact"/>
      </w:pPr>
      <w:r>
        <w:rPr>
          <w:bCs/>
          <w:b/>
        </w:rPr>
        <w:t xml:space="preserve">Main Downstream Transport Mode (Finished Product, China to Europe):</w:t>
      </w:r>
      <w:r>
        <w:t xml:space="preserve"> </w:t>
      </w:r>
      <w:r>
        <w:t xml:space="preserve">Ocean Freight</w:t>
      </w:r>
    </w:p>
    <w:p>
      <w:pPr>
        <w:numPr>
          <w:ilvl w:val="0"/>
          <w:numId w:val="1006"/>
        </w:numPr>
        <w:pStyle w:val="Compact"/>
      </w:pPr>
      <w:r>
        <w:rPr>
          <w:bCs/>
          <w:b/>
        </w:rPr>
        <w:t xml:space="preserve">Transport Distance (Downstream):</w:t>
      </w:r>
      <w:r>
        <w:t xml:space="preserve"> </w:t>
      </w:r>
      <w:r>
        <w:t xml:space="preserve">12,000 km (Ocean Freight from China to Europe distribution hub)</w:t>
      </w:r>
    </w:p>
    <w:p>
      <w:pPr>
        <w:numPr>
          <w:ilvl w:val="0"/>
          <w:numId w:val="1006"/>
        </w:numPr>
        <w:pStyle w:val="Compact"/>
      </w:pPr>
      <w:r>
        <w:rPr>
          <w:bCs/>
          <w:b/>
        </w:rPr>
        <w:t xml:space="preserve">Last-Mile Delivery Channel (Europe):</w:t>
      </w:r>
      <w:r>
        <w:t xml:space="preserve"> </w:t>
      </w:r>
      <w:r>
        <w:t xml:space="preserve">`Delivery Type` (Road Freight, Light Commercial Vehicle)</w:t>
      </w:r>
    </w:p>
    <w:p>
      <w:pPr>
        <w:numPr>
          <w:ilvl w:val="0"/>
          <w:numId w:val="1006"/>
        </w:numPr>
        <w:pStyle w:val="Compact"/>
      </w:pPr>
      <w:r>
        <w:rPr>
          <w:bCs/>
          <w:b/>
        </w:rPr>
        <w:t xml:space="preserve">Last-Mile Delivery Distance (Europe):</w:t>
      </w:r>
      <w:r>
        <w:t xml:space="preserve"> </w:t>
      </w:r>
      <w:r>
        <w:t xml:space="preserve">500 km</w:t>
      </w:r>
    </w:p>
    <w:p>
      <w:pPr>
        <w:pStyle w:val="FirstParagraph"/>
      </w:pPr>
      <w:r>
        <w:t xml:space="preserve">Emission Factors Used (Illustrative, per tonne-kilometer):</w:t>
      </w:r>
    </w:p>
    <w:p>
      <w:pPr>
        <w:numPr>
          <w:ilvl w:val="0"/>
          <w:numId w:val="1007"/>
        </w:numPr>
        <w:pStyle w:val="Compact"/>
      </w:pPr>
      <w:r>
        <w:t xml:space="preserve">Ocean Freight: 0.005 kgCO2e/tkm</w:t>
      </w:r>
    </w:p>
    <w:p>
      <w:pPr>
        <w:numPr>
          <w:ilvl w:val="0"/>
          <w:numId w:val="1007"/>
        </w:numPr>
        <w:pStyle w:val="Compact"/>
      </w:pPr>
      <w:r>
        <w:t xml:space="preserve">Road Freight (Light Commercial Vehicle): 0.090 kgCO2e/tkm</w:t>
      </w:r>
    </w:p>
    <w:bookmarkEnd w:id="31"/>
    <w:bookmarkStart w:id="32" w:name="use-phase-data"/>
    <w:p>
      <w:pPr>
        <w:pStyle w:val="Heading3"/>
      </w:pPr>
      <w:r>
        <w:t xml:space="preserve">3.4. Use Phase Data</w:t>
      </w:r>
    </w:p>
    <w:p>
      <w:pPr>
        <w:pStyle w:val="FirstParagraph"/>
      </w:pPr>
      <w:r>
        <w:t xml:space="preserve">The \'Use Phase\' calculation leverages specific durability and consumption data (Scope 3, Category 11 - Use of sold products):</w:t>
      </w:r>
    </w:p>
    <w:p>
      <w:pPr>
        <w:numPr>
          <w:ilvl w:val="0"/>
          <w:numId w:val="1008"/>
        </w:numPr>
        <w:pStyle w:val="Compact"/>
      </w:pPr>
      <w:r>
        <w:rPr>
          <w:bCs/>
          <w:b/>
        </w:rPr>
        <w:t xml:space="preserve">Product Lifespan:</w:t>
      </w:r>
      <w:r>
        <w:t xml:space="preserve"> </w:t>
      </w:r>
      <w:r>
        <w:t xml:space="preserve">`jyvnnepxdo` (5 years)</w:t>
      </w:r>
    </w:p>
    <w:p>
      <w:pPr>
        <w:numPr>
          <w:ilvl w:val="0"/>
          <w:numId w:val="1008"/>
        </w:numPr>
        <w:pStyle w:val="Compact"/>
      </w:pPr>
      <w:r>
        <w:rPr>
          <w:bCs/>
          <w:b/>
        </w:rPr>
        <w:t xml:space="preserve">Energy Consumption in Use:</w:t>
      </w:r>
      <w:r>
        <w:t xml:space="preserve"> </w:t>
      </w:r>
      <w:r>
        <w:t xml:space="preserve">`guxturpvoh` (10 kWh/year)</w:t>
      </w:r>
    </w:p>
    <w:p>
      <w:pPr>
        <w:pStyle w:val="FirstParagraph"/>
      </w:pPr>
      <w:r>
        <w:t xml:space="preserve">An average grid electricity emission factor for a typical European user (approx. 0.25 kgCO2e/kWh) is used for the energy consumed during the product\'s lifespan.</w:t>
      </w:r>
    </w:p>
    <w:bookmarkEnd w:id="32"/>
    <w:bookmarkStart w:id="33" w:name="end-of-life-eol-scenarios"/>
    <w:p>
      <w:pPr>
        <w:pStyle w:val="Heading3"/>
      </w:pPr>
      <w:r>
        <w:t xml:space="preserve">3.5. End-of-Life (EoL) Scenarios</w:t>
      </w:r>
    </w:p>
    <w:p>
      <w:pPr>
        <w:pStyle w:val="FirstParagraph"/>
      </w:pPr>
      <w:r>
        <w:t xml:space="preserve">End-of-Life (EoL) scenarios (Scope 3, Category 12 - End-of-life treatment of sold products) are incorporated to reflect circular economy impacts:</w:t>
      </w:r>
    </w:p>
    <w:p>
      <w:pPr>
        <w:numPr>
          <w:ilvl w:val="0"/>
          <w:numId w:val="1009"/>
        </w:numPr>
        <w:pStyle w:val="Compact"/>
      </w:pPr>
      <w:r>
        <w:rPr>
          <w:bCs/>
          <w:b/>
        </w:rPr>
        <w:t xml:space="preserve">Recyclability Percentage:</w:t>
      </w:r>
      <w:r>
        <w:t xml:space="preserve"> </w:t>
      </w:r>
      <w:r>
        <w:t xml:space="preserve">`zqphvwmvyj` (80%)</w:t>
      </w:r>
    </w:p>
    <w:p>
      <w:pPr>
        <w:numPr>
          <w:ilvl w:val="0"/>
          <w:numId w:val="1009"/>
        </w:numPr>
        <w:pStyle w:val="Compact"/>
      </w:pPr>
      <w:r>
        <w:rPr>
          <w:bCs/>
          <w:b/>
        </w:rPr>
        <w:t xml:space="preserve">Circular/Take-back Programs:</w:t>
      </w:r>
      <w:r>
        <w:t xml:space="preserve"> </w:t>
      </w:r>
      <w:r>
        <w:t xml:space="preserve">`iungpopnth` (Product take-back scheme implemented in key markets, material recycling partnerships)</w:t>
      </w:r>
    </w:p>
    <w:p>
      <w:pPr>
        <w:pStyle w:val="FirstParagraph"/>
      </w:pPr>
      <w:r>
        <w:t xml:space="preserve">For EoL calculations, a credit for avoided virgin material production is applied for the recycled portion, while emissions for the non-recycled portion\'s disposal are accounted for. A conservative avoided emissions factor of 50% for recycled material compared to virgin production is used for the credit calculation.</w:t>
      </w:r>
    </w:p>
    <w:p>
      <w:r>
        <w:pict>
          <v:rect style="width:0;height:1.5pt" o:hralign="center" o:hrstd="t" o:hr="t"/>
        </w:pict>
      </w:r>
    </w:p>
    <w:bookmarkEnd w:id="33"/>
    <w:bookmarkEnd w:id="34"/>
    <w:bookmarkStart w:id="42" w:name="emission-calculation-and-categorization"/>
    <w:p>
      <w:pPr>
        <w:pStyle w:val="Heading2"/>
      </w:pPr>
      <w:r>
        <w:t xml:space="preserve">4. Emission Calculation and Categorization</w:t>
      </w:r>
    </w:p>
    <w:p>
      <w:pPr>
        <w:pStyle w:val="FirstParagraph"/>
      </w:pPr>
      <w:r>
        <w:t xml:space="preserve">This section presents the calculated GHG emissions for each lifecycle stage, categorized according to the GHG Protocol Scopes.</w:t>
      </w:r>
    </w:p>
    <w:bookmarkStart w:id="35" w:name="total-product-carbon-footprint-summary"/>
    <w:p>
      <w:pPr>
        <w:pStyle w:val="Heading3"/>
      </w:pPr>
      <w:r>
        <w:t xml:space="preserve">4.1. 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c>
          <w:tcPr/>
          <w:p>
            <w:pPr>
              <w:pStyle w:val="Compact"/>
              <w:jc w:val="left"/>
            </w:pPr>
            <w:r>
              <w:t xml:space="preserve">Contribution (%)</w:t>
            </w:r>
          </w:p>
        </w:tc>
      </w:tr>
      <w:tr>
        <w:tc>
          <w:tcPr/>
          <w:p>
            <w:pPr>
              <w:pStyle w:val="Compact"/>
              <w:jc w:val="left"/>
            </w:pPr>
            <w:r>
              <w:t xml:space="preserve">Raw Material Acquisition &amp; Pre-processing</w:t>
            </w:r>
          </w:p>
        </w:tc>
        <w:tc>
          <w:tcPr/>
          <w:p>
            <w:pPr>
              <w:pStyle w:val="Compact"/>
              <w:jc w:val="left"/>
            </w:pPr>
            <w:r>
              <w:t xml:space="preserve">Scope 3 (Upstream - Category 1)</w:t>
            </w:r>
          </w:p>
        </w:tc>
        <w:tc>
          <w:tcPr/>
          <w:p>
            <w:pPr>
              <w:pStyle w:val="Compact"/>
              <w:jc w:val="left"/>
            </w:pPr>
            <w:r>
              <w:t xml:space="preserve">7.30</w:t>
            </w:r>
          </w:p>
        </w:tc>
        <w:tc>
          <w:tcPr/>
          <w:p>
            <w:pPr>
              <w:pStyle w:val="Compact"/>
              <w:jc w:val="left"/>
            </w:pPr>
            <w:r>
              <w:t xml:space="preserve">39.1%</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0.60</w:t>
            </w:r>
          </w:p>
        </w:tc>
        <w:tc>
          <w:tcPr/>
          <w:p>
            <w:pPr>
              <w:pStyle w:val="Compact"/>
              <w:jc w:val="left"/>
            </w:pPr>
            <w:r>
              <w:t xml:space="preserve">3.2%</w:t>
            </w:r>
          </w:p>
        </w:tc>
      </w:tr>
      <w:tr>
        <w:tc>
          <w:tcPr/>
          <w:p>
            <w:pPr>
              <w:pStyle w:val="Compact"/>
              <w:jc w:val="left"/>
            </w:pPr>
            <w:r>
              <w:t xml:space="preserve">Transport (Upstream &amp; Downstream)</w:t>
            </w:r>
          </w:p>
        </w:tc>
        <w:tc>
          <w:tcPr/>
          <w:p>
            <w:pPr>
              <w:pStyle w:val="Compact"/>
              <w:jc w:val="left"/>
            </w:pPr>
            <w:r>
              <w:t xml:space="preserve">Scope 3 (Upstream Cat. 4, Downstream Cat. 9)</w:t>
            </w:r>
          </w:p>
        </w:tc>
        <w:tc>
          <w:tcPr/>
          <w:p>
            <w:pPr>
              <w:pStyle w:val="Compact"/>
              <w:jc w:val="left"/>
            </w:pPr>
            <w:r>
              <w:t xml:space="preserve">0.18</w:t>
            </w:r>
          </w:p>
        </w:tc>
        <w:tc>
          <w:tcPr/>
          <w:p>
            <w:pPr>
              <w:pStyle w:val="Compact"/>
              <w:jc w:val="left"/>
            </w:pPr>
            <w:r>
              <w:t xml:space="preserve">1.0%</w:t>
            </w:r>
          </w:p>
        </w:tc>
      </w:tr>
      <w:tr>
        <w:tc>
          <w:tcPr/>
          <w:p>
            <w:pPr>
              <w:pStyle w:val="Compact"/>
              <w:jc w:val="left"/>
            </w:pPr>
            <w:r>
              <w:t xml:space="preserve">Use Phase</w:t>
            </w:r>
          </w:p>
        </w:tc>
        <w:tc>
          <w:tcPr/>
          <w:p>
            <w:pPr>
              <w:pStyle w:val="Compact"/>
              <w:jc w:val="left"/>
            </w:pPr>
            <w:r>
              <w:t xml:space="preserve">Scope 3 (Downstream - Category 11)</w:t>
            </w:r>
          </w:p>
        </w:tc>
        <w:tc>
          <w:tcPr/>
          <w:p>
            <w:pPr>
              <w:pStyle w:val="Compact"/>
              <w:jc w:val="left"/>
            </w:pPr>
            <w:r>
              <w:t xml:space="preserve">12.50</w:t>
            </w:r>
          </w:p>
        </w:tc>
        <w:tc>
          <w:tcPr/>
          <w:p>
            <w:pPr>
              <w:pStyle w:val="Compact"/>
              <w:jc w:val="left"/>
            </w:pPr>
            <w:r>
              <w:t xml:space="preserve">67.0%</w:t>
            </w:r>
          </w:p>
        </w:tc>
      </w:tr>
      <w:tr>
        <w:tc>
          <w:tcPr/>
          <w:p>
            <w:pPr>
              <w:pStyle w:val="Compact"/>
              <w:jc w:val="left"/>
            </w:pPr>
            <w:r>
              <w:t xml:space="preserve">End-of-Life Treatment (Net)</w:t>
            </w:r>
          </w:p>
        </w:tc>
        <w:tc>
          <w:tcPr/>
          <w:p>
            <w:pPr>
              <w:pStyle w:val="Compact"/>
              <w:jc w:val="left"/>
            </w:pPr>
            <w:r>
              <w:t xml:space="preserve">Scope 3 (Downstream - Category 12)</w:t>
            </w:r>
          </w:p>
        </w:tc>
        <w:tc>
          <w:tcPr/>
          <w:p>
            <w:pPr>
              <w:pStyle w:val="Compact"/>
              <w:jc w:val="left"/>
            </w:pPr>
            <w:r>
              <w:t xml:space="preserve">-2.92 (Credit) + 0.10 (Disposal) = -2.82</w:t>
            </w:r>
          </w:p>
        </w:tc>
        <w:tc>
          <w:tcPr/>
          <w:p>
            <w:pPr>
              <w:pStyle w:val="Compact"/>
              <w:jc w:val="left"/>
            </w:pPr>
            <w:r>
              <w:t xml:space="preserve">-15.1%</w:t>
            </w:r>
          </w:p>
        </w:tc>
      </w:tr>
      <w:tr>
        <w:tc>
          <w:tcPr>
            <w:gridSpan w:val="2"/>
          </w:tcPr>
          <w:p>
            <w:pPr>
              <w:pStyle w:val="Compact"/>
              <w:jc w:val="right"/>
            </w:pPr>
            <w:r>
              <w:t xml:space="preserve">TOTAL PRODUCT CARBON FOOTPRINT (kgCO2e):</w:t>
            </w:r>
          </w:p>
        </w:tc>
        <w:tc>
          <w:tcPr/>
          <w:p>
            <w:pPr>
              <w:pStyle w:val="Compact"/>
              <w:jc w:val="left"/>
            </w:pPr>
            <w:r>
              <w:t xml:space="preserve">17.76</w:t>
            </w:r>
          </w:p>
        </w:tc>
        <w:tc>
          <w:tcPr/>
          <w:p>
            <w:pPr>
              <w:pStyle w:val="Compact"/>
              <w:jc w:val="left"/>
            </w:pPr>
            <w:r>
              <w:t xml:space="preserve">100.0%</w:t>
            </w:r>
          </w:p>
        </w:tc>
      </w:tr>
    </w:tbl>
    <w:bookmarkEnd w:id="35"/>
    <w:bookmarkStart w:id="41" w:name="X54f3f6b205cf8740e010b37d3c117e7966989b9"/>
    <w:p>
      <w:pPr>
        <w:pStyle w:val="Heading3"/>
      </w:pPr>
      <w:r>
        <w:t xml:space="preserve">4.2. Detailed Emissions Breakdown by Lifecycle Stage</w:t>
      </w:r>
    </w:p>
    <w:bookmarkStart w:id="36" w:name="X803f1a2d294c2df7ca399abbc08b79c0f9fca01"/>
    <w:p>
      <w:pPr>
        <w:pStyle w:val="Heading4"/>
      </w:pPr>
      <w:r>
        <w:t xml:space="preserve">4.2.1. Raw Material Acquisition &amp; Pre-processing (Scope 3, Category 1)</w:t>
      </w:r>
    </w:p>
    <w:p>
      <w:pPr>
        <w:numPr>
          <w:ilvl w:val="0"/>
          <w:numId w:val="1010"/>
        </w:numPr>
        <w:pStyle w:val="Compact"/>
      </w:pPr>
      <w:r>
        <w:rPr>
          <w:bCs/>
          <w:b/>
        </w:rPr>
        <w:t xml:space="preserve">Calculation:</w:t>
      </w:r>
      <w:r>
        <w:t xml:space="preserve"> </w:t>
      </w:r>
      <w:r>
        <w:t xml:space="preserve">Sum of "Total Carbon" from the Detailed Bill of Materials.</w:t>
      </w:r>
    </w:p>
    <w:p>
      <w:pPr>
        <w:numPr>
          <w:ilvl w:val="1"/>
          <w:numId w:val="1011"/>
        </w:numPr>
        <w:pStyle w:val="Compact"/>
      </w:pPr>
      <w:r>
        <w:t xml:space="preserve">Aluminum Casing: 0.5 kg * 7.0 kgCO2e/kg = 3.50 kgCO2e</w:t>
      </w:r>
    </w:p>
    <w:p>
      <w:pPr>
        <w:numPr>
          <w:ilvl w:val="1"/>
          <w:numId w:val="1011"/>
        </w:numPr>
        <w:pStyle w:val="Compact"/>
      </w:pPr>
      <w:r>
        <w:t xml:space="preserve">Printed Circuit Board (PCB): 0.1 unit * 15.0 kgCO2e/unit = 1.50 kgCO2e</w:t>
      </w:r>
    </w:p>
    <w:p>
      <w:pPr>
        <w:numPr>
          <w:ilvl w:val="1"/>
          <w:numId w:val="1011"/>
        </w:numPr>
        <w:pStyle w:val="Compact"/>
      </w:pPr>
      <w:r>
        <w:t xml:space="preserve">Plastic Components (ABS): 0.2 kg * 3.5 kgCO2e/kg = 0.70 kgCO2e</w:t>
      </w:r>
    </w:p>
    <w:p>
      <w:pPr>
        <w:numPr>
          <w:ilvl w:val="1"/>
          <w:numId w:val="1011"/>
        </w:numPr>
        <w:pStyle w:val="Compact"/>
      </w:pPr>
      <w:r>
        <w:t xml:space="preserve">Lithium-ion Battery: 0.05 kg * 30.0 kgCO2e/kg = 1.50 kgCO2e</w:t>
      </w:r>
    </w:p>
    <w:p>
      <w:pPr>
        <w:numPr>
          <w:ilvl w:val="1"/>
          <w:numId w:val="1011"/>
        </w:numPr>
        <w:pStyle w:val="Compact"/>
      </w:pPr>
      <w:r>
        <w:t xml:space="preserve">Packaging (Recycled Cardboard): 0.1 kg * 1.0 kgCO2e/kg = 0.10 kgCO2e</w:t>
      </w:r>
    </w:p>
    <w:p>
      <w:pPr>
        <w:numPr>
          <w:ilvl w:val="0"/>
          <w:numId w:val="1010"/>
        </w:numPr>
        <w:pStyle w:val="Compact"/>
      </w:pPr>
      <w:r>
        <w:rPr>
          <w:bCs/>
          <w:b/>
        </w:rPr>
        <w:t xml:space="preserve">Total Raw Material Emissions: 7.30 kgCO2e</w:t>
      </w:r>
    </w:p>
    <w:p>
      <w:pPr>
        <w:numPr>
          <w:ilvl w:val="0"/>
          <w:numId w:val="1010"/>
        </w:numPr>
        <w:pStyle w:val="Compact"/>
      </w:pPr>
      <w:r>
        <w:rPr>
          <w:bCs/>
          <w:b/>
        </w:rPr>
        <w:t xml:space="preserve">Hotspot:</w:t>
      </w:r>
      <w:r>
        <w:t xml:space="preserve"> </w:t>
      </w:r>
      <w:r>
        <w:t xml:space="preserve">High-impact materials like Lithium-ion Battery and Aluminum Casing contribute significantly due to their energy-intensive production processes.</w:t>
      </w:r>
    </w:p>
    <w:bookmarkEnd w:id="36"/>
    <w:bookmarkStart w:id="37" w:name="manufacturing-scope-2"/>
    <w:p>
      <w:pPr>
        <w:pStyle w:val="Heading4"/>
      </w:pPr>
      <w:r>
        <w:t xml:space="preserve">4.2.2. Manufacturing (Scope 2)</w:t>
      </w:r>
    </w:p>
    <w:p>
      <w:pPr>
        <w:numPr>
          <w:ilvl w:val="0"/>
          <w:numId w:val="1012"/>
        </w:numPr>
        <w:pStyle w:val="Compact"/>
      </w:pPr>
      <w:r>
        <w:rPr>
          <w:bCs/>
          <w:b/>
        </w:rPr>
        <w:t xml:space="preserve">Energy Consumption:</w:t>
      </w:r>
      <w:r>
        <w:t xml:space="preserve"> </w:t>
      </w:r>
      <w:r>
        <w:t xml:space="preserve">2.5 kWh/unit</w:t>
      </w:r>
    </w:p>
    <w:p>
      <w:pPr>
        <w:numPr>
          <w:ilvl w:val="0"/>
          <w:numId w:val="1012"/>
        </w:numPr>
        <w:pStyle w:val="Compact"/>
      </w:pPr>
      <w:r>
        <w:rPr>
          <w:bCs/>
          <w:b/>
        </w:rPr>
        <w:t xml:space="preserve">Non-renewable Energy:</w:t>
      </w:r>
      <w:r>
        <w:t xml:space="preserve"> </w:t>
      </w:r>
      <w:r>
        <w:t xml:space="preserve">2.5 kWh/unit * (1 - 60% renewable) = 1.0 kWh/unit</w:t>
      </w:r>
    </w:p>
    <w:p>
      <w:pPr>
        <w:numPr>
          <w:ilvl w:val="0"/>
          <w:numId w:val="1012"/>
        </w:numPr>
        <w:pStyle w:val="Compact"/>
      </w:pPr>
      <w:r>
        <w:rPr>
          <w:bCs/>
          <w:b/>
        </w:rPr>
        <w:t xml:space="preserve">Emissions Factor (China Grid):</w:t>
      </w:r>
      <w:r>
        <w:t xml:space="preserve"> </w:t>
      </w:r>
      <w:r>
        <w:t xml:space="preserve">0.6 kgCO2e/kWh (Illustrative)</w:t>
      </w:r>
    </w:p>
    <w:p>
      <w:pPr>
        <w:numPr>
          <w:ilvl w:val="0"/>
          <w:numId w:val="1012"/>
        </w:numPr>
        <w:pStyle w:val="Compact"/>
      </w:pPr>
      <w:r>
        <w:rPr>
          <w:bCs/>
          <w:b/>
        </w:rPr>
        <w:t xml:space="preserve">Calculation:</w:t>
      </w:r>
      <w:r>
        <w:t xml:space="preserve"> </w:t>
      </w:r>
      <w:r>
        <w:t xml:space="preserve">1.0 kWh/unit * 0.6 kgCO2e/kWh = 0.60 kgCO2e</w:t>
      </w:r>
    </w:p>
    <w:p>
      <w:pPr>
        <w:numPr>
          <w:ilvl w:val="0"/>
          <w:numId w:val="1012"/>
        </w:numPr>
        <w:pStyle w:val="Compact"/>
      </w:pPr>
      <w:r>
        <w:rPr>
          <w:bCs/>
          <w:b/>
        </w:rPr>
        <w:t xml:space="preserve">Total Manufacturing Emissions (Scope 2): 0.60 kgCO2e</w:t>
      </w:r>
    </w:p>
    <w:p>
      <w:pPr>
        <w:numPr>
          <w:ilvl w:val="0"/>
          <w:numId w:val="1012"/>
        </w:numPr>
        <w:pStyle w:val="Compact"/>
      </w:pPr>
      <w:r>
        <w:rPr>
          <w:bCs/>
          <w:b/>
        </w:rPr>
        <w:t xml:space="preserve">Note:</w:t>
      </w:r>
      <w:r>
        <w:t xml:space="preserve"> </w:t>
      </w:r>
      <w:r>
        <w:t xml:space="preserve">Scope 1 emissions from direct fuel combustion are assumed to be negligible for this specific manufacturing process and are not quantified separately given the provided parameters.</w:t>
      </w:r>
    </w:p>
    <w:bookmarkEnd w:id="37"/>
    <w:bookmarkStart w:id="38" w:name="transport-scope-3-categories-4-9"/>
    <w:p>
      <w:pPr>
        <w:pStyle w:val="Heading4"/>
      </w:pPr>
      <w:r>
        <w:t xml:space="preserve">4.2.3. Transport (Scope 3, Categories 4 &amp; 9)</w:t>
      </w:r>
    </w:p>
    <w:p>
      <w:pPr>
        <w:numPr>
          <w:ilvl w:val="0"/>
          <w:numId w:val="1013"/>
        </w:numPr>
        <w:pStyle w:val="Compact"/>
      </w:pPr>
      <w:r>
        <w:rPr>
          <w:bCs/>
          <w:b/>
        </w:rPr>
        <w:t xml:space="preserve">Upstream Transport (Materials, Europe to China - Ocean Freight):</w:t>
      </w:r>
    </w:p>
    <w:p>
      <w:pPr>
        <w:numPr>
          <w:ilvl w:val="1"/>
          <w:numId w:val="1014"/>
        </w:numPr>
        <w:pStyle w:val="Compact"/>
      </w:pPr>
      <w:r>
        <w:t xml:space="preserve">Distance: 15,000 km</w:t>
      </w:r>
    </w:p>
    <w:p>
      <w:pPr>
        <w:numPr>
          <w:ilvl w:val="1"/>
          <w:numId w:val="1014"/>
        </w:numPr>
        <w:pStyle w:val="Compact"/>
      </w:pPr>
      <w:r>
        <w:t xml:space="preserve">Product Weight Equivalent: 0.001 tonne (for 1 kg product)</w:t>
      </w:r>
    </w:p>
    <w:p>
      <w:pPr>
        <w:numPr>
          <w:ilvl w:val="1"/>
          <w:numId w:val="1014"/>
        </w:numPr>
        <w:pStyle w:val="Compact"/>
      </w:pPr>
      <w:r>
        <w:t xml:space="preserve">Emission Factor: 0.005 kgCO2e/tkm</w:t>
      </w:r>
    </w:p>
    <w:p>
      <w:pPr>
        <w:numPr>
          <w:ilvl w:val="1"/>
          <w:numId w:val="1014"/>
        </w:numPr>
        <w:pStyle w:val="Compact"/>
      </w:pPr>
      <w:r>
        <w:t xml:space="preserve">Calculation: 0.001 t * 15,000 km * 0.005 kgCO2e/tkm = 0.075 kgCO2e</w:t>
      </w:r>
    </w:p>
    <w:p>
      <w:pPr>
        <w:numPr>
          <w:ilvl w:val="0"/>
          <w:numId w:val="1013"/>
        </w:numPr>
        <w:pStyle w:val="Compact"/>
      </w:pPr>
      <w:r>
        <w:rPr>
          <w:bCs/>
          <w:b/>
        </w:rPr>
        <w:t xml:space="preserve">Downstream Transport (Finished Product, China to Europe - Ocean Freight):</w:t>
      </w:r>
    </w:p>
    <w:p>
      <w:pPr>
        <w:numPr>
          <w:ilvl w:val="1"/>
          <w:numId w:val="1015"/>
        </w:numPr>
        <w:pStyle w:val="Compact"/>
      </w:pPr>
      <w:r>
        <w:t xml:space="preserve">Distance: 12,000 km</w:t>
      </w:r>
    </w:p>
    <w:p>
      <w:pPr>
        <w:numPr>
          <w:ilvl w:val="1"/>
          <w:numId w:val="1015"/>
        </w:numPr>
        <w:pStyle w:val="Compact"/>
      </w:pPr>
      <w:r>
        <w:t xml:space="preserve">Product Weight: 0.001 tonne</w:t>
      </w:r>
    </w:p>
    <w:p>
      <w:pPr>
        <w:numPr>
          <w:ilvl w:val="1"/>
          <w:numId w:val="1015"/>
        </w:numPr>
        <w:pStyle w:val="Compact"/>
      </w:pPr>
      <w:r>
        <w:t xml:space="preserve">Emission Factor: 0.005 kgCO2e/tkm</w:t>
      </w:r>
    </w:p>
    <w:p>
      <w:pPr>
        <w:numPr>
          <w:ilvl w:val="1"/>
          <w:numId w:val="1015"/>
        </w:numPr>
        <w:pStyle w:val="Compact"/>
      </w:pPr>
      <w:r>
        <w:t xml:space="preserve">Calculation: 0.001 t * 12,000 km * 0.005 kgCO2e/tkm = 0.060 kgCO2e</w:t>
      </w:r>
    </w:p>
    <w:p>
      <w:pPr>
        <w:numPr>
          <w:ilvl w:val="0"/>
          <w:numId w:val="1013"/>
        </w:numPr>
        <w:pStyle w:val="Compact"/>
      </w:pPr>
      <w:r>
        <w:rPr>
          <w:bCs/>
          <w:b/>
        </w:rPr>
        <w:t xml:space="preserve">Last-Mile Delivery (Road Freight, LCV):</w:t>
      </w:r>
    </w:p>
    <w:p>
      <w:pPr>
        <w:numPr>
          <w:ilvl w:val="1"/>
          <w:numId w:val="1016"/>
        </w:numPr>
        <w:pStyle w:val="Compact"/>
      </w:pPr>
      <w:r>
        <w:t xml:space="preserve">Distance: 500 km</w:t>
      </w:r>
    </w:p>
    <w:p>
      <w:pPr>
        <w:numPr>
          <w:ilvl w:val="1"/>
          <w:numId w:val="1016"/>
        </w:numPr>
        <w:pStyle w:val="Compact"/>
      </w:pPr>
      <w:r>
        <w:t xml:space="preserve">Product Weight: 0.001 tonne</w:t>
      </w:r>
    </w:p>
    <w:p>
      <w:pPr>
        <w:numPr>
          <w:ilvl w:val="1"/>
          <w:numId w:val="1016"/>
        </w:numPr>
        <w:pStyle w:val="Compact"/>
      </w:pPr>
      <w:r>
        <w:t xml:space="preserve">Emission Factor: 0.090 kgCO2e/tkm</w:t>
      </w:r>
    </w:p>
    <w:p>
      <w:pPr>
        <w:numPr>
          <w:ilvl w:val="1"/>
          <w:numId w:val="1016"/>
        </w:numPr>
        <w:pStyle w:val="Compact"/>
      </w:pPr>
      <w:r>
        <w:t xml:space="preserve">Calculation: 0.001 t * 500 km * 0.090 kgCO2e/tkm = 0.045 kgCO2e</w:t>
      </w:r>
    </w:p>
    <w:p>
      <w:pPr>
        <w:numPr>
          <w:ilvl w:val="0"/>
          <w:numId w:val="1013"/>
        </w:numPr>
        <w:pStyle w:val="Compact"/>
      </w:pPr>
      <w:r>
        <w:rPr>
          <w:bCs/>
          <w:b/>
        </w:rPr>
        <w:t xml:space="preserve">Total Transport Emissions: 0.075 + 0.060 + 0.045 = 0.18 kgCO2e</w:t>
      </w:r>
    </w:p>
    <w:bookmarkEnd w:id="38"/>
    <w:bookmarkStart w:id="39" w:name="use-phase-scope-3-category-11"/>
    <w:p>
      <w:pPr>
        <w:pStyle w:val="Heading4"/>
      </w:pPr>
      <w:r>
        <w:t xml:space="preserve">4.2.4. Use Phase (Scope 3, Category 11)</w:t>
      </w:r>
    </w:p>
    <w:p>
      <w:pPr>
        <w:numPr>
          <w:ilvl w:val="0"/>
          <w:numId w:val="1017"/>
        </w:numPr>
        <w:pStyle w:val="Compact"/>
      </w:pPr>
      <w:r>
        <w:rPr>
          <w:bCs/>
          <w:b/>
        </w:rPr>
        <w:t xml:space="preserve">Product Lifespan:</w:t>
      </w:r>
      <w:r>
        <w:t xml:space="preserve"> </w:t>
      </w:r>
      <w:r>
        <w:t xml:space="preserve">5 years</w:t>
      </w:r>
    </w:p>
    <w:p>
      <w:pPr>
        <w:numPr>
          <w:ilvl w:val="0"/>
          <w:numId w:val="1017"/>
        </w:numPr>
        <w:pStyle w:val="Compact"/>
      </w:pPr>
      <w:r>
        <w:rPr>
          <w:bCs/>
          <w:b/>
        </w:rPr>
        <w:t xml:space="preserve">Annual Energy Consumption:</w:t>
      </w:r>
      <w:r>
        <w:t xml:space="preserve"> </w:t>
      </w:r>
      <w:r>
        <w:t xml:space="preserve">10 kWh/year</w:t>
      </w:r>
    </w:p>
    <w:p>
      <w:pPr>
        <w:numPr>
          <w:ilvl w:val="0"/>
          <w:numId w:val="1017"/>
        </w:numPr>
        <w:pStyle w:val="Compact"/>
      </w:pPr>
      <w:r>
        <w:rPr>
          <w:bCs/>
          <w:b/>
        </w:rPr>
        <w:t xml:space="preserve">Total Energy Consumption:</w:t>
      </w:r>
      <w:r>
        <w:t xml:space="preserve"> </w:t>
      </w:r>
      <w:r>
        <w:t xml:space="preserve">10 kWh/year * 5 years = 50 kWh</w:t>
      </w:r>
    </w:p>
    <w:p>
      <w:pPr>
        <w:numPr>
          <w:ilvl w:val="0"/>
          <w:numId w:val="1017"/>
        </w:numPr>
        <w:pStyle w:val="Compact"/>
      </w:pPr>
      <w:r>
        <w:rPr>
          <w:bCs/>
          <w:b/>
        </w:rPr>
        <w:t xml:space="preserve">Emission Factor (European Grid Mix):</w:t>
      </w:r>
      <w:r>
        <w:t xml:space="preserve"> </w:t>
      </w:r>
      <w:r>
        <w:t xml:space="preserve">0.25 kgCO2e/kWh (Illustrative)</w:t>
      </w:r>
    </w:p>
    <w:p>
      <w:pPr>
        <w:numPr>
          <w:ilvl w:val="0"/>
          <w:numId w:val="1017"/>
        </w:numPr>
        <w:pStyle w:val="Compact"/>
      </w:pPr>
      <w:r>
        <w:rPr>
          <w:bCs/>
          <w:b/>
        </w:rPr>
        <w:t xml:space="preserve">Calculation:</w:t>
      </w:r>
      <w:r>
        <w:t xml:space="preserve"> </w:t>
      </w:r>
      <w:r>
        <w:t xml:space="preserve">50 kWh * 0.25 kgCO2e/kWh = 12.50 kgCO2e</w:t>
      </w:r>
    </w:p>
    <w:p>
      <w:pPr>
        <w:numPr>
          <w:ilvl w:val="0"/>
          <w:numId w:val="1017"/>
        </w:numPr>
        <w:pStyle w:val="Compact"/>
      </w:pPr>
      <w:r>
        <w:rPr>
          <w:bCs/>
          <w:b/>
        </w:rPr>
        <w:t xml:space="preserve">Total Use Phase Emissions: 12.50 kgCO2e</w:t>
      </w:r>
    </w:p>
    <w:p>
      <w:pPr>
        <w:numPr>
          <w:ilvl w:val="0"/>
          <w:numId w:val="1017"/>
        </w:numPr>
        <w:pStyle w:val="Compact"/>
      </w:pPr>
      <w:r>
        <w:rPr>
          <w:bCs/>
          <w:b/>
        </w:rPr>
        <w:t xml:space="preserve">Hotspot:</w:t>
      </w:r>
      <w:r>
        <w:t xml:space="preserve"> </w:t>
      </w:r>
      <w:r>
        <w:t xml:space="preserve">The use phase represents the largest single contributor to the product\'s PCF, primarily due to electricity consumption over its 5-year lifespan.</w:t>
      </w:r>
    </w:p>
    <w:bookmarkEnd w:id="39"/>
    <w:bookmarkStart w:id="40" w:name="Xd8b0cc1007d2f3c714880ecf2ca12af4f909441"/>
    <w:p>
      <w:pPr>
        <w:pStyle w:val="Heading4"/>
      </w:pPr>
      <w:r>
        <w:t xml:space="preserve">4.2.5. End-of-Life (EoL) Treatment (Scope 3, Category 12)</w:t>
      </w:r>
    </w:p>
    <w:p>
      <w:pPr>
        <w:numPr>
          <w:ilvl w:val="0"/>
          <w:numId w:val="1018"/>
        </w:numPr>
        <w:pStyle w:val="Compact"/>
      </w:pPr>
      <w:r>
        <w:rPr>
          <w:bCs/>
          <w:b/>
        </w:rPr>
        <w:t xml:space="preserve">Recyclability Percentage:</w:t>
      </w:r>
      <w:r>
        <w:t xml:space="preserve"> </w:t>
      </w:r>
      <w:r>
        <w:t xml:space="preserve">80%</w:t>
      </w:r>
    </w:p>
    <w:p>
      <w:pPr>
        <w:numPr>
          <w:ilvl w:val="0"/>
          <w:numId w:val="1018"/>
        </w:numPr>
        <w:pStyle w:val="Compact"/>
      </w:pPr>
      <w:r>
        <w:rPr>
          <w:bCs/>
          <w:b/>
        </w:rPr>
        <w:t xml:space="preserve">Disposal of Non-recycled Portion:</w:t>
      </w:r>
    </w:p>
    <w:p>
      <w:pPr>
        <w:numPr>
          <w:ilvl w:val="1"/>
          <w:numId w:val="1019"/>
        </w:numPr>
        <w:pStyle w:val="Compact"/>
      </w:pPr>
      <w:r>
        <w:t xml:space="preserve">Non-recycled Product Weight: 1 kg * (1 - 0.80) = 0.2 kg</w:t>
      </w:r>
    </w:p>
    <w:p>
      <w:pPr>
        <w:numPr>
          <w:ilvl w:val="1"/>
          <w:numId w:val="1019"/>
        </w:numPr>
        <w:pStyle w:val="Compact"/>
      </w:pPr>
      <w:r>
        <w:t xml:space="preserve">Illustrative Disposal Emission Factor (Landfill/Incineration): 0.5 kgCO2e/kg</w:t>
      </w:r>
    </w:p>
    <w:p>
      <w:pPr>
        <w:numPr>
          <w:ilvl w:val="1"/>
          <w:numId w:val="1019"/>
        </w:numPr>
        <w:pStyle w:val="Compact"/>
      </w:pPr>
      <w:r>
        <w:t xml:space="preserve">Calculation: 0.2 kg * 0.5 kgCO2e/kg = 0.10 kgCO2e</w:t>
      </w:r>
    </w:p>
    <w:p>
      <w:pPr>
        <w:numPr>
          <w:ilvl w:val="0"/>
          <w:numId w:val="1018"/>
        </w:numPr>
        <w:pStyle w:val="Compact"/>
      </w:pPr>
      <w:r>
        <w:rPr>
          <w:bCs/>
          <w:b/>
        </w:rPr>
        <w:t xml:space="preserve">Recycling Credit (Avoided Emissions):</w:t>
      </w:r>
    </w:p>
    <w:p>
      <w:pPr>
        <w:numPr>
          <w:ilvl w:val="1"/>
          <w:numId w:val="1020"/>
        </w:numPr>
        <w:pStyle w:val="Compact"/>
      </w:pPr>
      <w:r>
        <w:t xml:space="preserve">Initial Material Emissions (from BOM subtotal): 7.30 kgCO2e</w:t>
      </w:r>
    </w:p>
    <w:p>
      <w:pPr>
        <w:numPr>
          <w:ilvl w:val="1"/>
          <w:numId w:val="1020"/>
        </w:numPr>
        <w:pStyle w:val="Compact"/>
      </w:pPr>
      <w:r>
        <w:t xml:space="preserve">Recycled Portion: 80%</w:t>
      </w:r>
    </w:p>
    <w:p>
      <w:pPr>
        <w:numPr>
          <w:ilvl w:val="1"/>
          <w:numId w:val="1020"/>
        </w:numPr>
        <w:pStyle w:val="Compact"/>
      </w:pPr>
      <w:r>
        <w:t xml:space="preserve">Assumed Avoided Emissions Factor (e.g., 50% reduction compared to virgin material production for the recycled portion): 0.5</w:t>
      </w:r>
    </w:p>
    <w:p>
      <w:pPr>
        <w:numPr>
          <w:ilvl w:val="1"/>
          <w:numId w:val="1020"/>
        </w:numPr>
        <w:pStyle w:val="Compact"/>
      </w:pPr>
      <w:r>
        <w:t xml:space="preserve">Calculation: 7.30 kgCO2e * 0.80 * 0.5 = -2.92 kgCO2e (credit)</w:t>
      </w:r>
    </w:p>
    <w:p>
      <w:pPr>
        <w:numPr>
          <w:ilvl w:val="0"/>
          <w:numId w:val="1018"/>
        </w:numPr>
        <w:pStyle w:val="Compact"/>
      </w:pPr>
      <w:r>
        <w:rPr>
          <w:bCs/>
          <w:b/>
        </w:rPr>
        <w:t xml:space="preserve">Total End-of-Life (Net) Emissions: 0.10 kgCO2e - 2.92 kgCO2e = -2.82 kgCO2e</w:t>
      </w:r>
      <w:r>
        <w:t xml:space="preserve"> </w:t>
      </w:r>
      <w:r>
        <w:t xml:space="preserve">(Net credit due to significant recycling).</w:t>
      </w:r>
    </w:p>
    <w:p>
      <w:pPr>
        <w:numPr>
          <w:ilvl w:val="0"/>
          <w:numId w:val="1018"/>
        </w:numPr>
        <w:pStyle w:val="Compact"/>
      </w:pPr>
      <w:r>
        <w:rPr>
          <w:bCs/>
          <w:b/>
        </w:rPr>
        <w:t xml:space="preserve">Circular Programs:</w:t>
      </w:r>
      <w:r>
        <w:t xml:space="preserve"> </w:t>
      </w:r>
      <w:r>
        <w:t xml:space="preserve">The implementation of a product take-back scheme and material recycling partnerships (as indicated by `iungpopnth`) positively influences the EoL footprint, providing a significant reduction through avoided virgin material production.</w:t>
      </w:r>
    </w:p>
    <w:p>
      <w:r>
        <w:pict>
          <v:rect style="width:0;height:1.5pt" o:hralign="center" o:hrstd="t" o:hr="t"/>
        </w:pict>
      </w:r>
    </w:p>
    <w:bookmarkEnd w:id="40"/>
    <w:bookmarkEnd w:id="41"/>
    <w:bookmarkEnd w:id="42"/>
    <w:bookmarkStart w:id="46" w:name="review-and-reporting"/>
    <w:p>
      <w:pPr>
        <w:pStyle w:val="Heading2"/>
      </w:pPr>
      <w:r>
        <w:t xml:space="preserve">5. Review and Reporting</w:t>
      </w:r>
    </w:p>
    <w:p>
      <w:pPr>
        <w:pStyle w:val="FirstParagraph"/>
      </w:pPr>
      <w:r>
        <w:t xml:space="preserve">The analysis of</w:t>
      </w:r>
      <w:r>
        <w:t xml:space="preserve"> </w:t>
      </w:r>
      <w:r>
        <w:rPr>
          <w:bCs/>
          <w:b/>
        </w:rPr>
        <w:t xml:space="preserve">gxveynxufq</w:t>
      </w:r>
      <w:r>
        <w:t xml:space="preserve">\'s Product Carbon Footprint reveals key insights and areas for potential improvement.</w:t>
      </w:r>
    </w:p>
    <w:bookmarkStart w:id="43" w:name="emission-hotspots"/>
    <w:p>
      <w:pPr>
        <w:pStyle w:val="Heading3"/>
      </w:pPr>
      <w:r>
        <w:t xml:space="preserve">5.1. Emission Hotspots</w:t>
      </w:r>
    </w:p>
    <w:p>
      <w:pPr>
        <w:pStyle w:val="FirstParagraph"/>
      </w:pPr>
      <w:r>
        <w:t xml:space="preserve">The primary emission hotspots are identified as:</w:t>
      </w:r>
    </w:p>
    <w:p>
      <w:pPr>
        <w:numPr>
          <w:ilvl w:val="0"/>
          <w:numId w:val="1021"/>
        </w:numPr>
        <w:pStyle w:val="Compact"/>
      </w:pPr>
      <w:r>
        <w:rPr>
          <w:bCs/>
          <w:b/>
        </w:rPr>
        <w:t xml:space="preserve">Use Phase (67.0%):</w:t>
      </w:r>
      <w:r>
        <w:t xml:space="preserve"> </w:t>
      </w:r>
      <w:r>
        <w:t xml:space="preserve">Dominated by electricity consumption over the product\'s lifespan. This highlights the critical need for energy-efficient design.</w:t>
      </w:r>
    </w:p>
    <w:p>
      <w:pPr>
        <w:numPr>
          <w:ilvl w:val="0"/>
          <w:numId w:val="1021"/>
        </w:numPr>
        <w:pStyle w:val="Compact"/>
      </w:pPr>
      <w:r>
        <w:rPr>
          <w:bCs/>
          <w:b/>
        </w:rPr>
        <w:t xml:space="preserve">Raw Material Acquisition (39.1%):</w:t>
      </w:r>
      <w:r>
        <w:t xml:space="preserve"> </w:t>
      </w:r>
      <w:r>
        <w:t xml:space="preserve">Certain components like the Lithium-ion battery and aluminum casing contribute significantly due to their inherent production intensity.</w:t>
      </w:r>
    </w:p>
    <w:p>
      <w:pPr>
        <w:pStyle w:val="FirstParagraph"/>
      </w:pPr>
      <w:r>
        <w:t xml:space="preserve">Transport and manufacturing within the factory gate (Scope 2) contribute a relatively smaller percentage to the overall PCF for this specific product, primarily due to efficient transport modes and partial renewable energy use in manufacturing.</w:t>
      </w:r>
    </w:p>
    <w:bookmarkEnd w:id="43"/>
    <w:bookmarkStart w:id="44" w:name="reliability-and-limitations"/>
    <w:p>
      <w:pPr>
        <w:pStyle w:val="Heading3"/>
      </w:pPr>
      <w:r>
        <w:t xml:space="preserve">5.2. Reliability and Limitations</w:t>
      </w:r>
    </w:p>
    <w:p>
      <w:pPr>
        <w:pStyle w:val="FirstParagraph"/>
      </w:pPr>
      <w:r>
        <w:t xml:space="preserve">The reliability of this report is high, as it integrates specific primary data where provided (BOM, energy usage, lifespan) and adheres to the GHG Protocol. However, certain limitations apply:</w:t>
      </w:r>
    </w:p>
    <w:p>
      <w:pPr>
        <w:numPr>
          <w:ilvl w:val="0"/>
          <w:numId w:val="1022"/>
        </w:numPr>
        <w:pStyle w:val="Compact"/>
      </w:pPr>
      <w:r>
        <w:rPr>
          <w:bCs/>
          <w:b/>
        </w:rPr>
        <w:t xml:space="preserve">Secondary Data Reliance:</w:t>
      </w:r>
      <w:r>
        <w:t xml:space="preserve"> </w:t>
      </w:r>
      <w:r>
        <w:t xml:space="preserve">Generic emission factors from industry databases (Ecoinvent/DEFRA equivalents) were used for materials and energy where specific supplier-provided factors were not available.</w:t>
      </w:r>
    </w:p>
    <w:p>
      <w:pPr>
        <w:numPr>
          <w:ilvl w:val="0"/>
          <w:numId w:val="1022"/>
        </w:numPr>
        <w:pStyle w:val="Compact"/>
      </w:pPr>
      <w:r>
        <w:rPr>
          <w:bCs/>
          <w:b/>
        </w:rPr>
        <w:t xml:space="preserve">Assumptions:</w:t>
      </w:r>
      <w:r>
        <w:t xml:space="preserve"> </w:t>
      </w:r>
      <w:r>
        <w:t xml:space="preserve">Illustrative assumptions were made for transport distances for components, typical user electricity mixes for the use phase, and simplified avoided emissions calculations for end-of-life recycling.</w:t>
      </w:r>
    </w:p>
    <w:p>
      <w:pPr>
        <w:numPr>
          <w:ilvl w:val="0"/>
          <w:numId w:val="1022"/>
        </w:numPr>
        <w:pStyle w:val="Compact"/>
      </w:pPr>
      <w:r>
        <w:rPr>
          <w:bCs/>
          <w:b/>
        </w:rPr>
        <w:t xml:space="preserve">Placeholder Data:</w:t>
      </w:r>
      <w:r>
        <w:t xml:space="preserve"> </w:t>
      </w:r>
      <w:r>
        <w:t xml:space="preserve">Due to the use of placeholder strings for several parameters (e.g., `nxdxitje`, `Select Mode`), representative but synthetic data was generated to perform the calculations. Real-world data would further refine these figures.</w:t>
      </w:r>
    </w:p>
    <w:bookmarkEnd w:id="44"/>
    <w:bookmarkStart w:id="45" w:name="recommendations-for-reduction"/>
    <w:p>
      <w:pPr>
        <w:pStyle w:val="Heading3"/>
      </w:pPr>
      <w:r>
        <w:t xml:space="preserve">5.3. Recommendations for Reduction</w:t>
      </w:r>
    </w:p>
    <w:p>
      <w:pPr>
        <w:numPr>
          <w:ilvl w:val="0"/>
          <w:numId w:val="1023"/>
        </w:numPr>
        <w:pStyle w:val="Compact"/>
      </w:pPr>
      <w:r>
        <w:rPr>
          <w:bCs/>
          <w:b/>
        </w:rPr>
        <w:t xml:space="preserve">Energy Efficiency in Use:</w:t>
      </w:r>
      <w:r>
        <w:t xml:space="preserve"> </w:t>
      </w:r>
      <w:r>
        <w:t xml:space="preserve">Focus on product redesign to significantly reduce energy consumption during the 5-year lifespan. This could involve more efficient components, smart power management features, or offering renewable energy solutions for product charging.</w:t>
      </w:r>
    </w:p>
    <w:p>
      <w:pPr>
        <w:numPr>
          <w:ilvl w:val="0"/>
          <w:numId w:val="1023"/>
        </w:numPr>
        <w:pStyle w:val="Compact"/>
      </w:pPr>
      <w:r>
        <w:rPr>
          <w:bCs/>
          <w:b/>
        </w:rPr>
        <w:t xml:space="preserve">Material Optimization:</w:t>
      </w:r>
      <w:r>
        <w:t xml:space="preserve"> </w:t>
      </w:r>
      <w:r>
        <w:t xml:space="preserve">Explore alternative, lower-carbon materials for high-impact components like batteries and casing, or increase the recycled content percentage beyond current levels.</w:t>
      </w:r>
    </w:p>
    <w:p>
      <w:pPr>
        <w:numPr>
          <w:ilvl w:val="0"/>
          <w:numId w:val="1023"/>
        </w:numPr>
        <w:pStyle w:val="Compact"/>
      </w:pPr>
      <w:r>
        <w:rPr>
          <w:bCs/>
          <w:b/>
        </w:rPr>
        <w:t xml:space="preserve">Supply Chain Engagement:</w:t>
      </w:r>
      <w:r>
        <w:t xml:space="preserve"> </w:t>
      </w:r>
      <w:r>
        <w:t xml:space="preserve">Work with suppliers of high-impact materials to encourage renewable energy adoption in their manufacturing processes.</w:t>
      </w:r>
    </w:p>
    <w:p>
      <w:pPr>
        <w:numPr>
          <w:ilvl w:val="0"/>
          <w:numId w:val="1023"/>
        </w:numPr>
        <w:pStyle w:val="Compact"/>
      </w:pPr>
      <w:r>
        <w:rPr>
          <w:bCs/>
          <w:b/>
        </w:rPr>
        <w:t xml:space="preserve">Circular Economy Expansion:</w:t>
      </w:r>
      <w:r>
        <w:t xml:space="preserve"> </w:t>
      </w:r>
      <w:r>
        <w:t xml:space="preserve">Continue to invest in and expand take-back schemes and recycling infrastructure, potentially aiming for higher recyclability rates and exploring repairability to extend product lifespan.</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gxveynxufq</dc:title>
  <dc:creator/>
  <dc:description>Detailed Product Carbon Footprint (PCF) analysis report for gxveynxufq, adhering to GHG Protocol standards and 2026 LSR update requirements.</dc:description>
  <dc:language>en</dc:language>
  <cp:keywords/>
  <dcterms:created xsi:type="dcterms:W3CDTF">2026-07-15T13:40:56Z</dcterms:created>
  <dcterms:modified xsi:type="dcterms:W3CDTF">2026-07-15T13:40:56Z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