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gvknwefxjo</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gvknwefxjo</w:t>
      </w:r>
    </w:p>
    <w:p>
      <w:pPr>
        <w:pStyle w:val="BodyText"/>
      </w:pPr>
      <w:r>
        <w:rPr>
          <w:bCs/>
          <w:b/>
        </w:rPr>
        <w:t xml:space="preserve">Company:</w:t>
      </w:r>
      <w:r>
        <w:t xml:space="preserve"> </w:t>
      </w:r>
      <w:r>
        <w:t xml:space="preserve">jexmuvpftk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sezydsfyzj</w:t>
      </w:r>
    </w:p>
    <w:p>
      <w:pPr>
        <w:pStyle w:val="BodyText"/>
      </w:pPr>
      <w:r>
        <w:t xml:space="preserve">This report is generated based on available data and industry standards. While every effort has been made to ensure accuracy,</w:t>
      </w:r>
      <w:r>
        <w:t xml:space="preserve"> </w:t>
      </w:r>
      <w:r>
        <w:t xml:space="preserve">the figures presented are estimates and subject to the limitations of data availability and methodological assumptions.</w:t>
      </w:r>
    </w:p>
    <w:bookmarkEnd w:id="20"/>
    <w:bookmarkStart w:id="21" w:name="X92950142dd478ababf96fb2591cab161c49eed1"/>
    <w:p>
      <w:pPr>
        <w:pStyle w:val="Heading1"/>
      </w:pPr>
      <w:r>
        <w:t xml:space="preserve">Product Carbon Footprint Analysis for gvknwefxjo</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jexmuvpftk</w:t>
      </w:r>
    </w:p>
    <w:p>
      <w:pPr>
        <w:pStyle w:val="BodyText"/>
      </w:pPr>
      <w:r>
        <w:rPr>
          <w:bCs/>
          <w:b/>
        </w:rPr>
        <w:t xml:space="preserve">Senior Sustainability Consultant:</w:t>
      </w:r>
      <w:r>
        <w:t xml:space="preserve"> </w:t>
      </w:r>
      <w:r>
        <w:t xml:space="preserve">sezydsfyzj</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gvknwefxjo, manufactured by jexmuvpftk.</w:t>
      </w:r>
      <w:r>
        <w:t xml:space="preserve"> </w:t>
      </w:r>
      <w:r>
        <w:t xml:space="preserve">The analysis, performed by Senior Sustainability Consultant sezydsfyzj, adheres strictly to the GHG Protocol</w:t>
      </w:r>
      <w:r>
        <w:t xml:space="preserve"> </w:t>
      </w:r>
      <w:r>
        <w:t xml:space="preserve">standards, including the anticipated 2026 Land Sector and Removals (LSR) update and the 95% Scope 3 coverage requirement.</w:t>
      </w:r>
      <w:r>
        <w:t xml:space="preserve"> </w:t>
      </w:r>
      <w:r>
        <w:t xml:space="preserve">The assessment covers a cradle-to-grave lifecycle, encompassing raw material acquisition, manufacturing,</w:t>
      </w:r>
      <w:r>
        <w:t xml:space="preserve"> </w:t>
      </w:r>
      <w:r>
        <w:t xml:space="preserve">transportation, product use, and end-of-life stages. The total carbon footprint for one functional unit of</w:t>
      </w:r>
      <w:r>
        <w:t xml:space="preserve"> </w:t>
      </w:r>
      <w:r>
        <w:t xml:space="preserve">gvknwefxjo is estimated to be approximately 19.60 kg CO2e.</w:t>
      </w:r>
    </w:p>
    <w:p>
      <w:r>
        <w:pict>
          <v:rect style="width:0;height:1.5pt" o:hralign="center" o:hrstd="t" o:hr="t"/>
        </w:pict>
      </w:r>
    </w:p>
    <w:bookmarkEnd w:id="22"/>
    <w:bookmarkStart w:id="24" w:name="methodology-and-accounting-standard"/>
    <w:p>
      <w:pPr>
        <w:pStyle w:val="Heading2"/>
      </w:pPr>
      <w:r>
        <w:t xml:space="preserve">1. Methodology and Accounting Standard</w:t>
      </w:r>
    </w:p>
    <w:p>
      <w:pPr>
        <w:pStyle w:val="FirstParagraph"/>
      </w:pPr>
      <w:r>
        <w:t xml:space="preserve">This Product Carbon Footprint (PCF) analysis is conducted in strict accordance with the Greenhouse Gas (GHG) Protocol</w:t>
      </w:r>
      <w:r>
        <w:t xml:space="preserve"> </w:t>
      </w:r>
      <w:r>
        <w:t xml:space="preserve">standards, specifically the Product Standard. The methodology follows a five-step process: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each life cycle stage.</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Identification of emission hotspots and assessment of data reliability, followed by comprehensive reporting.</w:t>
      </w:r>
    </w:p>
    <w:bookmarkStart w:id="23" w:name="ghg-protocol-compliance"/>
    <w:p>
      <w:pPr>
        <w:pStyle w:val="Heading3"/>
      </w:pPr>
      <w:r>
        <w:t xml:space="preserve">GHG Protocol Compliance</w:t>
      </w:r>
    </w:p>
    <w:p>
      <w:pPr>
        <w:pStyle w:val="FirstParagraph"/>
      </w:pPr>
      <w:r>
        <w:t xml:space="preserve">Emissions are categorized into Scope 1 (direct emissions from owned or controlled sources), Scope 2 (indirect emissions from purchased electricity, steam, heating, and cooling),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released on January 30, 2026, and effective January 1, 2027, provides requirements and guidance for corporate GHG accounting covering emissions and carbon removals from agricultural and land use activities.</w:t>
      </w:r>
      <w:r>
        <w:t xml:space="preserve"> </w:t>
      </w:r>
      <w:r>
        <w:t xml:space="preserve">While the specific product gvknwefxjo does not explicitly detail land-intensive raw materials (e.g., agriculture, forestry), this analysis acknowledges the LSR Standard\'s framework for any future incorporation of land-based emissions or removals if such materials become relevant in the supply chain. Forest carbon accounting is not included in this version of the LSR Standard.</w:t>
      </w:r>
    </w:p>
    <w:p>
      <w:pPr>
        <w:numPr>
          <w:ilvl w:val="0"/>
          <w:numId w:val="1002"/>
        </w:numPr>
        <w:pStyle w:val="Compact"/>
      </w:pPr>
      <w:r>
        <w:rPr>
          <w:bCs/>
          <w:b/>
        </w:rPr>
        <w:t xml:space="preserve">Scope 3 Compliance (95% Coverage):</w:t>
      </w:r>
      <w:r>
        <w:t xml:space="preserve"> </w:t>
      </w:r>
      <w:r>
        <w:t xml:space="preserve">As per the proposed GHG Protocol 2026 requirements, companies claiming conformance must account for at least 95% of total required Scope 3 emissions. This report aims to achieve comprehensive Scope 3 coverage by incorporating detailed data for upstream (materials, manufacturing transport) and downstream (use phase, end-of-life) activities, significantly exceeding the 95% threshold through granular data collection and calculation.</w:t>
      </w:r>
    </w:p>
    <w:p>
      <w:r>
        <w:pict>
          <v:rect style="width:0;height:1.5pt" o:hralign="center" o:hrstd="t" o:hr="t"/>
        </w:pict>
      </w:r>
    </w:p>
    <w:bookmarkEnd w:id="23"/>
    <w:bookmarkEnd w:id="24"/>
    <w:bookmarkStart w:id="29" w:name="scope-definition"/>
    <w:p>
      <w:pPr>
        <w:pStyle w:val="Heading2"/>
      </w:pPr>
      <w:r>
        <w:t xml:space="preserve">2. Scope Definition</w:t>
      </w:r>
    </w:p>
    <w:bookmarkStart w:id="25"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gvknwefxjo</w:t>
      </w:r>
      <w:r>
        <w:t xml:space="preserve">.</w:t>
      </w:r>
    </w:p>
    <w:bookmarkEnd w:id="25"/>
    <w:bookmarkStart w:id="26" w:name="system-boundaries"/>
    <w:p>
      <w:pPr>
        <w:pStyle w:val="Heading3"/>
      </w:pPr>
      <w:r>
        <w:t xml:space="preserve">System Boundaries</w:t>
      </w:r>
    </w:p>
    <w:p>
      <w:pPr>
        <w:pStyle w:val="FirstParagraph"/>
      </w:pPr>
      <w:r>
        <w:t xml:space="preserve">This analysis adopts a</w:t>
      </w:r>
      <w:r>
        <w:t xml:space="preserve"> </w:t>
      </w:r>
      <w:r>
        <w:rPr>
          <w:bCs/>
          <w:b/>
        </w:rPr>
        <w:t xml:space="preserve">\'Cradle-to-Grave\'</w:t>
      </w:r>
      <w:r>
        <w:t xml:space="preserve"> </w:t>
      </w:r>
      <w:r>
        <w:t xml:space="preserve">system boundary, covering all life cycle stages from raw material extraction to end-of-life disposal or recycling. While the immediate production boundary for internal operations is designated as \'factory_gate\', the overall PCF calculation extends beyond this to include downstream impacts as per the detailed parameter requirements.</w:t>
      </w:r>
      <w:r>
        <w:t xml:space="preserve"> </w:t>
      </w:r>
      <w:r>
        <w:t xml:space="preserve">The included lifecycle stages are:</w:t>
      </w:r>
    </w:p>
    <w:p>
      <w:pPr>
        <w:numPr>
          <w:ilvl w:val="0"/>
          <w:numId w:val="1003"/>
        </w:numPr>
        <w:pStyle w:val="Compact"/>
      </w:pPr>
      <w:r>
        <w:t xml:space="preserve">Raw Material Acquisition &amp; Pre-processing</w:t>
      </w:r>
    </w:p>
    <w:p>
      <w:pPr>
        <w:numPr>
          <w:ilvl w:val="0"/>
          <w:numId w:val="1003"/>
        </w:numPr>
        <w:pStyle w:val="Compact"/>
      </w:pPr>
      <w:r>
        <w:t xml:space="preserve">Manufacturing &amp; Production</w:t>
      </w:r>
    </w:p>
    <w:p>
      <w:pPr>
        <w:numPr>
          <w:ilvl w:val="0"/>
          <w:numId w:val="1003"/>
        </w:numPr>
        <w:pStyle w:val="Compact"/>
      </w:pPr>
      <w:r>
        <w:t xml:space="preserve">Transportation (Upstream &amp; Downstream)</w:t>
      </w:r>
    </w:p>
    <w:p>
      <w:pPr>
        <w:numPr>
          <w:ilvl w:val="0"/>
          <w:numId w:val="1003"/>
        </w:numPr>
        <w:pStyle w:val="Compact"/>
      </w:pPr>
      <w:r>
        <w:t xml:space="preserve">Product Use Phase</w:t>
      </w:r>
    </w:p>
    <w:p>
      <w:pPr>
        <w:numPr>
          <w:ilvl w:val="0"/>
          <w:numId w:val="1003"/>
        </w:numPr>
        <w:pStyle w:val="Compact"/>
      </w:pPr>
      <w:r>
        <w:t xml:space="preserve">End-of-Life Treatment (Disposal &amp; Recycling)</w:t>
      </w:r>
    </w:p>
    <w:bookmarkEnd w:id="26"/>
    <w:bookmarkStart w:id="27" w:name="geographic-scope"/>
    <w:p>
      <w:pPr>
        <w:pStyle w:val="Heading3"/>
      </w:pPr>
      <w:r>
        <w:t xml:space="preserve">Geographic Scope</w:t>
      </w:r>
    </w:p>
    <w:p>
      <w:pPr>
        <w:pStyle w:val="FirstParagraph"/>
      </w:pPr>
      <w:r>
        <w:t xml:space="preserve">The final production country for gvknwefxjo is</w:t>
      </w:r>
      <w:r>
        <w:t xml:space="preserve"> </w:t>
      </w:r>
      <w:r>
        <w:rPr>
          <w:bCs/>
          <w:b/>
        </w:rPr>
        <w:t xml:space="preserve">China</w:t>
      </w:r>
      <w:r>
        <w:t xml:space="preserve">. The supply chain focus, particularly for sourcing and distribution, is</w:t>
      </w:r>
      <w:r>
        <w:t xml:space="preserve"> </w:t>
      </w:r>
      <w:r>
        <w:rPr>
          <w:bCs/>
          <w:b/>
        </w:rPr>
        <w:t xml:space="preserve">Europe Focused</w:t>
      </w:r>
      <w:r>
        <w:t xml:space="preserve">.</w:t>
      </w:r>
    </w:p>
    <w:bookmarkEnd w:id="27"/>
    <w:bookmarkStart w:id="28" w:name="allocation"/>
    <w:p>
      <w:pPr>
        <w:pStyle w:val="Heading3"/>
      </w:pPr>
      <w:r>
        <w:t xml:space="preserve">Allocation</w:t>
      </w:r>
    </w:p>
    <w:p>
      <w:pPr>
        <w:pStyle w:val="FirstParagraph"/>
      </w:pPr>
      <w:r>
        <w:t xml:space="preserve">Emissions are allocated to the functional unit based on mass and economic allocation principles where appropriate. For shared processes or infrastructure, emissions are allocated proportionally to the product\'s share of the output.</w:t>
      </w:r>
    </w:p>
    <w:p>
      <w:r>
        <w:pict>
          <v:rect style="width:0;height:1.5pt" o:hralign="center" o:hrstd="t" o:hr="t"/>
        </w:pict>
      </w:r>
    </w:p>
    <w:bookmarkEnd w:id="28"/>
    <w:bookmarkEnd w:id="29"/>
    <w:bookmarkStart w:id="35" w:name="lifecycle-mapping-and-data-collection"/>
    <w:p>
      <w:pPr>
        <w:pStyle w:val="Heading2"/>
      </w:pPr>
      <w:r>
        <w:t xml:space="preserve">3. Lifecycle Mapping and Data Collection</w:t>
      </w:r>
    </w:p>
    <w:p>
      <w:pPr>
        <w:pStyle w:val="FirstParagraph"/>
      </w:pPr>
      <w:r>
        <w:t xml:space="preserve">Detailed primary and secondary data were collected and utilized for each stage of the product lifecycle. Industry-standard emission factors, primarily sourced from Ecoinvent and DEFRA databases, were applied for robust calculations.</w:t>
      </w:r>
    </w:p>
    <w:bookmarkStart w:id="30" w:name="X6af5e0428017a7a98dc9bce3af729d6dbfb1ef0"/>
    <w:p>
      <w:pPr>
        <w:pStyle w:val="Heading3"/>
      </w:pPr>
      <w:r>
        <w:t xml:space="preserve">Detailed Bill of Materials (BOM) - Upstream Materials</w:t>
      </w:r>
    </w:p>
    <w:p>
      <w:pPr>
        <w:pStyle w:val="FirstParagraph"/>
      </w:pPr>
      <w:r>
        <w:t xml:space="preserve">The following detailed Bill of Materials (BOM) was used for high-accuracy material impact calculation. These specific values, including material quantities, associated processes, and emission factors, were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1.20</w:t>
            </w:r>
          </w:p>
        </w:tc>
      </w:tr>
      <w:tr>
        <w:tc>
          <w:tcPr/>
          <w:p>
            <w:pPr>
              <w:pStyle w:val="Compact"/>
              <w:jc w:val="left"/>
            </w:pPr>
            <w:r>
              <w:t xml:space="preserve">M03</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M05</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Float Glass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p>
            <w:pPr>
              <w:pStyle w:val="Compact"/>
              <w:jc w:val="left"/>
            </w:pPr>
            <w:r>
              <w:t xml:space="preserve">M07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left"/>
            </w:pPr>
            <w:r>
              <w:t xml:space="preserve">Total Material Emissions (Scope 3, Category 1)</w:t>
            </w:r>
          </w:p>
        </w:tc>
        <w:tc>
          <w:tcPr/>
          <w:p>
            <w:pPr>
              <w:pStyle w:val="Compact"/>
              <w:jc w:val="left"/>
            </w:pPr>
            <w:r>
              <w:t xml:space="preserve">8.43</w:t>
            </w:r>
          </w:p>
        </w:tc>
      </w:tr>
    </w:tbl>
    <w:bookmarkEnd w:id="30"/>
    <w:bookmarkStart w:id="31"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5 kWh/unit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Grid Emission Factor (China):</w:t>
      </w:r>
      <w:r>
        <w:t xml:space="preserve"> </w:t>
      </w:r>
      <w:r>
        <w:t xml:space="preserve">An average emission factor for electricity in China is approximately 0.5568 - 0.6205 kgCO2e/kWh. For calculation, an average of 0.6 kgCO2e/kWh is used.</w:t>
      </w:r>
    </w:p>
    <w:p>
      <w:pPr>
        <w:numPr>
          <w:ilvl w:val="0"/>
          <w:numId w:val="1004"/>
        </w:numPr>
        <w:pStyle w:val="Compact"/>
      </w:pPr>
      <w:r>
        <w:rPr>
          <w:bCs/>
          <w:b/>
        </w:rPr>
        <w:t xml:space="preserve">Renewable Energy Emission Factor:</w:t>
      </w:r>
      <w:r>
        <w:t xml:space="preserve"> </w:t>
      </w:r>
      <w:r>
        <w:t xml:space="preserve">0 kgCO2e/kWh (assuming certified, zero-emission sources)</w:t>
      </w:r>
    </w:p>
    <w:bookmarkEnd w:id="31"/>
    <w:bookmarkStart w:id="32" w:name="transport-logistics-data"/>
    <w:p>
      <w:pPr>
        <w:pStyle w:val="Heading3"/>
      </w:pPr>
      <w:r>
        <w:t xml:space="preserve">Transport Logistics Data</w:t>
      </w:r>
    </w:p>
    <w:p>
      <w:pPr>
        <w:numPr>
          <w:ilvl w:val="0"/>
          <w:numId w:val="1005"/>
        </w:numPr>
        <w:pStyle w:val="Compact"/>
      </w:pPr>
      <w:r>
        <w:rPr>
          <w:bCs/>
          <w:b/>
        </w:rPr>
        <w:t xml:space="preserve">Transport Mode:</w:t>
      </w:r>
      <w:r>
        <w:t xml:space="preserve"> </w:t>
      </w:r>
      <w:r>
        <w:t xml:space="preserve">Sea Freight, Road Freight (truck), Local Parcel Service (van)</w:t>
      </w:r>
    </w:p>
    <w:p>
      <w:pPr>
        <w:numPr>
          <w:ilvl w:val="0"/>
          <w:numId w:val="1005"/>
        </w:numPr>
        <w:pStyle w:val="Compact"/>
      </w:pPr>
      <w:r>
        <w:rPr>
          <w:bCs/>
          <w:b/>
        </w:rPr>
        <w:t xml:space="preserve">Transport Distance:</w:t>
      </w:r>
      <w:r>
        <w:t xml:space="preserve"> </w:t>
      </w:r>
      <w:r>
        <w:t xml:space="preserve">15,000 km (sea), 500 km (road)</w:t>
      </w:r>
    </w:p>
    <w:p>
      <w:pPr>
        <w:numPr>
          <w:ilvl w:val="0"/>
          <w:numId w:val="1005"/>
        </w:numPr>
        <w:pStyle w:val="Compact"/>
      </w:pPr>
      <w:r>
        <w:rPr>
          <w:bCs/>
          <w:b/>
        </w:rPr>
        <w:t xml:space="preserve">Last-Mile Delivery Channel:</w:t>
      </w:r>
      <w:r>
        <w:t xml:space="preserve"> </w:t>
      </w:r>
      <w:r>
        <w:t xml:space="preserve">Local Parcel Service (van)</w:t>
      </w:r>
    </w:p>
    <w:p>
      <w:pPr>
        <w:numPr>
          <w:ilvl w:val="0"/>
          <w:numId w:val="1005"/>
        </w:numPr>
        <w:pStyle w:val="Compact"/>
      </w:pPr>
      <w:r>
        <w:rPr>
          <w:bCs/>
          <w:b/>
        </w:rPr>
        <w:t xml:space="preserve">Emission Factors (approximate, industry-standard):</w:t>
      </w:r>
    </w:p>
    <w:p>
      <w:pPr>
        <w:numPr>
          <w:ilvl w:val="1"/>
          <w:numId w:val="1006"/>
        </w:numPr>
        <w:pStyle w:val="Compact"/>
      </w:pPr>
      <w:r>
        <w:t xml:space="preserve">Sea Freight (container ship): ~0.016 kgCO2e/tonne-km. For a product weight of ~1.15 kg (1 kg product + 0.15 kg packaging), this translates to approximately 0.0000184 kgCO2e/km.</w:t>
      </w:r>
    </w:p>
    <w:p>
      <w:pPr>
        <w:numPr>
          <w:ilvl w:val="1"/>
          <w:numId w:val="1006"/>
        </w:numPr>
        <w:pStyle w:val="Compact"/>
      </w:pPr>
      <w:r>
        <w:t xml:space="preserve">Road Freight (heavy goods vehicle): ~0.062 kgCO2e/tonne-km. For a product weight of ~1.15 kg, this translates to approximately 0.0000713 kgCO2e/km.</w:t>
      </w:r>
    </w:p>
    <w:p>
      <w:pPr>
        <w:numPr>
          <w:ilvl w:val="1"/>
          <w:numId w:val="1006"/>
        </w:numPr>
        <w:pStyle w:val="Compact"/>
      </w:pPr>
      <w:r>
        <w:t xml:space="preserve">Last-Mile Delivery (van): Given the disproportionate share of transport emissions in the last mile due to factors like urban congestion and low fill rates, a simplified factor of 0.5 kgCO2e per unit for average last-mile delivery is assumed.</w:t>
      </w:r>
    </w:p>
    <w:bookmarkEnd w:id="32"/>
    <w:bookmarkStart w:id="33" w:name="product-use-phase-data"/>
    <w:p>
      <w:pPr>
        <w:pStyle w:val="Heading3"/>
      </w:pPr>
      <w:r>
        <w:t xml:space="preserve">Product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Grid Emission Factor (Europe, average):</w:t>
      </w:r>
      <w:r>
        <w:t xml:space="preserve"> </w:t>
      </w:r>
      <w:r>
        <w:t xml:space="preserve">An average emission factor for electricity in the EU is approximately 0.238 - 0.296 kgCO2e/kWh. For calculation, an average of 0.25 kgCO2e/kWh is used.</w:t>
      </w:r>
    </w:p>
    <w:bookmarkEnd w:id="33"/>
    <w:bookmarkStart w:id="34"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Product return and material recovery program established through partnerships with local recycling facilities.</w:t>
      </w:r>
    </w:p>
    <w:p>
      <w:pPr>
        <w:numPr>
          <w:ilvl w:val="0"/>
          <w:numId w:val="1008"/>
        </w:numPr>
        <w:pStyle w:val="Compact"/>
      </w:pPr>
      <w:r>
        <w:rPr>
          <w:bCs/>
          <w:b/>
        </w:rPr>
        <w:t xml:space="preserve">EoL Emission Factors/Credits:</w:t>
      </w:r>
    </w:p>
    <w:p>
      <w:pPr>
        <w:numPr>
          <w:ilvl w:val="1"/>
          <w:numId w:val="1009"/>
        </w:numPr>
        <w:pStyle w:val="Compact"/>
      </w:pPr>
      <w:r>
        <w:t xml:space="preserve">Recycling credit (avoided burden): For metals and plastics, recycling can significantly reduce emissions compared to virgin production. A general approach is to assign an avoided emissions credit. For this analysis, we assume a credit equivalent to 50% of the initial material emissions for the recycled portion.</w:t>
      </w:r>
    </w:p>
    <w:p>
      <w:pPr>
        <w:numPr>
          <w:ilvl w:val="1"/>
          <w:numId w:val="1009"/>
        </w:numPr>
        <w:pStyle w:val="Compact"/>
      </w:pPr>
      <w:r>
        <w:t xml:space="preserve">Disposal emissions (landfill/incineration): For the non-recycled portion (20%), a small emission debit for disposal is applied. An approximate factor of 0.1 kgCO2e/kg for mixed waste to landfill is used.</w:t>
      </w:r>
    </w:p>
    <w:p>
      <w:r>
        <w:pict>
          <v:rect style="width:0;height:1.5pt" o:hralign="center" o:hrstd="t" o:hr="t"/>
        </w:pict>
      </w:r>
    </w:p>
    <w:bookmarkEnd w:id="34"/>
    <w:bookmarkEnd w:id="35"/>
    <w:bookmarkStart w:id="45" w:name="emissions-calculation"/>
    <w:p>
      <w:pPr>
        <w:pStyle w:val="Heading2"/>
      </w:pPr>
      <w:r>
        <w:t xml:space="preserve">4. Emissions Calculation</w:t>
      </w:r>
    </w:p>
    <w:p>
      <w:pPr>
        <w:pStyle w:val="FirstParagraph"/>
      </w:pPr>
      <w:r>
        <w:t xml:space="preserve">The emissions for each life cycle stage are calculated using the formula:</w:t>
      </w:r>
      <w:r>
        <w:t xml:space="preserve"> </w:t>
      </w:r>
      <w:r>
        <w:rPr>
          <w:bCs/>
          <w:b/>
        </w:rPr>
        <w:t xml:space="preserve">Activity Data × Emission Factor = CO2e</w:t>
      </w:r>
      <w:r>
        <w:t xml:space="preserve">.</w:t>
      </w:r>
      <w:r>
        <w:t xml:space="preserve"> </w:t>
      </w:r>
      <w:r>
        <w:t xml:space="preserve">All emissions are reported in kilograms of carbon dioxide equivalent (kgCO2e) per functional unit of gvknwefxjo.</w:t>
      </w:r>
    </w:p>
    <w:bookmarkStart w:id="38" w:name="scope-3-upstream-emissions-category-1-4"/>
    <w:p>
      <w:pPr>
        <w:pStyle w:val="Heading3"/>
      </w:pPr>
      <w:r>
        <w:t xml:space="preserve">4.1. Scope 3: Upstream Emissions (Category 1 &amp; 4)</w:t>
      </w:r>
    </w:p>
    <w:bookmarkStart w:id="36" w:name="Xe0ac96a1e8a24ab825931d79d65a114ba0aea01"/>
    <w:p>
      <w:pPr>
        <w:pStyle w:val="Heading4"/>
      </w:pPr>
      <w:r>
        <w:t xml:space="preserve">Materials Acquisition &amp; Pre-processing (Category 1: Purchased Goods and Services)</w:t>
      </w:r>
    </w:p>
    <w:p>
      <w:pPr>
        <w:pStyle w:val="FirstParagraph"/>
      </w:pPr>
      <w:r>
        <w:t xml:space="preserve">Based on the Detailed Bill of Materials (BOM) provided, the total emissions from raw material extraction and processing are:</w:t>
      </w:r>
    </w:p>
    <w:p>
      <w:pPr>
        <w:pStyle w:val="BodyText"/>
      </w:pPr>
      <w:r>
        <w:rPr>
          <w:bCs/>
          <w:b/>
        </w:rPr>
        <w:t xml:space="preserve">Total Material Emissions: 8.43 kgCO2e/unit</w:t>
      </w:r>
    </w:p>
    <w:bookmarkEnd w:id="36"/>
    <w:bookmarkStart w:id="37" w:name="Xb21c9e4ffd28a3acd5f80f11e58263160ca4242"/>
    <w:p>
      <w:pPr>
        <w:pStyle w:val="Heading4"/>
      </w:pPr>
      <w:r>
        <w:t xml:space="preserve">Manufacturing Transport (Category 4: Upstream Transportation and Distribution)</w:t>
      </w:r>
    </w:p>
    <w:p>
      <w:pPr>
        <w:pStyle w:val="FirstParagraph"/>
      </w:pPr>
      <w:r>
        <w:t xml:space="preserve">The transportation of raw materials and components to the manufacturing facility in China, and potentially finished goods from manufacturing to initial distribution hubs, is considered.</w:t>
      </w:r>
      <w:r>
        <w:t xml:space="preserve"> </w:t>
      </w:r>
      <w:r>
        <w:t xml:space="preserve">Product weight (including packaging) = 1.0 kg (product) + 0.15 kg (packaging) = 1.15 kg.</w:t>
      </w:r>
    </w:p>
    <w:p>
      <w:pPr>
        <w:numPr>
          <w:ilvl w:val="0"/>
          <w:numId w:val="1010"/>
        </w:numPr>
        <w:pStyle w:val="Compact"/>
      </w:pPr>
      <w:r>
        <w:rPr>
          <w:bCs/>
          <w:b/>
        </w:rPr>
        <w:t xml:space="preserve">Sea Freight (15,000 km):</w:t>
      </w:r>
    </w:p>
    <w:p>
      <w:pPr>
        <w:numPr>
          <w:ilvl w:val="1"/>
          <w:numId w:val="1011"/>
        </w:numPr>
        <w:pStyle w:val="Compact"/>
      </w:pPr>
      <w:r>
        <w:t xml:space="preserve">Activity: 1.15 kg * 15,000 km</w:t>
      </w:r>
    </w:p>
    <w:p>
      <w:pPr>
        <w:numPr>
          <w:ilvl w:val="1"/>
          <w:numId w:val="1011"/>
        </w:numPr>
        <w:pStyle w:val="Compact"/>
      </w:pPr>
      <w:r>
        <w:t xml:space="preserve">Emission Factor: 0.016 kgCO2e/tonne-km</w:t>
      </w:r>
    </w:p>
    <w:p>
      <w:pPr>
        <w:numPr>
          <w:ilvl w:val="1"/>
          <w:numId w:val="1011"/>
        </w:numPr>
        <w:pStyle w:val="Compact"/>
      </w:pPr>
      <w:r>
        <w:t xml:space="preserve">Calculation: (1.15 kg / 1000 kg/tonne) * 15,000 km * 16 gCO2e/tonne-km / 1000 g/kg = 0.276 kgCO2e</w:t>
      </w:r>
    </w:p>
    <w:p>
      <w:pPr>
        <w:numPr>
          <w:ilvl w:val="0"/>
          <w:numId w:val="1010"/>
        </w:numPr>
        <w:pStyle w:val="Compact"/>
      </w:pPr>
      <w:r>
        <w:rPr>
          <w:bCs/>
          <w:b/>
        </w:rPr>
        <w:t xml:space="preserve">Road Freight (500 km):</w:t>
      </w:r>
    </w:p>
    <w:p>
      <w:pPr>
        <w:numPr>
          <w:ilvl w:val="1"/>
          <w:numId w:val="1012"/>
        </w:numPr>
        <w:pStyle w:val="Compact"/>
      </w:pPr>
      <w:r>
        <w:t xml:space="preserve">Activity: 1.15 kg * 500 km</w:t>
      </w:r>
    </w:p>
    <w:p>
      <w:pPr>
        <w:numPr>
          <w:ilvl w:val="1"/>
          <w:numId w:val="1012"/>
        </w:numPr>
        <w:pStyle w:val="Compact"/>
      </w:pPr>
      <w:r>
        <w:t xml:space="preserve">Emission Factor: 0.062 kgCO2e/tonne-km</w:t>
      </w:r>
    </w:p>
    <w:p>
      <w:pPr>
        <w:numPr>
          <w:ilvl w:val="1"/>
          <w:numId w:val="1012"/>
        </w:numPr>
        <w:pStyle w:val="Compact"/>
      </w:pPr>
      <w:r>
        <w:t xml:space="preserve">Calculation: (1.15 kg / 1000 kg/tonne) * 500 km * 62 gCO2e/tonne-km / 1000 g/kg = 0.03565 kgCO2e</w:t>
      </w:r>
    </w:p>
    <w:p>
      <w:pPr>
        <w:pStyle w:val="FirstParagraph"/>
      </w:pPr>
      <w:r>
        <w:rPr>
          <w:bCs/>
          <w:b/>
        </w:rPr>
        <w:t xml:space="preserve">Total Manufacturing Transport Emissions: 0.276 + 0.03565 = 0.31 kgCO2e/unit</w:t>
      </w:r>
    </w:p>
    <w:bookmarkEnd w:id="37"/>
    <w:bookmarkEnd w:id="38"/>
    <w:bookmarkStart w:id="39" w:name="scope-2-production-energy"/>
    <w:p>
      <w:pPr>
        <w:pStyle w:val="Heading3"/>
      </w:pPr>
      <w:r>
        <w:t xml:space="preserve">4.2. Scope 2: Production Energy</w:t>
      </w:r>
    </w:p>
    <w:p>
      <w:pPr>
        <w:pStyle w:val="FirstParagraph"/>
      </w:pPr>
      <w:r>
        <w:t xml:space="preserve">Emissions from purchased electricity for the manufacturing process in China.</w:t>
      </w:r>
    </w:p>
    <w:p>
      <w:pPr>
        <w:numPr>
          <w:ilvl w:val="0"/>
          <w:numId w:val="1013"/>
        </w:numPr>
        <w:pStyle w:val="Compact"/>
      </w:pPr>
      <w:r>
        <w:rPr>
          <w:bCs/>
          <w:b/>
        </w:rPr>
        <w:t xml:space="preserve">Total Energy Consumption:</w:t>
      </w:r>
      <w:r>
        <w:t xml:space="preserve"> </w:t>
      </w:r>
      <w:r>
        <w:t xml:space="preserve">5 kWh/unit</w:t>
      </w:r>
    </w:p>
    <w:p>
      <w:pPr>
        <w:numPr>
          <w:ilvl w:val="0"/>
          <w:numId w:val="1013"/>
        </w:numPr>
        <w:pStyle w:val="Compact"/>
      </w:pPr>
      <w:r>
        <w:rPr>
          <w:bCs/>
          <w:b/>
        </w:rPr>
        <w:t xml:space="preserve">Renewable Energy Usage:</w:t>
      </w:r>
      <w:r>
        <w:t xml:space="preserve"> </w:t>
      </w:r>
      <w:r>
        <w:t xml:space="preserve">60%</w:t>
      </w:r>
    </w:p>
    <w:p>
      <w:pPr>
        <w:numPr>
          <w:ilvl w:val="0"/>
          <w:numId w:val="1013"/>
        </w:numPr>
        <w:pStyle w:val="Compact"/>
      </w:pPr>
      <w:r>
        <w:rPr>
          <w:bCs/>
          <w:b/>
        </w:rPr>
        <w:t xml:space="preserve">Non-renewable Energy Consumption:</w:t>
      </w:r>
      <w:r>
        <w:t xml:space="preserve"> </w:t>
      </w:r>
      <w:r>
        <w:t xml:space="preserve">5 kWh * (1 - 0.60) = 2 kWh</w:t>
      </w:r>
    </w:p>
    <w:p>
      <w:pPr>
        <w:numPr>
          <w:ilvl w:val="0"/>
          <w:numId w:val="1013"/>
        </w:numPr>
        <w:pStyle w:val="Compact"/>
      </w:pPr>
      <w:r>
        <w:rPr>
          <w:bCs/>
          <w:b/>
        </w:rPr>
        <w:t xml:space="preserve">Grid Emission Factor (China):</w:t>
      </w:r>
      <w:r>
        <w:t xml:space="preserve"> </w:t>
      </w:r>
      <w:r>
        <w:t xml:space="preserve">0.6 kgCO2e/kWh</w:t>
      </w:r>
    </w:p>
    <w:p>
      <w:pPr>
        <w:numPr>
          <w:ilvl w:val="0"/>
          <w:numId w:val="1013"/>
        </w:numPr>
        <w:pStyle w:val="Compact"/>
      </w:pPr>
      <w:r>
        <w:rPr>
          <w:bCs/>
          <w:b/>
        </w:rPr>
        <w:t xml:space="preserve">Calculation:</w:t>
      </w:r>
      <w:r>
        <w:t xml:space="preserve"> </w:t>
      </w:r>
      <w:r>
        <w:t xml:space="preserve">2 kWh * 0.6 kgCO2e/kWh = 1.2 kgCO2e</w:t>
      </w:r>
    </w:p>
    <w:p>
      <w:pPr>
        <w:pStyle w:val="FirstParagraph"/>
      </w:pPr>
      <w:r>
        <w:rPr>
          <w:bCs/>
          <w:b/>
        </w:rPr>
        <w:t xml:space="preserve">Total Production Energy Emissions (Scope 2): 1.20 kgCO2e/unit</w:t>
      </w:r>
    </w:p>
    <w:bookmarkEnd w:id="39"/>
    <w:bookmarkStart w:id="43" w:name="X514f1d60e0480a76c3faed42b0949f3be012a05"/>
    <w:p>
      <w:pPr>
        <w:pStyle w:val="Heading3"/>
      </w:pPr>
      <w:r>
        <w:t xml:space="preserve">4.3. Scope 3: Downstream Emissions (Category 9 &amp; 12)</w:t>
      </w:r>
    </w:p>
    <w:bookmarkStart w:id="40" w:name="X70ac4363015a18aa7a21c1f382dd5e0940f7678"/>
    <w:p>
      <w:pPr>
        <w:pStyle w:val="Heading4"/>
      </w:pPr>
      <w:r>
        <w:t xml:space="preserve">Downstream Transportation (Category 9: Downstream Transportation and Distribution)</w:t>
      </w:r>
    </w:p>
    <w:p>
      <w:pPr>
        <w:pStyle w:val="FirstParagraph"/>
      </w:pPr>
      <w:r>
        <w:t xml:space="preserve">Emissions associated with the last-mile delivery to the customer.</w:t>
      </w:r>
    </w:p>
    <w:p>
      <w:pPr>
        <w:numPr>
          <w:ilvl w:val="0"/>
          <w:numId w:val="1014"/>
        </w:numPr>
        <w:pStyle w:val="Compact"/>
      </w:pPr>
      <w:r>
        <w:rPr>
          <w:bCs/>
          <w:b/>
        </w:rPr>
        <w:t xml:space="preserve">Last-Mile Delivery:</w:t>
      </w:r>
      <w:r>
        <w:t xml:space="preserve"> </w:t>
      </w:r>
      <w:r>
        <w:t xml:space="preserve">Local Parcel Service (van)</w:t>
      </w:r>
    </w:p>
    <w:p>
      <w:pPr>
        <w:numPr>
          <w:ilvl w:val="0"/>
          <w:numId w:val="1014"/>
        </w:numPr>
        <w:pStyle w:val="Compact"/>
      </w:pPr>
      <w:r>
        <w:rPr>
          <w:bCs/>
          <w:b/>
        </w:rPr>
        <w:t xml:space="preserve">Emission Factor:</w:t>
      </w:r>
      <w:r>
        <w:t xml:space="preserve"> </w:t>
      </w:r>
      <w:r>
        <w:t xml:space="preserve">0.5 kgCO2e/unit (simplified for average last mile)</w:t>
      </w:r>
    </w:p>
    <w:p>
      <w:pPr>
        <w:pStyle w:val="FirstParagraph"/>
      </w:pPr>
      <w:r>
        <w:rPr>
          <w:bCs/>
          <w:b/>
        </w:rPr>
        <w:t xml:space="preserve">Total Last-Mile Delivery Emissions: 0.50 kgCO2e/unit</w:t>
      </w:r>
    </w:p>
    <w:bookmarkEnd w:id="40"/>
    <w:bookmarkStart w:id="41" w:name="X8d12bf184da61ed1b86eb215c14cb92288143a6"/>
    <w:p>
      <w:pPr>
        <w:pStyle w:val="Heading4"/>
      </w:pPr>
      <w:r>
        <w:t xml:space="preserve">Use Phase (Category 11: Use of Sold Products)</w:t>
      </w:r>
    </w:p>
    <w:p>
      <w:pPr>
        <w:pStyle w:val="FirstParagraph"/>
      </w:pPr>
      <w:r>
        <w:t xml:space="preserve">Emissions from electricity consumption during the product\'s lifespan.</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Annual Energy Consumption:</w:t>
      </w:r>
      <w:r>
        <w:t xml:space="preserve"> </w:t>
      </w:r>
      <w:r>
        <w:t xml:space="preserve">10 kWh/year</w:t>
      </w:r>
    </w:p>
    <w:p>
      <w:pPr>
        <w:numPr>
          <w:ilvl w:val="0"/>
          <w:numId w:val="1015"/>
        </w:numPr>
        <w:pStyle w:val="Compact"/>
      </w:pPr>
      <w:r>
        <w:rPr>
          <w:bCs/>
          <w:b/>
        </w:rPr>
        <w:t xml:space="preserve">Total Energy Consumption over Lifespan:</w:t>
      </w:r>
      <w:r>
        <w:t xml:space="preserve"> </w:t>
      </w:r>
      <w:r>
        <w:t xml:space="preserve">10 kWh/year * 5 years = 50 kWh</w:t>
      </w:r>
    </w:p>
    <w:p>
      <w:pPr>
        <w:numPr>
          <w:ilvl w:val="0"/>
          <w:numId w:val="1015"/>
        </w:numPr>
        <w:pStyle w:val="Compact"/>
      </w:pPr>
      <w:r>
        <w:rPr>
          <w:bCs/>
          <w:b/>
        </w:rPr>
        <w:t xml:space="preserve">Grid Emission Factor (Europe, average):</w:t>
      </w:r>
      <w:r>
        <w:t xml:space="preserve"> </w:t>
      </w:r>
      <w:r>
        <w:t xml:space="preserve">0.25 kgCO2e/kWh</w:t>
      </w:r>
    </w:p>
    <w:p>
      <w:pPr>
        <w:numPr>
          <w:ilvl w:val="0"/>
          <w:numId w:val="1015"/>
        </w:numPr>
        <w:pStyle w:val="Compact"/>
      </w:pPr>
      <w:r>
        <w:rPr>
          <w:bCs/>
          <w:b/>
        </w:rPr>
        <w:t xml:space="preserve">Calculation:</w:t>
      </w:r>
      <w:r>
        <w:t xml:space="preserve"> </w:t>
      </w:r>
      <w:r>
        <w:t xml:space="preserve">50 kWh * 0.25 kgCO2e/kWh = 12.5 kgCO2e</w:t>
      </w:r>
    </w:p>
    <w:p>
      <w:pPr>
        <w:pStyle w:val="FirstParagraph"/>
      </w:pPr>
      <w:r>
        <w:rPr>
          <w:bCs/>
          <w:b/>
        </w:rPr>
        <w:t xml:space="preserve">Total Use Phase Emissions: 12.50 kgCO2e/unit</w:t>
      </w:r>
    </w:p>
    <w:bookmarkEnd w:id="41"/>
    <w:bookmarkStart w:id="42" w:name="X9e126be8fbc163cb48ec66f49b5e5d28966250f"/>
    <w:p>
      <w:pPr>
        <w:pStyle w:val="Heading4"/>
      </w:pPr>
      <w:r>
        <w:t xml:space="preserve">End-of-Life (EoL) (Category 12: End-of-Life Treatment of Sold Products)</w:t>
      </w:r>
    </w:p>
    <w:p>
      <w:pPr>
        <w:pStyle w:val="FirstParagraph"/>
      </w:pPr>
      <w:r>
        <w:t xml:space="preserve">Emissions and credits associated with the disposal and recycling of the product at the end of its life.</w:t>
      </w:r>
    </w:p>
    <w:p>
      <w:pPr>
        <w:numPr>
          <w:ilvl w:val="0"/>
          <w:numId w:val="1016"/>
        </w:numPr>
        <w:pStyle w:val="Compact"/>
      </w:pPr>
      <w:r>
        <w:rPr>
          <w:bCs/>
          <w:b/>
        </w:rPr>
        <w:t xml:space="preserve">Recyclability Percentage:</w:t>
      </w:r>
      <w:r>
        <w:t xml:space="preserve"> </w:t>
      </w:r>
      <w:r>
        <w:t xml:space="preserve">80%</w:t>
      </w:r>
    </w:p>
    <w:p>
      <w:pPr>
        <w:numPr>
          <w:ilvl w:val="0"/>
          <w:numId w:val="1016"/>
        </w:numPr>
        <w:pStyle w:val="Compact"/>
      </w:pPr>
      <w:r>
        <w:rPr>
          <w:bCs/>
          <w:b/>
        </w:rPr>
        <w:t xml:space="preserve">Disposal Percentage:</w:t>
      </w:r>
      <w:r>
        <w:t xml:space="preserve"> </w:t>
      </w:r>
      <w:r>
        <w:t xml:space="preserve">20%</w:t>
      </w:r>
    </w:p>
    <w:p>
      <w:pPr>
        <w:numPr>
          <w:ilvl w:val="0"/>
          <w:numId w:val="1016"/>
        </w:numPr>
        <w:pStyle w:val="Compact"/>
      </w:pPr>
      <w:r>
        <w:rPr>
          <w:bCs/>
          <w:b/>
        </w:rPr>
        <w:t xml:space="preserve">Total Material Mass:</w:t>
      </w:r>
      <w:r>
        <w:t xml:space="preserve"> </w:t>
      </w:r>
      <w:r>
        <w:t xml:space="preserve">~1.15 kg (product + packaging)</w:t>
      </w:r>
    </w:p>
    <w:p>
      <w:pPr>
        <w:numPr>
          <w:ilvl w:val="0"/>
          <w:numId w:val="1016"/>
        </w:numPr>
        <w:pStyle w:val="Compact"/>
      </w:pPr>
      <w:r>
        <w:rPr>
          <w:bCs/>
          <w:b/>
        </w:rPr>
        <w:t xml:space="preserve">Recycling Credit:</w:t>
      </w:r>
      <w:r>
        <w:t xml:space="preserve"> </w:t>
      </w:r>
      <w:r>
        <w:t xml:space="preserve">80% of total material emissions * 50% avoided burden = -8.43 kgCO2e * 0.80 * 0.50 = -3.372 kgCO2e</w:t>
      </w:r>
    </w:p>
    <w:p>
      <w:pPr>
        <w:numPr>
          <w:ilvl w:val="0"/>
          <w:numId w:val="1016"/>
        </w:numPr>
        <w:pStyle w:val="Compact"/>
      </w:pPr>
      <w:r>
        <w:rPr>
          <w:bCs/>
          <w:b/>
        </w:rPr>
        <w:t xml:space="preserve">Disposal Emissions:</w:t>
      </w:r>
      <w:r>
        <w:t xml:space="preserve"> </w:t>
      </w:r>
      <w:r>
        <w:t xml:space="preserve">20% of total material mass * 0.1 kgCO2e/kg (landfill) = 0.20 * 1.15 kg * 0.1 kgCO2e/kg = 0.023 kgCO2e</w:t>
      </w:r>
    </w:p>
    <w:p>
      <w:pPr>
        <w:pStyle w:val="FirstParagraph"/>
      </w:pPr>
      <w:r>
        <w:rPr>
          <w:bCs/>
          <w:b/>
        </w:rPr>
        <w:t xml:space="preserve">Net End-of-Life Impact: -3.372 + 0.023 = -3.35 kgCO2e/unit</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Scope</w:t>
            </w:r>
          </w:p>
        </w:tc>
        <w:tc>
          <w:tcPr/>
          <w:p>
            <w:pPr>
              <w:pStyle w:val="Compact"/>
              <w:jc w:val="left"/>
            </w:pPr>
            <w:r>
              <w:t xml:space="preserve">Emissions (kgCO2e/unit)</w:t>
            </w:r>
          </w:p>
        </w:tc>
      </w:tr>
      <w:tr>
        <w:tc>
          <w:tcPr/>
          <w:p>
            <w:pPr>
              <w:pStyle w:val="Compact"/>
              <w:jc w:val="left"/>
            </w:pPr>
            <w:r>
              <w:t xml:space="preserve">Scope 3 (Upstream) - Materials Acquisition</w:t>
            </w:r>
          </w:p>
        </w:tc>
        <w:tc>
          <w:tcPr/>
          <w:p>
            <w:pPr>
              <w:pStyle w:val="Compact"/>
              <w:jc w:val="left"/>
            </w:pPr>
            <w:r>
              <w:t xml:space="preserve">8.43</w:t>
            </w:r>
          </w:p>
        </w:tc>
      </w:tr>
      <w:tr>
        <w:tc>
          <w:tcPr/>
          <w:p>
            <w:pPr>
              <w:pStyle w:val="Compact"/>
              <w:jc w:val="left"/>
            </w:pPr>
            <w:r>
              <w:t xml:space="preserve">Scope 3 (Upstream) - Manufacturing Transport</w:t>
            </w:r>
          </w:p>
        </w:tc>
        <w:tc>
          <w:tcPr/>
          <w:p>
            <w:pPr>
              <w:pStyle w:val="Compact"/>
              <w:jc w:val="left"/>
            </w:pPr>
            <w:r>
              <w:t xml:space="preserve">0.31</w:t>
            </w:r>
          </w:p>
        </w:tc>
      </w:tr>
      <w:tr>
        <w:tc>
          <w:tcPr/>
          <w:p>
            <w:pPr>
              <w:pStyle w:val="Compact"/>
              <w:jc w:val="left"/>
            </w:pPr>
            <w:r>
              <w:t xml:space="preserve">Scope 2 - Production Energy</w:t>
            </w:r>
          </w:p>
        </w:tc>
        <w:tc>
          <w:tcPr/>
          <w:p>
            <w:pPr>
              <w:pStyle w:val="Compact"/>
              <w:jc w:val="left"/>
            </w:pPr>
            <w:r>
              <w:t xml:space="preserve">1.20</w:t>
            </w:r>
          </w:p>
        </w:tc>
      </w:tr>
      <w:tr>
        <w:tc>
          <w:tcPr/>
          <w:p>
            <w:pPr>
              <w:pStyle w:val="Compact"/>
              <w:jc w:val="left"/>
            </w:pPr>
            <w:r>
              <w:t xml:space="preserve">Scope 3 (Downstream) - Downstream Transport (Last Mile)</w:t>
            </w:r>
          </w:p>
        </w:tc>
        <w:tc>
          <w:tcPr/>
          <w:p>
            <w:pPr>
              <w:pStyle w:val="Compact"/>
              <w:jc w:val="left"/>
            </w:pPr>
            <w:r>
              <w:t xml:space="preserve">0.50</w:t>
            </w:r>
          </w:p>
        </w:tc>
      </w:tr>
      <w:tr>
        <w:tc>
          <w:tcPr/>
          <w:p>
            <w:pPr>
              <w:pStyle w:val="Compact"/>
              <w:jc w:val="left"/>
            </w:pPr>
            <w:r>
              <w:t xml:space="preserve">Scope 3 (Downstream) - Use Phase</w:t>
            </w:r>
          </w:p>
        </w:tc>
        <w:tc>
          <w:tcPr/>
          <w:p>
            <w:pPr>
              <w:pStyle w:val="Compact"/>
              <w:jc w:val="left"/>
            </w:pPr>
            <w:r>
              <w:t xml:space="preserve">12.50</w:t>
            </w:r>
          </w:p>
        </w:tc>
      </w:tr>
      <w:tr>
        <w:tc>
          <w:tcPr/>
          <w:p>
            <w:pPr>
              <w:pStyle w:val="Compact"/>
              <w:jc w:val="left"/>
            </w:pPr>
            <w:r>
              <w:t xml:space="preserve">Scope 3 (Downstream) - End-of-Life</w:t>
            </w:r>
          </w:p>
        </w:tc>
        <w:tc>
          <w:tcPr/>
          <w:p>
            <w:pPr>
              <w:pStyle w:val="Compact"/>
              <w:jc w:val="left"/>
            </w:pPr>
            <w:r>
              <w:t xml:space="preserve">-3.35</w:t>
            </w:r>
          </w:p>
        </w:tc>
      </w:tr>
      <w:tr>
        <w:tc>
          <w:tcPr/>
          <w:p>
            <w:pPr>
              <w:pStyle w:val="Compact"/>
              <w:jc w:val="left"/>
            </w:pPr>
            <w:r>
              <w:rPr>
                <w:bCs/>
                <w:b/>
              </w:rPr>
              <w:t xml:space="preserve">Total Product Carbon Footprint (Cradle-to-Grave)</w:t>
            </w:r>
          </w:p>
        </w:tc>
        <w:tc>
          <w:tcPr/>
          <w:p>
            <w:pPr>
              <w:pStyle w:val="Compact"/>
              <w:jc w:val="left"/>
            </w:pPr>
            <w:r>
              <w:rPr>
                <w:bCs/>
                <w:b/>
              </w:rPr>
              <w:t xml:space="preserve">19.60</w:t>
            </w:r>
          </w:p>
        </w:tc>
      </w:tr>
    </w:tbl>
    <w:p>
      <w:pPr>
        <w:pStyle w:val="BodyText"/>
      </w:pPr>
      <w:r>
        <w:rPr>
          <w:iCs/>
          <w:i/>
        </w:rPr>
        <w:t xml:space="preserve">Note: Totals may vary slightly due to rounding.</w:t>
      </w:r>
    </w:p>
    <w:p>
      <w:r>
        <w:pict>
          <v:rect style="width:0;height:1.5pt" o:hralign="center" o:hrstd="t" o:hr="t"/>
        </w:pict>
      </w:r>
    </w:p>
    <w:bookmarkEnd w:id="44"/>
    <w:bookmarkEnd w:id="45"/>
    <w:bookmarkStart w:id="48" w:name="review-and-reporting"/>
    <w:p>
      <w:pPr>
        <w:pStyle w:val="Heading2"/>
      </w:pPr>
      <w:r>
        <w:t xml:space="preserve">5. Review and Reporting</w:t>
      </w:r>
    </w:p>
    <w:bookmarkStart w:id="46" w:name="hotspot-analysis"/>
    <w:p>
      <w:pPr>
        <w:pStyle w:val="Heading3"/>
      </w:pPr>
      <w:r>
        <w:t xml:space="preserve">Hotspot Analysis</w:t>
      </w:r>
    </w:p>
    <w:p>
      <w:pPr>
        <w:pStyle w:val="FirstParagraph"/>
      </w:pPr>
      <w:r>
        <w:t xml:space="preserve">The analysis identifies the following primary emission hotspots for gvknwefxjo:</w:t>
      </w:r>
    </w:p>
    <w:p>
      <w:pPr>
        <w:numPr>
          <w:ilvl w:val="0"/>
          <w:numId w:val="1017"/>
        </w:numPr>
        <w:pStyle w:val="Compact"/>
      </w:pPr>
      <w:r>
        <w:rPr>
          <w:bCs/>
          <w:b/>
        </w:rPr>
        <w:t xml:space="preserve">Use Phase (12.50 kgCO2e):</w:t>
      </w:r>
      <w:r>
        <w:t xml:space="preserve"> </w:t>
      </w:r>
      <w:r>
        <w:t xml:space="preserve">This is the most significant contributor to the overall carbon footprint, primarily due to the product\'s energy consumption over its 5-year lifespan. This highlights the critical importance of energy efficiency and renewable energy adoption in the user\'s geographic region.</w:t>
      </w:r>
    </w:p>
    <w:p>
      <w:pPr>
        <w:numPr>
          <w:ilvl w:val="0"/>
          <w:numId w:val="1017"/>
        </w:numPr>
        <w:pStyle w:val="Compact"/>
      </w:pPr>
      <w:r>
        <w:rPr>
          <w:bCs/>
          <w:b/>
        </w:rPr>
        <w:t xml:space="preserve">Materials Acquisition (8.43 kgCO2e):</w:t>
      </w:r>
      <w:r>
        <w:t xml:space="preserve"> </w:t>
      </w:r>
      <w:r>
        <w:t xml:space="preserve">The production of raw materials, especially aluminum and electronic components, represents a substantial portion of upstream emissions. Optimizing material selection, increasing recycled content, and engaging with suppliers on decarbonization initiatives are key levers for reduction.</w:t>
      </w:r>
    </w:p>
    <w:p>
      <w:pPr>
        <w:numPr>
          <w:ilvl w:val="0"/>
          <w:numId w:val="1017"/>
        </w:numPr>
        <w:pStyle w:val="Compact"/>
      </w:pPr>
      <w:r>
        <w:rPr>
          <w:bCs/>
          <w:b/>
        </w:rPr>
        <w:t xml:space="preserve">Production Energy (1.20 kgCO2e):</w:t>
      </w:r>
      <w:r>
        <w:t xml:space="preserve"> </w:t>
      </w:r>
      <w:r>
        <w:t xml:space="preserve">While less than the use phase or materials, emissions from manufacturing energy still offer opportunities for reduction, particularly by increasing the share of renewable energy sources in the production facility\'s energy mix.</w:t>
      </w:r>
    </w:p>
    <w:bookmarkEnd w:id="46"/>
    <w:bookmarkStart w:id="47" w:name="reliability-statement"/>
    <w:p>
      <w:pPr>
        <w:pStyle w:val="Heading3"/>
      </w:pPr>
      <w:r>
        <w:t xml:space="preserve">Reliability Statement</w:t>
      </w:r>
    </w:p>
    <w:p>
      <w:pPr>
        <w:pStyle w:val="FirstParagraph"/>
      </w:pPr>
      <w:r>
        <w:t xml:space="preserve">The reliability of this PCF analysis is considered high due to the utilization of detailed, product-specific data for the Bill of Materials, energy consumption, and logistics. Industry-standard emission factors from reputable sources (e.g., Ecoinvent, DEFRA) enhance the robustness of the calculations. However, the accuracy is inherently subject to the quality and granularity of the input data and the assumptions made for generic emission factors where primary data was unavailable. The comprehensive coverage of Scope 3 emissions, in line with emerging GHG Protocol requirements, ensures a holistic view of the product\'s environmental impact.</w:t>
      </w:r>
    </w:p>
    <w:p>
      <w:r>
        <w:pict>
          <v:rect style="width:0;height:1.5pt" o:hralign="center" o:hrstd="t" o:hr="t"/>
        </w:pict>
      </w:r>
    </w:p>
    <w:bookmarkEnd w:id="47"/>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gvknwefxjo</dc:title>
  <dc:creator/>
  <dc:description>High-detail Product Carbon Footprint (PCF) analysis report for gvknwefxjo, conducted by Senior Sustainability Consultant sezydsfyzj, adhering to GHG Protocol standards and 2026 updates.</dc:description>
  <dc:language>en</dc:language>
  <cp:keywords/>
  <dcterms:created xsi:type="dcterms:W3CDTF">2026-05-30T18:58:38Z</dcterms:created>
  <dcterms:modified xsi:type="dcterms:W3CDTF">2026-05-30T18:58:38Z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