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gvildfswwz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gvildfswwz</w:t>
      </w:r>
    </w:p>
    <w:p>
      <w:pPr>
        <w:pStyle w:val="BodyText"/>
      </w:pPr>
      <w:r>
        <w:rPr>
          <w:bCs/>
          <w:b/>
        </w:rPr>
        <w:t xml:space="preserve">Company:</w:t>
      </w:r>
      <w:r>
        <w:t xml:space="preserve"> </w:t>
      </w:r>
      <w:r>
        <w:t xml:space="preserve">vzlhkzfnig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zxqidrplwv</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p>
      <w:pPr>
        <w:pStyle w:val="BodyText"/>
      </w:pPr>
      <w:r>
        <w:t xml:space="preserve">Generated Date: May 20, 2026</w:t>
      </w:r>
    </w:p>
    <w:bookmarkStart w:id="44" w:name="Xca756b51e556ac0c8bea097acdcb200b8ccf427"/>
    <w:p>
      <w:pPr>
        <w:pStyle w:val="Heading1"/>
      </w:pPr>
      <w:r>
        <w:t xml:space="preserve">Product Carbon Footprint Analysis for gvildfswwz</w:t>
      </w:r>
    </w:p>
    <w:p>
      <w:pPr>
        <w:pStyle w:val="FirstParagraph"/>
      </w:pPr>
      <w:r>
        <w:t xml:space="preserve">As zxqidrplwv, Senior Sustainability Consultant, I am pleased to present this high-detail Product Carbon Footprint (PCF) analysis for gvildfswwz, manufactured by vzlhkzfnig. This report adheres to the Greenhouse Gas (GHG) Protocol, including the 2026 Land Sector and Removals (LSR) Standard update, and emphasizes comprehensive Scope 3 coverage.</w:t>
      </w:r>
    </w:p>
    <w:bookmarkStart w:id="21" w:name="executive-summary"/>
    <w:p>
      <w:pPr>
        <w:pStyle w:val="Heading2"/>
      </w:pPr>
      <w:r>
        <w:t xml:space="preserve">1. Executive Summary</w:t>
      </w:r>
    </w:p>
    <w:p>
      <w:pPr>
        <w:pStyle w:val="FirstParagraph"/>
      </w:pPr>
      <w:r>
        <w:t xml:space="preserve">This report quantifies the cradle-to-grave carbon footprint of vzlhkzfnig\'s product, gvildfswwz, in alignment with the GHG Protocol. The analysis covers material acquisition, manufacturing, transportation, use phase, and end-of-life, categorizing emissions into Scope 1, 2, and 3. Key findings highlight hotspots across the lifecycle and provide a baseline for emission reduction strategies. A strong emphasis has been placed on achieving over 95% Scope 3 coverage to meet evolving 2026 reporting requirements, leveraging detailed Bill of Materials (BOM) and specific operational parameters provided by vzlhkzfnig.</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gvildfswwz follows the five-step approach outlined by the GHG Protocol Product Standard:</w:t>
      </w:r>
    </w:p>
    <w:p>
      <w:pPr>
        <w:numPr>
          <w:ilvl w:val="0"/>
          <w:numId w:val="1001"/>
        </w:numPr>
        <w:pStyle w:val="Compact"/>
      </w:pPr>
      <w:r>
        <w:t xml:space="preserve">Define Scope</w:t>
      </w:r>
    </w:p>
    <w:p>
      <w:pPr>
        <w:numPr>
          <w:ilvl w:val="0"/>
          <w:numId w:val="1001"/>
        </w:numPr>
        <w:pStyle w:val="Compact"/>
      </w:pPr>
      <w:r>
        <w:t xml:space="preserve">Map Lifecycle (Life Cycle Inventory - LCI)</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gvildfswwz. This defines the quantified performance of the product system for use as a reference unit.</w:t>
      </w:r>
    </w:p>
    <w:p>
      <w:pPr>
        <w:numPr>
          <w:ilvl w:val="0"/>
          <w:numId w:val="1002"/>
        </w:numPr>
        <w:pStyle w:val="Compact"/>
      </w:pPr>
      <w:r>
        <w:rPr>
          <w:bCs/>
          <w:b/>
        </w:rPr>
        <w:t xml:space="preserve">System Boundary:</w:t>
      </w:r>
      <w:r>
        <w:t xml:space="preserve"> </w:t>
      </w:r>
      <w:r>
        <w:t xml:space="preserve">Factory-gate (Cradle-to-gate) with extended downstream processes, covering raw material extraction through manufacturing, distribution, use, and end-of-life (Cradle-to-grave equivalent for all relevant Scope 3 categories).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Allocation:</w:t>
      </w:r>
      <w:r>
        <w:t xml:space="preserve"> </w:t>
      </w:r>
      <w:r>
        <w:t xml:space="preserve">For multi-output processes, economic allocation is generally preferred. Given the focus on a single product (gvildfswwz), direct attribution of inputs and outputs to the functional unit is applied. For end-of-life, benefits from recycling are considered as avoided emissions.</w:t>
      </w:r>
    </w:p>
    <w:p>
      <w:pPr>
        <w:numPr>
          <w:ilvl w:val="0"/>
          <w:numId w:val="1002"/>
        </w:numPr>
        <w:pStyle w:val="Compact"/>
      </w:pPr>
      <w:r>
        <w:rPr>
          <w:bCs/>
          <w:b/>
        </w:rPr>
        <w:t xml:space="preserve">Accounting Standard:</w:t>
      </w:r>
      <w:r>
        <w:t xml:space="preserve"> </w:t>
      </w:r>
      <w:r>
        <w:t xml:space="preserve">GHG Protocol Product Life Cycle Accounting and Reporting Standard. This standard provides comprehensive guidance for companies to quantify and report the GHG emissions and removals associated with individual products.</w:t>
      </w:r>
    </w:p>
    <w:p>
      <w:pPr>
        <w:numPr>
          <w:ilvl w:val="0"/>
          <w:numId w:val="1002"/>
        </w:numPr>
        <w:pStyle w:val="Compact"/>
      </w:pPr>
      <w:r>
        <w:rPr>
          <w:bCs/>
          <w:b/>
        </w:rPr>
        <w:t xml:space="preserve">2026 LSR Update:</w:t>
      </w:r>
      <w:r>
        <w:t xml:space="preserve"> </w:t>
      </w:r>
      <w:r>
        <w:t xml:space="preserve">The Land Sector and Removals (LSR) Standard is applied. For manufactured products, direct land-use change emissions/removals are generally embedded within the upstream emission factors of raw materials. Specific direct land use and carbon removal activities directly attributable to gvildfswwz\'s lifecycle are acknowledged and, where quantifiable with available data, are integrated.</w:t>
      </w:r>
    </w:p>
    <w:p>
      <w:pPr>
        <w:numPr>
          <w:ilvl w:val="0"/>
          <w:numId w:val="1002"/>
        </w:numPr>
        <w:pStyle w:val="Compact"/>
      </w:pPr>
      <w:r>
        <w:rPr>
          <w:bCs/>
          <w:b/>
        </w:rPr>
        <w:t xml:space="preserve">Scope 3 Compliance:</w:t>
      </w:r>
      <w:r>
        <w:t xml:space="preserve"> </w:t>
      </w:r>
      <w:r>
        <w:t xml:space="preserve">This analysis aims for at least 95% coverage for Scope 3 reporting, as mandated by 2026 requirements, by including significant upstream and downstream categories.</w:t>
      </w:r>
    </w:p>
    <w:bookmarkEnd w:id="22"/>
    <w:bookmarkStart w:id="23" w:name="map-lifecycle-lci-inventory-stages"/>
    <w:p>
      <w:pPr>
        <w:pStyle w:val="Heading3"/>
      </w:pPr>
      <w:r>
        <w:t xml:space="preserve">2.2. Map Lifecycle (LCI Inventory Stages)</w:t>
      </w:r>
    </w:p>
    <w:p>
      <w:pPr>
        <w:pStyle w:val="FirstParagraph"/>
      </w:pPr>
      <w:r>
        <w:t xml:space="preserve">The lifecycle of gvildfswwz is mapped across the following stages, adhering to a cradle-to-grave perspective for comprehensive impact assessment:</w:t>
      </w:r>
    </w:p>
    <w:p>
      <w:pPr>
        <w:numPr>
          <w:ilvl w:val="0"/>
          <w:numId w:val="1004"/>
        </w:numPr>
        <w:pStyle w:val="Compact"/>
      </w:pPr>
      <w:r>
        <w:rPr>
          <w:bCs/>
          <w:b/>
        </w:rPr>
        <w:t xml:space="preserve">Raw Material Acquisition &amp; Pre-processing (Upstream - Scope 3, Category 1):</w:t>
      </w:r>
    </w:p>
    <w:p>
      <w:pPr>
        <w:numPr>
          <w:ilvl w:val="1"/>
          <w:numId w:val="1005"/>
        </w:numPr>
        <w:pStyle w:val="Compact"/>
      </w:pPr>
      <w:r>
        <w:t xml:space="preserve">Extraction, processing, and refining of all materials listed in the Detailed Bill of Materials (BOM).</w:t>
      </w:r>
    </w:p>
    <w:p>
      <w:pPr>
        <w:numPr>
          <w:ilvl w:val="1"/>
          <w:numId w:val="1005"/>
        </w:numPr>
        <w:pStyle w:val="Compact"/>
      </w:pPr>
      <w:r>
        <w:t xml:space="preserve">Inputs: Plastics, Metals, Electronics components, Chemicals (Lithium-ion battery).</w:t>
      </w:r>
    </w:p>
    <w:p>
      <w:pPr>
        <w:numPr>
          <w:ilvl w:val="0"/>
          <w:numId w:val="1004"/>
        </w:numPr>
        <w:pStyle w:val="Compact"/>
      </w:pPr>
      <w:r>
        <w:rPr>
          <w:bCs/>
          <w:b/>
        </w:rPr>
        <w:t xml:space="preserve">Manufacturing (Core Operations - Scope 1 &amp; 2):</w:t>
      </w:r>
    </w:p>
    <w:p>
      <w:pPr>
        <w:numPr>
          <w:ilvl w:val="1"/>
          <w:numId w:val="1006"/>
        </w:numPr>
        <w:pStyle w:val="Compact"/>
      </w:pPr>
      <w:r>
        <w:t xml:space="preserve">Energy consumption (electricity, direct fuel combustion for processes) during the assembly and production of gvildfswwz in China.</w:t>
      </w:r>
    </w:p>
    <w:p>
      <w:pPr>
        <w:numPr>
          <w:ilvl w:val="1"/>
          <w:numId w:val="1006"/>
        </w:numPr>
        <w:pStyle w:val="Compact"/>
      </w:pPr>
      <w:r>
        <w:t xml:space="preserve">Emissions from manufacturing processes.</w:t>
      </w:r>
    </w:p>
    <w:p>
      <w:pPr>
        <w:numPr>
          <w:ilvl w:val="0"/>
          <w:numId w:val="1004"/>
        </w:numPr>
        <w:pStyle w:val="Compact"/>
      </w:pPr>
      <w:r>
        <w:rPr>
          <w:bCs/>
          <w:b/>
        </w:rPr>
        <w:t xml:space="preserve">Transport (Upstream &amp; Downstream - Scope 3, Category 4 &amp; 9):</w:t>
      </w:r>
    </w:p>
    <w:p>
      <w:pPr>
        <w:numPr>
          <w:ilvl w:val="1"/>
          <w:numId w:val="1007"/>
        </w:numPr>
        <w:pStyle w:val="Compact"/>
      </w:pPr>
      <w:r>
        <w:t xml:space="preserve">Transportation of raw materials and components to the manufacturing facility (China).</w:t>
      </w:r>
    </w:p>
    <w:p>
      <w:pPr>
        <w:numPr>
          <w:ilvl w:val="1"/>
          <w:numId w:val="1007"/>
        </w:numPr>
        <w:pStyle w:val="Compact"/>
      </w:pPr>
      <w:r>
        <w:t xml:space="preserve">Distribution of the finished product from the factory to the end-user (Europe focused), including long-haul and last-mile delivery.</w:t>
      </w:r>
    </w:p>
    <w:p>
      <w:pPr>
        <w:numPr>
          <w:ilvl w:val="0"/>
          <w:numId w:val="1004"/>
        </w:numPr>
        <w:pStyle w:val="Compact"/>
      </w:pPr>
      <w:r>
        <w:rPr>
          <w:bCs/>
          <w:b/>
        </w:rPr>
        <w:t xml:space="preserve">Use Phase (Downstream - Scope 3, Category 11):</w:t>
      </w:r>
    </w:p>
    <w:p>
      <w:pPr>
        <w:numPr>
          <w:ilvl w:val="1"/>
          <w:numId w:val="1008"/>
        </w:numPr>
        <w:pStyle w:val="Compact"/>
      </w:pPr>
      <w:r>
        <w:t xml:space="preserve">Energy consumption by the product during its expected lifespan.</w:t>
      </w:r>
    </w:p>
    <w:p>
      <w:pPr>
        <w:numPr>
          <w:ilvl w:val="1"/>
          <w:numId w:val="1008"/>
        </w:numPr>
        <w:pStyle w:val="Compact"/>
      </w:pPr>
      <w:r>
        <w:t xml:space="preserve">Maintenance or replacement of parts over the product\'s lifespan.</w:t>
      </w:r>
    </w:p>
    <w:p>
      <w:pPr>
        <w:numPr>
          <w:ilvl w:val="0"/>
          <w:numId w:val="1004"/>
        </w:numPr>
        <w:pStyle w:val="Compact"/>
      </w:pPr>
      <w:r>
        <w:rPr>
          <w:bCs/>
          <w:b/>
        </w:rPr>
        <w:t xml:space="preserve">End-of-Life (Downstream - Scope 3, Category 12):</w:t>
      </w:r>
    </w:p>
    <w:p>
      <w:pPr>
        <w:numPr>
          <w:ilvl w:val="1"/>
          <w:numId w:val="1009"/>
        </w:numPr>
        <w:pStyle w:val="Compact"/>
      </w:pPr>
      <w:r>
        <w:t xml:space="preserve">Collection, sorting, recycling, or disposal (landfilling/incineration) of the product and its components after its useful life.</w:t>
      </w:r>
    </w:p>
    <w:p>
      <w:pPr>
        <w:numPr>
          <w:ilvl w:val="1"/>
          <w:numId w:val="1009"/>
        </w:numPr>
        <w:pStyle w:val="Compact"/>
      </w:pPr>
      <w:r>
        <w:t xml:space="preserve">Incorporation of circular economy impacts, reflecting benefits from recyclability and take-back programs.</w:t>
      </w:r>
    </w:p>
    <w:bookmarkEnd w:id="23"/>
    <w:bookmarkStart w:id="29" w:name="Xb57f50a89bf1f3f1837369be949d9d60d6c1272"/>
    <w:p>
      <w:pPr>
        <w:pStyle w:val="Heading3"/>
      </w:pPr>
      <w:r>
        <w:t xml:space="preserve">2.3. Collect Data (Primary/Secondary Data Points)</w:t>
      </w:r>
    </w:p>
    <w:p>
      <w:pPr>
        <w:pStyle w:val="FirstParagraph"/>
      </w:pPr>
      <w:r>
        <w:t xml:space="preserve">Data collection involved utilizing specific primary data provided by vzlhkzfnig and supplementing with high-quality secondary data sources where primary data was unavailable. This ensures a robust and accurate PCF.</w:t>
      </w:r>
    </w:p>
    <w:bookmarkStart w:id="24" w:name="X7bb65c8598b8bbd3626f956e120c9103529fa79"/>
    <w:p>
      <w:pPr>
        <w:pStyle w:val="Heading4"/>
      </w:pPr>
      <w:r>
        <w:t xml:space="preserve">2.3.1. Detailed Bill of Materials (BOM) - (qyyjqjhl)</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CO2e/Unit/Process)</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bl>
    <w:bookmarkEnd w:id="24"/>
    <w:bookmarkStart w:id="25" w:name="energy-inputs-production-phase"/>
    <w:p>
      <w:pPr>
        <w:pStyle w:val="Heading4"/>
      </w:pPr>
      <w:r>
        <w:t xml:space="preserve">2.3.2. Energy Inputs (Production Phase)</w:t>
      </w:r>
    </w:p>
    <w:p>
      <w:pPr>
        <w:numPr>
          <w:ilvl w:val="0"/>
          <w:numId w:val="1010"/>
        </w:numPr>
        <w:pStyle w:val="Compact"/>
      </w:pPr>
      <w:r>
        <w:rPr>
          <w:bCs/>
          <w:b/>
        </w:rPr>
        <w:t xml:space="preserve">Renewable Energy Usage:</w:t>
      </w:r>
      <w:r>
        <w:t xml:space="preserve"> </w:t>
      </w:r>
      <w:r>
        <w:t xml:space="preserve">40% (tkuitsjyrf)</w:t>
      </w:r>
    </w:p>
    <w:p>
      <w:pPr>
        <w:numPr>
          <w:ilvl w:val="0"/>
          <w:numId w:val="1010"/>
        </w:numPr>
        <w:pStyle w:val="Compact"/>
      </w:pPr>
      <w:r>
        <w:rPr>
          <w:bCs/>
          <w:b/>
        </w:rPr>
        <w:t xml:space="preserve">Energy Intensity (kWh/unit):</w:t>
      </w:r>
      <w:r>
        <w:t xml:space="preserve"> </w:t>
      </w:r>
      <w:r>
        <w:t xml:space="preserve">0.8 kWh/unit (lxzqljjdxv)</w:t>
      </w:r>
    </w:p>
    <w:bookmarkEnd w:id="25"/>
    <w:bookmarkStart w:id="26" w:name="logistics-data-supply-chain"/>
    <w:p>
      <w:pPr>
        <w:pStyle w:val="Heading4"/>
      </w:pPr>
      <w:r>
        <w:t xml:space="preserve">2.3.3. Logistics Data (Supply Chain)</w:t>
      </w:r>
    </w:p>
    <w:p>
      <w:pPr>
        <w:numPr>
          <w:ilvl w:val="0"/>
          <w:numId w:val="1011"/>
        </w:numPr>
        <w:pStyle w:val="Compact"/>
      </w:pPr>
      <w:r>
        <w:rPr>
          <w:bCs/>
          <w:b/>
        </w:rPr>
        <w:t xml:space="preserve">Primary Transport Mode:</w:t>
      </w:r>
      <w:r>
        <w:t xml:space="preserve"> </w:t>
      </w:r>
      <w:r>
        <w:t xml:space="preserve">Ocean Freight (Bulk) and Road Freight (Heavy Duty Truck) (Select Mode)</w:t>
      </w:r>
    </w:p>
    <w:p>
      <w:pPr>
        <w:numPr>
          <w:ilvl w:val="0"/>
          <w:numId w:val="1011"/>
        </w:numPr>
        <w:pStyle w:val="Compact"/>
      </w:pPr>
      <w:r>
        <w:rPr>
          <w:bCs/>
          <w:b/>
        </w:rPr>
        <w:t xml:space="preserve">Transport Distance (Ocean):</w:t>
      </w:r>
      <w:r>
        <w:t xml:space="preserve"> </w:t>
      </w:r>
      <w:r>
        <w:t xml:space="preserve">12000 km (Assumed for China to Europe, part of wqrxledqoz)</w:t>
      </w:r>
    </w:p>
    <w:p>
      <w:pPr>
        <w:numPr>
          <w:ilvl w:val="0"/>
          <w:numId w:val="1011"/>
        </w:numPr>
        <w:pStyle w:val="Compact"/>
      </w:pPr>
      <w:r>
        <w:rPr>
          <w:bCs/>
          <w:b/>
        </w:rPr>
        <w:t xml:space="preserve">Transport Distance (Road for Last Mile):</w:t>
      </w:r>
      <w:r>
        <w:t xml:space="preserve"> </w:t>
      </w:r>
      <w:r>
        <w:t xml:space="preserve">500 km (Assumed for Europe, part of wqrxledqoz)</w:t>
      </w:r>
    </w:p>
    <w:p>
      <w:pPr>
        <w:numPr>
          <w:ilvl w:val="0"/>
          <w:numId w:val="1011"/>
        </w:numPr>
        <w:pStyle w:val="Compact"/>
      </w:pPr>
      <w:r>
        <w:rPr>
          <w:bCs/>
          <w:b/>
        </w:rPr>
        <w:t xml:space="preserve">Last-Mile Delivery Channel:</w:t>
      </w:r>
      <w:r>
        <w:t xml:space="preserve"> </w:t>
      </w:r>
      <w:r>
        <w:t xml:space="preserve">Road Freight (Light Commercial Vehicle) (Delivery Type)</w:t>
      </w:r>
    </w:p>
    <w:bookmarkEnd w:id="26"/>
    <w:bookmarkStart w:id="27" w:name="product-use-phase-data"/>
    <w:p>
      <w:pPr>
        <w:pStyle w:val="Heading4"/>
      </w:pPr>
      <w:r>
        <w:t xml:space="preserve">2.3.4. Product Use Phase Data</w:t>
      </w:r>
    </w:p>
    <w:p>
      <w:pPr>
        <w:numPr>
          <w:ilvl w:val="0"/>
          <w:numId w:val="1012"/>
        </w:numPr>
        <w:pStyle w:val="Compact"/>
      </w:pPr>
      <w:r>
        <w:rPr>
          <w:bCs/>
          <w:b/>
        </w:rPr>
        <w:t xml:space="preserve">Product Lifespan:</w:t>
      </w:r>
      <w:r>
        <w:t xml:space="preserve"> </w:t>
      </w:r>
      <w:r>
        <w:t xml:space="preserve">5 years (pgkgqtsnwz)</w:t>
      </w:r>
    </w:p>
    <w:p>
      <w:pPr>
        <w:numPr>
          <w:ilvl w:val="0"/>
          <w:numId w:val="1012"/>
        </w:numPr>
        <w:pStyle w:val="Compact"/>
      </w:pPr>
      <w:r>
        <w:rPr>
          <w:bCs/>
          <w:b/>
        </w:rPr>
        <w:t xml:space="preserve">Energy Consumption in Use:</w:t>
      </w:r>
      <w:r>
        <w:t xml:space="preserve"> </w:t>
      </w:r>
      <w:r>
        <w:t xml:space="preserve">10 kWh/year (vwmeixjxhp)</w:t>
      </w:r>
    </w:p>
    <w:bookmarkEnd w:id="27"/>
    <w:bookmarkStart w:id="28" w:name="end-of-life-eol-scenarios"/>
    <w:p>
      <w:pPr>
        <w:pStyle w:val="Heading4"/>
      </w:pPr>
      <w:r>
        <w:t xml:space="preserve">2.3.5. End-of-Life (EoL) Scenarios</w:t>
      </w:r>
    </w:p>
    <w:p>
      <w:pPr>
        <w:numPr>
          <w:ilvl w:val="0"/>
          <w:numId w:val="1013"/>
        </w:numPr>
        <w:pStyle w:val="Compact"/>
      </w:pPr>
      <w:r>
        <w:rPr>
          <w:bCs/>
          <w:b/>
        </w:rPr>
        <w:t xml:space="preserve">Recyclability Percentage:</w:t>
      </w:r>
      <w:r>
        <w:t xml:space="preserve"> </w:t>
      </w:r>
      <w:r>
        <w:t xml:space="preserve">70% (pqmkotyxrg) of total product weight.</w:t>
      </w:r>
    </w:p>
    <w:p>
      <w:pPr>
        <w:numPr>
          <w:ilvl w:val="0"/>
          <w:numId w:val="1013"/>
        </w:numPr>
        <w:pStyle w:val="Compact"/>
      </w:pPr>
      <w:r>
        <w:rPr>
          <w:bCs/>
          <w:b/>
        </w:rPr>
        <w:t xml:space="preserve">Circular/Take-back Programs:</w:t>
      </w:r>
      <w:r>
        <w:t xml:space="preserve"> </w:t>
      </w:r>
      <w:r>
        <w:t xml:space="preserve">Yes, for batteries and electronics (managed for 80% of eligible components) (hdsuqmfkzh). This implies a high rate of successful recycling for these specific components.</w:t>
      </w:r>
    </w:p>
    <w:p>
      <w:r>
        <w:pict>
          <v:rect style="width:0;height:1.5pt" o:hralign="center" o:hrstd="t" o:hr="t"/>
        </w:pict>
      </w:r>
    </w:p>
    <w:bookmarkEnd w:id="28"/>
    <w:bookmarkEnd w:id="29"/>
    <w:bookmarkEnd w:id="30"/>
    <w:bookmarkStart w:id="39"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into GHG Protocol Scopes.</w:t>
      </w:r>
    </w:p>
    <w:bookmarkStart w:id="31" w:name="Xc4fc70e8676eea11bf914ba4e7b16fb696ee279"/>
    <w:p>
      <w:pPr>
        <w:pStyle w:val="Heading3"/>
      </w:pPr>
      <w:r>
        <w:t xml:space="preserve">3.1. Emission Factors Utilized (Industry-Standard)</w:t>
      </w:r>
    </w:p>
    <w:p>
      <w:pPr>
        <w:pStyle w:val="FirstParagraph"/>
      </w:pPr>
      <w:r>
        <w:t xml:space="preserve">The following emission factors were primarily sourced from industry-standard databases such as IEA, DEFRA, EPA, and Climatiq, reflecting a 2024/2025 context for accuracy where possible:</w:t>
      </w:r>
    </w:p>
    <w:p>
      <w:pPr>
        <w:numPr>
          <w:ilvl w:val="0"/>
          <w:numId w:val="1014"/>
        </w:numPr>
        <w:pStyle w:val="Compact"/>
      </w:pPr>
      <w:r>
        <w:rPr>
          <w:bCs/>
          <w:b/>
        </w:rPr>
        <w:t xml:space="preserve">Electricity Grid (China, non-renewable):</w:t>
      </w:r>
      <w:r>
        <w:t xml:space="preserve"> </w:t>
      </w:r>
      <w:r>
        <w:t xml:space="preserve">0.581 kg CO2e/kWh.</w:t>
      </w:r>
    </w:p>
    <w:p>
      <w:pPr>
        <w:numPr>
          <w:ilvl w:val="0"/>
          <w:numId w:val="1014"/>
        </w:numPr>
        <w:pStyle w:val="Compact"/>
      </w:pPr>
      <w:r>
        <w:rPr>
          <w:bCs/>
          <w:b/>
        </w:rPr>
        <w:t xml:space="preserve">Electricity Grid (Europe, average):</w:t>
      </w:r>
      <w:r>
        <w:t xml:space="preserve"> </w:t>
      </w:r>
      <w:r>
        <w:t xml:space="preserve">0.25 kg CO2e/kWh (estimated average reflecting decarbonization trends).</w:t>
      </w:r>
    </w:p>
    <w:p>
      <w:pPr>
        <w:numPr>
          <w:ilvl w:val="0"/>
          <w:numId w:val="1014"/>
        </w:numPr>
        <w:pStyle w:val="Compact"/>
      </w:pPr>
      <w:r>
        <w:rPr>
          <w:bCs/>
          <w:b/>
        </w:rPr>
        <w:t xml:space="preserve">Ocean Freight (Container Ship):</w:t>
      </w:r>
      <w:r>
        <w:t xml:space="preserve"> </w:t>
      </w:r>
      <w:r>
        <w:t xml:space="preserve">0.01612 kg CO2e/tonne-km.</w:t>
      </w:r>
    </w:p>
    <w:p>
      <w:pPr>
        <w:numPr>
          <w:ilvl w:val="0"/>
          <w:numId w:val="1014"/>
        </w:numPr>
        <w:pStyle w:val="Compact"/>
      </w:pPr>
      <w:r>
        <w:rPr>
          <w:bCs/>
          <w:b/>
        </w:rPr>
        <w:t xml:space="preserve">Road Freight (General/Mixed):</w:t>
      </w:r>
      <w:r>
        <w:t xml:space="preserve"> </w:t>
      </w:r>
      <w:r>
        <w:t xml:space="preserve">0.1 kg CO2e/tonne-km (estimated average for heavy duty and light commercial vehicles).</w:t>
      </w:r>
    </w:p>
    <w:p>
      <w:pPr>
        <w:numPr>
          <w:ilvl w:val="0"/>
          <w:numId w:val="1014"/>
        </w:numPr>
        <w:pStyle w:val="Compact"/>
      </w:pPr>
      <w:r>
        <w:rPr>
          <w:bCs/>
          <w:b/>
        </w:rPr>
        <w:t xml:space="preserve">Landfilling (Average Mixed Waste):</w:t>
      </w:r>
      <w:r>
        <w:t xml:space="preserve"> </w:t>
      </w:r>
      <w:r>
        <w:t xml:space="preserve">0.03 kg CO2e/kg (average of plastic, metal, electronics landfill factors).</w:t>
      </w:r>
    </w:p>
    <w:p>
      <w:pPr>
        <w:numPr>
          <w:ilvl w:val="0"/>
          <w:numId w:val="1014"/>
        </w:numPr>
        <w:pStyle w:val="Compact"/>
      </w:pPr>
      <w:r>
        <w:rPr>
          <w:bCs/>
          <w:b/>
        </w:rPr>
        <w:t xml:space="preserve">Recycling (Electronics, avoided emissions credit):</w:t>
      </w:r>
      <w:r>
        <w:t xml:space="preserve"> </w:t>
      </w:r>
      <w:r>
        <w:t xml:space="preserve">-0.407 kg CO2e/kg (representing avoided virgin production).</w:t>
      </w:r>
    </w:p>
    <w:p>
      <w:pPr>
        <w:numPr>
          <w:ilvl w:val="0"/>
          <w:numId w:val="1014"/>
        </w:numPr>
        <w:pStyle w:val="Compact"/>
      </w:pPr>
      <w:r>
        <w:rPr>
          <w:bCs/>
          <w:b/>
        </w:rPr>
        <w:t xml:space="preserve">Recycling (Generic Materials, avoided emissions credit):</w:t>
      </w:r>
      <w:r>
        <w:t xml:space="preserve"> </w:t>
      </w:r>
      <w:r>
        <w:t xml:space="preserve">-0.5 kg CO2e/kg (representing avoided virgin production for other recycled materials, a conservative estimate based on various sources indicating significant savings).</w:t>
      </w:r>
    </w:p>
    <w:bookmarkEnd w:id="31"/>
    <w:bookmarkStart w:id="37" w:name="detailed-emissions-calculation-per-stage"/>
    <w:p>
      <w:pPr>
        <w:pStyle w:val="Heading3"/>
      </w:pPr>
      <w:r>
        <w:t xml:space="preserve">3.2. Detailed Emissions Calculation per Stage</w:t>
      </w:r>
    </w:p>
    <w:p>
      <w:pPr>
        <w:pStyle w:val="FirstParagraph"/>
      </w:pPr>
      <w:r>
        <w:t xml:space="preserve">(int)$parts,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(float)$parts,</w:t>
      </w:r>
      <w:r>
        <w:t xml:space="preserve"> </w:t>
      </w:r>
      <w:r>
        <w:t xml:space="preserve">"Unit" =&gt; $parts,</w:t>
      </w:r>
      <w:r>
        <w:t xml:space="preserve"> </w:t>
      </w:r>
      <w:r>
        <w:t xml:space="preserve">"Emission Factor" =&gt; (float)$parts,</w:t>
      </w:r>
      <w:r>
        <w:t xml:space="preserve"> </w:t>
      </w:r>
      <w:r>
        <w:t xml:space="preserve">"Total Carbon" =&gt; (float)$parts</w:t>
      </w:r>
      <w:r>
        <w:t xml:space="preserve"> </w:t>
      </w:r>
      <w:r>
        <w:t xml:space="preserve">];</w:t>
      </w:r>
      <w:r>
        <w:t xml:space="preserve"> </w:t>
      </w:r>
      <w:r>
        <w:t xml:space="preserve">$bom_data[] = $item;</w:t>
      </w:r>
      <w:r>
        <w:t xml:space="preserve"> </w:t>
      </w:r>
      <w:r>
        <w:t xml:space="preserve">// Sum product weight for transport</w:t>
      </w:r>
      <w:r>
        <w:t xml:space="preserve"> </w:t>
      </w:r>
      <w:r>
        <w:t xml:space="preserve">if ($item["Unit"] == "kg") {</w:t>
      </w:r>
      <w:r>
        <w:t xml:space="preserve"> </w:t>
      </w:r>
      <w:r>
        <w:t xml:space="preserve">$total_product_weight_kg += $item["Qty"];</w:t>
      </w:r>
      <w:r>
        <w:t xml:space="preserve"> </w:t>
      </w:r>
      <w:r>
        <w:t xml:space="preserve">} elseif (in_array($item["Category"], ["Electronics", "Chemicals"]) &amp;&amp; $item["Unit"] == "unit") {</w:t>
      </w:r>
      <w:r>
        <w:t xml:space="preserve"> </w:t>
      </w:r>
      <w:r>
        <w:t xml:space="preserve">// Assume 1 unit is approx 1 kg or convert to kg based on typical component weights</w:t>
      </w:r>
      <w:r>
        <w:t xml:space="preserve"> </w:t>
      </w:r>
      <w:r>
        <w:t xml:space="preserve">// For circuit board and battery, assume qty is effectively in kg for weight approx.</w:t>
      </w:r>
      <w:r>
        <w:t xml:space="preserve"> </w:t>
      </w:r>
      <w:r>
        <w:t xml:space="preserve">$total_product_weight_kg += $item["Qty"];</w:t>
      </w:r>
      <w:r>
        <w:t xml:space="preserve"> </w:t>
      </w:r>
      <w:r>
        <w:t xml:space="preserve">$electronics_battery_weight_kg += $item["Qty"];</w:t>
      </w:r>
      <w:r>
        <w:t xml:space="preserve"> </w:t>
      </w:r>
      <w:r>
        <w:t xml:space="preserve">} else {</w:t>
      </w:r>
      <w:r>
        <w:t xml:space="preserve"> </w:t>
      </w:r>
      <w:r>
        <w:t xml:space="preserve">// Assume 1 unit is negligible or make an educated guess if needed. For this BOM, treating \'unit\' as \'kg\' for estimation</w:t>
      </w:r>
      <w:r>
        <w:t xml:space="preserve"> </w:t>
      </w:r>
      <w:r>
        <w:t xml:space="preserve">$total_product_weight_kg += $item["Qty"]; // This is an approximation</w:t>
      </w:r>
      <w:r>
        <w:t xml:space="preserve"> </w:t>
      </w:r>
      <w:r>
        <w:t xml:space="preserve">}</w:t>
      </w:r>
      <w:r>
        <w:t xml:space="preserve"> </w:t>
      </w:r>
      <w:r>
        <w:t xml:space="preserve">}</w:t>
      </w:r>
      <w:r>
        <w:t xml:space="preserve"> </w:t>
      </w:r>
      <w:r>
        <w:t xml:space="preserve">// Adjust total product weight for a more realistic estimate and packaging</w:t>
      </w:r>
      <w:r>
        <w:t xml:space="preserve"> </w:t>
      </w:r>
      <w:r>
        <w:t xml:space="preserve">$total_product_weight_kg = max(0.7, round($total_product_weight_kg, 2)); // Minimum 0.7kg for example, or sum of quantities.</w:t>
      </w:r>
      <w:r>
        <w:t xml:space="preserve"> </w:t>
      </w:r>
      <w:r>
        <w:t xml:space="preserve">// 1. Raw Material Acquisition &amp; Pre-processing (Scope 3, Category 1)</w:t>
      </w:r>
      <w:r>
        <w:t xml:space="preserve"> </w:t>
      </w:r>
      <w:r>
        <w:t xml:space="preserve">$material_emissions_co2e = array_sum(array_column($bom_data, "Total Carbon"));</w:t>
      </w:r>
      <w:r>
        <w:t xml:space="preserve"> </w:t>
      </w:r>
      <w:r>
        <w:t xml:space="preserve">// 2. Manufacturing Energy (Scope 2)</w:t>
      </w:r>
      <w:r>
        <w:t xml:space="preserve"> </w:t>
      </w:r>
      <w:r>
        <w:t xml:space="preserve">$non_renewable_energy_kwh = $energy_intensity_kwh_unit * (1 - $renewable_energy_usage_percentage / 100);</w:t>
      </w:r>
      <w:r>
        <w:t xml:space="preserve"> </w:t>
      </w:r>
      <w:r>
        <w:t xml:space="preserve">$manufacturing_emissions_co2e = $non_renewable_energy_kwh * $ef_electricity_china;</w:t>
      </w:r>
      <w:r>
        <w:t xml:space="preserve"> </w:t>
      </w:r>
      <w:r>
        <w:t xml:space="preserve">// 3. Transport (Scope 3, Category 4 &amp; 9)</w:t>
      </w:r>
      <w:r>
        <w:t xml:space="preserve"> </w:t>
      </w:r>
      <w:r>
        <w:t xml:space="preserve">$product_weight_tonnes = $total_product_weight_kg / 1000;</w:t>
      </w:r>
      <w:r>
        <w:t xml:space="preserve"> </w:t>
      </w:r>
      <w:r>
        <w:t xml:space="preserve">$ocean_transport_emissions_co2e = $product_weight_tonnes * $transport_distance_ocean_km * $ef_ocean_freight;</w:t>
      </w:r>
      <w:r>
        <w:t xml:space="preserve"> </w:t>
      </w:r>
      <w:r>
        <w:t xml:space="preserve">$road_transport_emissions_co2e = $product_weight_tonnes * $transport_distance_road_km * $ef_road_freight;</w:t>
      </w:r>
      <w:r>
        <w:t xml:space="preserve"> </w:t>
      </w:r>
      <w:r>
        <w:t xml:space="preserve">$total_transport_emissions_co2e = $ocean_transport_emissions_co2e + $road_transport_emissions_co2e;</w:t>
      </w:r>
      <w:r>
        <w:t xml:space="preserve"> </w:t>
      </w:r>
      <w:r>
        <w:t xml:space="preserve">// 4. Use Phase (Scope 3, Category 11)</w:t>
      </w:r>
      <w:r>
        <w:t xml:space="preserve"> </w:t>
      </w:r>
      <w:r>
        <w:t xml:space="preserve">$total_energy_in_use_kwh = $product_lifespan_years * $energy_consumption_in_use_kwh_year;</w:t>
      </w:r>
      <w:r>
        <w:t xml:space="preserve"> </w:t>
      </w:r>
      <w:r>
        <w:t xml:space="preserve">$use_phase_emissions_co2e = $total_energy_in_use_kwh * $ef_electricity_europe;</w:t>
      </w:r>
      <w:r>
        <w:t xml:space="preserve"> </w:t>
      </w:r>
      <w:r>
        <w:t xml:space="preserve">// 5. End-of-Life (Scope 3, Category 12)</w:t>
      </w:r>
      <w:r>
        <w:t xml:space="preserve"> </w:t>
      </w:r>
      <w:r>
        <w:t xml:space="preserve">$eol_emissions_co2e = 0;</w:t>
      </w:r>
      <w:r>
        <w:t xml:space="preserve"> </w:t>
      </w:r>
      <w:r>
        <w:t xml:space="preserve">// Separate calculation for managed electronics/batteries</w:t>
      </w:r>
      <w:r>
        <w:t xml:space="preserve"> </w:t>
      </w:r>
      <w:r>
        <w:t xml:space="preserve">$managed_electronics_battery_weight_kg = $electronics_battery_weight_kg * 0.8;</w:t>
      </w:r>
      <w:r>
        <w:t xml:space="preserve"> </w:t>
      </w:r>
      <w:r>
        <w:t xml:space="preserve">$unmanaged_electronics_battery_weight_kg = $electronics_battery_weight_kg * 0.2;</w:t>
      </w:r>
      <w:r>
        <w:t xml:space="preserve"> </w:t>
      </w:r>
      <w:r>
        <w:t xml:space="preserve">// Emissions/credits for managed electronics/batteries</w:t>
      </w:r>
      <w:r>
        <w:t xml:space="preserve"> </w:t>
      </w:r>
      <w:r>
        <w:t xml:space="preserve">$eol_emissions_co2e += $managed_electronics_battery_weight_kg * $ef_recycling_electronics_credit;</w:t>
      </w:r>
      <w:r>
        <w:t xml:space="preserve"> </w:t>
      </w:r>
      <w:r>
        <w:t xml:space="preserve">// Remaining materials after accounting for specifically managed electronics/batteries</w:t>
      </w:r>
      <w:r>
        <w:t xml:space="preserve"> </w:t>
      </w:r>
      <w:r>
        <w:t xml:space="preserve">$remaining_total_weight_kg = $total_product_weight_kg - $electronics_battery_weight_kg;</w:t>
      </w:r>
      <w:r>
        <w:t xml:space="preserve"> </w:t>
      </w:r>
      <w:r>
        <w:t xml:space="preserve">$remaining_recycled_weight_kg = $remaining_total_weight_kg * ($recyclability_percentage / 100);</w:t>
      </w:r>
      <w:r>
        <w:t xml:space="preserve"> </w:t>
      </w:r>
      <w:r>
        <w:t xml:space="preserve">$remaining_landfilled_weight_kg = $remaining_total_weight_kg * (1 - ($recyclability_percentage / 100));</w:t>
      </w:r>
      <w:r>
        <w:t xml:space="preserve"> </w:t>
      </w:r>
      <w:r>
        <w:t xml:space="preserve">// Add credits for generic recycled materials</w:t>
      </w:r>
      <w:r>
        <w:t xml:space="preserve"> </w:t>
      </w:r>
      <w:r>
        <w:t xml:space="preserve">$eol_emissions_co2e += $remaining_recycled_weight_kg * $ef_recycling_generic_credit;</w:t>
      </w:r>
      <w:r>
        <w:t xml:space="preserve"> </w:t>
      </w:r>
      <w:r>
        <w:t xml:space="preserve">// Add emissions for general landfilled materials (including unmanaged electronics/batteries)</w:t>
      </w:r>
      <w:r>
        <w:t xml:space="preserve"> </w:t>
      </w:r>
      <w:r>
        <w:t xml:space="preserve">$eol_emissions_co2e += ($remaining_landfilled_weight_kg + $unmanaged_electronics_battery_weight_kg) * $ef_landfill_avg;</w:t>
      </w:r>
      <w:r>
        <w:t xml:space="preserve"> </w:t>
      </w:r>
      <w:r>
        <w:t xml:space="preserve">// Total PCF</w:t>
      </w:r>
      <w:r>
        <w:t xml:space="preserve"> </w:t>
      </w:r>
      <w:r>
        <w:t xml:space="preserve">$total_pcf_co2e = $material_emissions_co2e + $manufacturing_emissions_co2e + $total_transport_emissions_co2e + $use_phase_emissions_co2e + $eol_emissions_co2e;</w:t>
      </w:r>
      <w:r>
        <w:t xml:space="preserve"> </w:t>
      </w:r>
      <w:r>
        <w:t xml:space="preserve">?&gt;</w:t>
      </w:r>
    </w:p>
    <w:bookmarkStart w:id="32" w:name="X93d819af9cb36e54b8934f2901f875cfe52d7f2"/>
    <w:p>
      <w:pPr>
        <w:pStyle w:val="Heading4"/>
      </w:pPr>
      <w:r>
        <w:t xml:space="preserve">3.2.1. Raw Material Acquisition &amp; Pre-processing (Scope 3 - Category 1)</w:t>
      </w:r>
    </w:p>
    <w:p>
      <w:pPr>
        <w:pStyle w:val="FirstParagraph"/>
      </w:pPr>
      <w:r>
        <w:t xml:space="preserve">Emissions from the extraction, processing, and refining of raw materials are directly summed from the provided "Total Carbon" column in the BOM, representing a high-accuracy calculation for these components.</w:t>
      </w:r>
    </w:p>
    <w:p>
      <w:pPr>
        <w:pStyle w:val="BodyText"/>
      </w:pPr>
      <w:r>
        <w:rPr>
          <w:bCs/>
          <w:b/>
        </w:rPr>
        <w:t xml:space="preserve">Total Material Emissions:</w:t>
      </w:r>
      <w:r>
        <w:t xml:space="preserve"> </w:t>
      </w:r>
      <w:r>
        <w:t xml:space="preserve">kg CO2e</w:t>
      </w:r>
    </w:p>
    <w:bookmarkEnd w:id="32"/>
    <w:bookmarkStart w:id="33" w:name="manufacturing-energy-scope-2"/>
    <w:p>
      <w:pPr>
        <w:pStyle w:val="Heading4"/>
      </w:pPr>
      <w:r>
        <w:t xml:space="preserve">3.2.2. Manufacturing Energy (Scope 2)</w:t>
      </w:r>
    </w:p>
    <w:p>
      <w:pPr>
        <w:pStyle w:val="FirstParagraph"/>
      </w:pPr>
      <w:r>
        <w:t xml:space="preserve">The manufacturing process occurs in China. With an energy intensity of kWh/unit and 40% renewable energy usage, the non-renewable electricity consumption is calculated. This is multiplied by the estimated China grid emission factor.</w:t>
      </w:r>
    </w:p>
    <w:p>
      <w:pPr>
        <w:numPr>
          <w:ilvl w:val="0"/>
          <w:numId w:val="1015"/>
        </w:numPr>
        <w:pStyle w:val="Compact"/>
      </w:pPr>
      <w:r>
        <w:t xml:space="preserve">Energy Intensity:</w:t>
      </w:r>
    </w:p>
    <w:p>
      <w:pPr>
        <w:numPr>
          <w:ilvl w:val="0"/>
          <w:numId w:val="1000"/>
        </w:numPr>
        <w:pStyle w:val="Compact"/>
      </w:pPr>
      <w:r>
        <w:t xml:space="preserve">kWh/unit</w:t>
      </w:r>
    </w:p>
    <w:p>
      <w:pPr>
        <w:numPr>
          <w:ilvl w:val="0"/>
          <w:numId w:val="1015"/>
        </w:numPr>
        <w:pStyle w:val="Compact"/>
      </w:pPr>
      <w:r>
        <w:t xml:space="preserve">Renewable Energy Usage:</w:t>
      </w:r>
    </w:p>
    <w:p>
      <w:pPr>
        <w:numPr>
          <w:ilvl w:val="0"/>
          <w:numId w:val="1000"/>
        </w:numPr>
        <w:pStyle w:val="Compact"/>
      </w:pPr>
      <w:r>
        <w:t xml:space="preserve">%</w:t>
      </w:r>
    </w:p>
    <w:p>
      <w:pPr>
        <w:numPr>
          <w:ilvl w:val="0"/>
          <w:numId w:val="1015"/>
        </w:numPr>
        <w:pStyle w:val="Compact"/>
      </w:pPr>
      <w:r>
        <w:t xml:space="preserve">Non-Renewable Energy:</w:t>
      </w:r>
    </w:p>
    <w:p>
      <w:pPr>
        <w:numPr>
          <w:ilvl w:val="0"/>
          <w:numId w:val="1000"/>
        </w:numPr>
        <w:pStyle w:val="Compact"/>
      </w:pPr>
      <w:r>
        <w:t xml:space="preserve">kWh/unit</w:t>
      </w:r>
    </w:p>
    <w:p>
      <w:pPr>
        <w:numPr>
          <w:ilvl w:val="0"/>
          <w:numId w:val="1015"/>
        </w:numPr>
        <w:pStyle w:val="Compact"/>
      </w:pPr>
      <w:r>
        <w:t xml:space="preserve">China Grid Emission Factor:</w:t>
      </w:r>
    </w:p>
    <w:p>
      <w:pPr>
        <w:numPr>
          <w:ilvl w:val="0"/>
          <w:numId w:val="1000"/>
        </w:numPr>
        <w:pStyle w:val="Compact"/>
      </w:pPr>
      <w:r>
        <w:t xml:space="preserve">kg CO2e/kWh</w:t>
      </w:r>
    </w:p>
    <w:p>
      <w:pPr>
        <w:pStyle w:val="FirstParagraph"/>
      </w:pPr>
      <w:r>
        <w:rPr>
          <w:bCs/>
          <w:b/>
        </w:rPr>
        <w:t xml:space="preserve">Total Manufacturing Energy Emissions:</w:t>
      </w:r>
      <w:r>
        <w:t xml:space="preserve"> </w:t>
      </w:r>
      <w:r>
        <w:t xml:space="preserve">kg CO2e</w:t>
      </w:r>
    </w:p>
    <w:bookmarkEnd w:id="33"/>
    <w:bookmarkStart w:id="34" w:name="transport-scope-3---category-4-9"/>
    <w:p>
      <w:pPr>
        <w:pStyle w:val="Heading4"/>
      </w:pPr>
      <w:r>
        <w:t xml:space="preserve">3.2.3. Transport (Scope 3 - Category 4 &amp; 9)</w:t>
      </w:r>
    </w:p>
    <w:p>
      <w:pPr>
        <w:pStyle w:val="FirstParagraph"/>
      </w:pPr>
      <w:r>
        <w:t xml:space="preserve">Transportation impacts include both upstream (raw materials to factory) and downstream (factory to customer) logistics. For a product weight of approximately kg, the emissions are calculated for assumed ocean freight from China to Europe and last-mile road delivery within Europe.</w:t>
      </w:r>
    </w:p>
    <w:p>
      <w:pPr>
        <w:numPr>
          <w:ilvl w:val="0"/>
          <w:numId w:val="1016"/>
        </w:numPr>
        <w:pStyle w:val="Compact"/>
      </w:pPr>
      <w:r>
        <w:t xml:space="preserve">Product Weight:</w:t>
      </w:r>
    </w:p>
    <w:p>
      <w:pPr>
        <w:numPr>
          <w:ilvl w:val="0"/>
          <w:numId w:val="1000"/>
        </w:numPr>
        <w:pStyle w:val="Compact"/>
      </w:pPr>
      <w:r>
        <w:t xml:space="preserve">kg</w:t>
      </w:r>
    </w:p>
    <w:p>
      <w:pPr>
        <w:numPr>
          <w:ilvl w:val="0"/>
          <w:numId w:val="1016"/>
        </w:numPr>
        <w:pStyle w:val="Compact"/>
      </w:pPr>
      <w:r>
        <w:t xml:space="preserve">Ocean Freight Distance:</w:t>
      </w:r>
    </w:p>
    <w:p>
      <w:pPr>
        <w:numPr>
          <w:ilvl w:val="0"/>
          <w:numId w:val="1000"/>
        </w:numPr>
        <w:pStyle w:val="Compact"/>
      </w:pPr>
      <w:r>
        <w:t xml:space="preserve">km</w:t>
      </w:r>
    </w:p>
    <w:p>
      <w:pPr>
        <w:numPr>
          <w:ilvl w:val="0"/>
          <w:numId w:val="1016"/>
        </w:numPr>
        <w:pStyle w:val="Compact"/>
      </w:pPr>
      <w:r>
        <w:t xml:space="preserve">Ocean Freight Emission Factor:</w:t>
      </w:r>
    </w:p>
    <w:p>
      <w:pPr>
        <w:numPr>
          <w:ilvl w:val="0"/>
          <w:numId w:val="1000"/>
        </w:numPr>
        <w:pStyle w:val="Compact"/>
      </w:pPr>
      <w:r>
        <w:t xml:space="preserve">kg CO2e/tonne-km</w:t>
      </w:r>
    </w:p>
    <w:p>
      <w:pPr>
        <w:numPr>
          <w:ilvl w:val="0"/>
          <w:numId w:val="1016"/>
        </w:numPr>
        <w:pStyle w:val="Compact"/>
      </w:pPr>
      <w:r>
        <w:t xml:space="preserve">Road Freight Distance (Last-Mile):</w:t>
      </w:r>
    </w:p>
    <w:p>
      <w:pPr>
        <w:numPr>
          <w:ilvl w:val="0"/>
          <w:numId w:val="1000"/>
        </w:numPr>
        <w:pStyle w:val="Compact"/>
      </w:pPr>
      <w:r>
        <w:t xml:space="preserve">km</w:t>
      </w:r>
    </w:p>
    <w:p>
      <w:pPr>
        <w:numPr>
          <w:ilvl w:val="0"/>
          <w:numId w:val="1016"/>
        </w:numPr>
        <w:pStyle w:val="Compact"/>
      </w:pPr>
      <w:r>
        <w:t xml:space="preserve">Road Freight Emission Factor:</w:t>
      </w:r>
    </w:p>
    <w:p>
      <w:pPr>
        <w:numPr>
          <w:ilvl w:val="0"/>
          <w:numId w:val="1000"/>
        </w:numPr>
        <w:pStyle w:val="Compact"/>
      </w:pPr>
      <w:r>
        <w:t xml:space="preserve">kg CO2e/tonne-km</w:t>
      </w:r>
    </w:p>
    <w:p>
      <w:pPr>
        <w:pStyle w:val="FirstParagraph"/>
      </w:pPr>
      <w:r>
        <w:rPr>
          <w:bCs/>
          <w:b/>
        </w:rPr>
        <w:t xml:space="preserve">Total Transport Emissions:</w:t>
      </w:r>
      <w:r>
        <w:t xml:space="preserve"> </w:t>
      </w:r>
      <w:r>
        <w:t xml:space="preserve">kg CO2e</w:t>
      </w:r>
    </w:p>
    <w:bookmarkEnd w:id="34"/>
    <w:bookmarkStart w:id="35" w:name="use-phase-scope-3---category-11"/>
    <w:p>
      <w:pPr>
        <w:pStyle w:val="Heading4"/>
      </w:pPr>
      <w:r>
        <w:t xml:space="preserve">3.2.4. Use Phase (Scope 3 - Category 11)</w:t>
      </w:r>
    </w:p>
    <w:p>
      <w:pPr>
        <w:pStyle w:val="FirstParagraph"/>
      </w:pPr>
      <w:r>
        <w:t xml:space="preserve">The use phase emissions are calculated based on the product\'s estimated lifespan and annual energy consumption, using an average European electricity grid emission factor due to the Europe-focused supply chain and consumer base.</w:t>
      </w:r>
    </w:p>
    <w:p>
      <w:pPr>
        <w:numPr>
          <w:ilvl w:val="0"/>
          <w:numId w:val="1017"/>
        </w:numPr>
        <w:pStyle w:val="Compact"/>
      </w:pPr>
      <w:r>
        <w:t xml:space="preserve">Product Lifespan:</w:t>
      </w:r>
    </w:p>
    <w:p>
      <w:pPr>
        <w:numPr>
          <w:ilvl w:val="0"/>
          <w:numId w:val="1000"/>
        </w:numPr>
        <w:pStyle w:val="Compact"/>
      </w:pPr>
      <w:r>
        <w:t xml:space="preserve">years</w:t>
      </w:r>
    </w:p>
    <w:p>
      <w:pPr>
        <w:numPr>
          <w:ilvl w:val="0"/>
          <w:numId w:val="1017"/>
        </w:numPr>
        <w:pStyle w:val="Compact"/>
      </w:pPr>
      <w:r>
        <w:t xml:space="preserve">Annual Energy Consumption:</w:t>
      </w:r>
    </w:p>
    <w:p>
      <w:pPr>
        <w:numPr>
          <w:ilvl w:val="0"/>
          <w:numId w:val="1000"/>
        </w:numPr>
        <w:pStyle w:val="Compact"/>
      </w:pPr>
      <w:r>
        <w:t xml:space="preserve">kWh/year</w:t>
      </w:r>
    </w:p>
    <w:p>
      <w:pPr>
        <w:numPr>
          <w:ilvl w:val="0"/>
          <w:numId w:val="1017"/>
        </w:numPr>
        <w:pStyle w:val="Compact"/>
      </w:pPr>
      <w:r>
        <w:t xml:space="preserve">Total Energy Consumption (Lifespan):</w:t>
      </w:r>
    </w:p>
    <w:p>
      <w:pPr>
        <w:numPr>
          <w:ilvl w:val="0"/>
          <w:numId w:val="1000"/>
        </w:numPr>
        <w:pStyle w:val="Compact"/>
      </w:pPr>
      <w:r>
        <w:t xml:space="preserve">kWh</w:t>
      </w:r>
    </w:p>
    <w:p>
      <w:pPr>
        <w:numPr>
          <w:ilvl w:val="0"/>
          <w:numId w:val="1017"/>
        </w:numPr>
        <w:pStyle w:val="Compact"/>
      </w:pPr>
      <w:r>
        <w:t xml:space="preserve">Europe Grid Emission Factor:</w:t>
      </w:r>
    </w:p>
    <w:p>
      <w:pPr>
        <w:numPr>
          <w:ilvl w:val="0"/>
          <w:numId w:val="1000"/>
        </w:numPr>
        <w:pStyle w:val="Compact"/>
      </w:pPr>
      <w:r>
        <w:t xml:space="preserve">kg CO2e/kWh</w:t>
      </w:r>
    </w:p>
    <w:p>
      <w:pPr>
        <w:pStyle w:val="FirstParagraph"/>
      </w:pPr>
      <w:r>
        <w:rPr>
          <w:bCs/>
          <w:b/>
        </w:rPr>
        <w:t xml:space="preserve">Total Use Phase Emissions:</w:t>
      </w:r>
      <w:r>
        <w:t xml:space="preserve"> </w:t>
      </w:r>
      <w:r>
        <w:t xml:space="preserve">kg CO2e</w:t>
      </w:r>
    </w:p>
    <w:bookmarkEnd w:id="35"/>
    <w:bookmarkStart w:id="36" w:name="end-of-life-eol-scope-3---category-12"/>
    <w:p>
      <w:pPr>
        <w:pStyle w:val="Heading4"/>
      </w:pPr>
      <w:r>
        <w:t xml:space="preserve">3.2.5. End-of-Life (EoL) (Scope 3 - Category 12)</w:t>
      </w:r>
    </w:p>
    <w:p>
      <w:pPr>
        <w:pStyle w:val="FirstParagraph"/>
      </w:pPr>
      <w:r>
        <w:t xml:space="preserve">End-of-Life emissions incorporate circular economy impacts by accounting for both landfilling and recycling benefits. For gvildfswwz (total weight kg), a recyclability of % is considered, with specific circular programs for 80% of batteries and electronics components.</w:t>
      </w:r>
    </w:p>
    <w:p>
      <w:pPr>
        <w:numPr>
          <w:ilvl w:val="0"/>
          <w:numId w:val="1018"/>
        </w:numPr>
        <w:pStyle w:val="Compact"/>
      </w:pPr>
      <w:r>
        <w:t xml:space="preserve">Total Product Weight:</w:t>
      </w:r>
    </w:p>
    <w:p>
      <w:pPr>
        <w:numPr>
          <w:ilvl w:val="0"/>
          <w:numId w:val="1000"/>
        </w:numPr>
        <w:pStyle w:val="Compact"/>
      </w:pPr>
      <w:r>
        <w:t xml:space="preserve">kg</w:t>
      </w:r>
    </w:p>
    <w:p>
      <w:pPr>
        <w:numPr>
          <w:ilvl w:val="0"/>
          <w:numId w:val="1018"/>
        </w:numPr>
        <w:pStyle w:val="Compact"/>
      </w:pPr>
      <w:r>
        <w:t xml:space="preserve">Electronics/Battery Weight (from BOM):</w:t>
      </w:r>
    </w:p>
    <w:p>
      <w:pPr>
        <w:numPr>
          <w:ilvl w:val="0"/>
          <w:numId w:val="1000"/>
        </w:numPr>
        <w:pStyle w:val="Compact"/>
      </w:pPr>
      <w:r>
        <w:t xml:space="preserve">kg</w:t>
      </w:r>
    </w:p>
    <w:p>
      <w:pPr>
        <w:numPr>
          <w:ilvl w:val="0"/>
          <w:numId w:val="1018"/>
        </w:numPr>
        <w:pStyle w:val="Compact"/>
      </w:pPr>
      <w:r>
        <w:t xml:space="preserve">Managed Electronics/Battery (80%):</w:t>
      </w:r>
    </w:p>
    <w:p>
      <w:pPr>
        <w:numPr>
          <w:ilvl w:val="0"/>
          <w:numId w:val="1000"/>
        </w:numPr>
        <w:pStyle w:val="Compact"/>
      </w:pPr>
      <w:r>
        <w:t xml:space="preserve">kg (credited for avoided virgin production)</w:t>
      </w:r>
    </w:p>
    <w:p>
      <w:pPr>
        <w:numPr>
          <w:ilvl w:val="0"/>
          <w:numId w:val="1018"/>
        </w:numPr>
        <w:pStyle w:val="Compact"/>
      </w:pPr>
      <w:r>
        <w:t xml:space="preserve">Unmanaged Electronics/Battery (20%):</w:t>
      </w:r>
    </w:p>
    <w:p>
      <w:pPr>
        <w:numPr>
          <w:ilvl w:val="0"/>
          <w:numId w:val="1000"/>
        </w:numPr>
        <w:pStyle w:val="Compact"/>
      </w:pPr>
      <w:r>
        <w:t xml:space="preserve">kg (assumed landfilled)</w:t>
      </w:r>
    </w:p>
    <w:p>
      <w:pPr>
        <w:numPr>
          <w:ilvl w:val="0"/>
          <w:numId w:val="1018"/>
        </w:numPr>
        <w:pStyle w:val="Compact"/>
      </w:pPr>
      <w:r>
        <w:t xml:space="preserve">Remaining Materials:</w:t>
      </w:r>
    </w:p>
    <w:p>
      <w:pPr>
        <w:numPr>
          <w:ilvl w:val="0"/>
          <w:numId w:val="1000"/>
        </w:numPr>
        <w:pStyle w:val="Compact"/>
      </w:pPr>
      <w:r>
        <w:t xml:space="preserve">kg</w:t>
      </w:r>
    </w:p>
    <w:p>
      <w:pPr>
        <w:numPr>
          <w:ilvl w:val="0"/>
          <w:numId w:val="1018"/>
        </w:numPr>
        <w:pStyle w:val="Compact"/>
      </w:pPr>
      <w:r>
        <w:t xml:space="preserve">Recycled Remaining Materials (</w:t>
      </w:r>
    </w:p>
    <w:p>
      <w:pPr>
        <w:numPr>
          <w:ilvl w:val="0"/>
          <w:numId w:val="1000"/>
        </w:numPr>
        <w:pStyle w:val="Compact"/>
      </w:pPr>
      <w:r>
        <w:t xml:space="preserve">%):</w:t>
      </w:r>
    </w:p>
    <w:p>
      <w:pPr>
        <w:numPr>
          <w:ilvl w:val="0"/>
          <w:numId w:val="1000"/>
        </w:numPr>
        <w:pStyle w:val="Compact"/>
      </w:pPr>
      <w:r>
        <w:t xml:space="preserve">kg (credited for avoided virgin production)</w:t>
      </w:r>
    </w:p>
    <w:p>
      <w:pPr>
        <w:numPr>
          <w:ilvl w:val="0"/>
          <w:numId w:val="1018"/>
        </w:numPr>
        <w:pStyle w:val="Compact"/>
      </w:pPr>
      <w:r>
        <w:t xml:space="preserve">Landfilled Remaining Materials (</w:t>
      </w:r>
    </w:p>
    <w:p>
      <w:pPr>
        <w:numPr>
          <w:ilvl w:val="0"/>
          <w:numId w:val="1000"/>
        </w:numPr>
        <w:pStyle w:val="Compact"/>
      </w:pPr>
      <w:r>
        <w:t xml:space="preserve">%):</w:t>
      </w:r>
    </w:p>
    <w:p>
      <w:pPr>
        <w:numPr>
          <w:ilvl w:val="0"/>
          <w:numId w:val="1000"/>
        </w:numPr>
        <w:pStyle w:val="Compact"/>
      </w:pPr>
      <w:r>
        <w:t xml:space="preserve">kg</w:t>
      </w:r>
    </w:p>
    <w:p>
      <w:pPr>
        <w:numPr>
          <w:ilvl w:val="0"/>
          <w:numId w:val="1018"/>
        </w:numPr>
        <w:pStyle w:val="Compact"/>
      </w:pPr>
      <w:r>
        <w:t xml:space="preserve">Average Landfill Emission Factor:</w:t>
      </w:r>
    </w:p>
    <w:p>
      <w:pPr>
        <w:numPr>
          <w:ilvl w:val="0"/>
          <w:numId w:val="1000"/>
        </w:numPr>
        <w:pStyle w:val="Compact"/>
      </w:pPr>
      <w:r>
        <w:t xml:space="preserve">kg CO2e/kg</w:t>
      </w:r>
    </w:p>
    <w:p>
      <w:pPr>
        <w:numPr>
          <w:ilvl w:val="0"/>
          <w:numId w:val="1018"/>
        </w:numPr>
        <w:pStyle w:val="Compact"/>
      </w:pPr>
      <w:r>
        <w:t xml:space="preserve">Electronics Recycling Credit (avoided):</w:t>
      </w:r>
    </w:p>
    <w:p>
      <w:pPr>
        <w:numPr>
          <w:ilvl w:val="0"/>
          <w:numId w:val="1000"/>
        </w:numPr>
        <w:pStyle w:val="Compact"/>
      </w:pPr>
      <w:r>
        <w:t xml:space="preserve">kg CO2e/kg</w:t>
      </w:r>
    </w:p>
    <w:p>
      <w:pPr>
        <w:numPr>
          <w:ilvl w:val="0"/>
          <w:numId w:val="1018"/>
        </w:numPr>
        <w:pStyle w:val="Compact"/>
      </w:pPr>
      <w:r>
        <w:t xml:space="preserve">Generic Recycling Credit (avoided):</w:t>
      </w:r>
    </w:p>
    <w:p>
      <w:pPr>
        <w:numPr>
          <w:ilvl w:val="0"/>
          <w:numId w:val="1000"/>
        </w:numPr>
        <w:pStyle w:val="Compact"/>
      </w:pPr>
      <w:r>
        <w:t xml:space="preserve">kg CO2e/kg</w:t>
      </w:r>
    </w:p>
    <w:p>
      <w:pPr>
        <w:pStyle w:val="FirstParagraph"/>
      </w:pPr>
      <w:r>
        <w:rPr>
          <w:bCs/>
          <w:b/>
        </w:rPr>
        <w:t xml:space="preserve">Total End-of-Life Emissions:</w:t>
      </w:r>
      <w:r>
        <w:t xml:space="preserve"> </w:t>
      </w:r>
      <w:r>
        <w:t xml:space="preserve">kg CO2e (Negative value indicates a net carbon removal/avoidance due to circularity.)</w:t>
      </w:r>
    </w:p>
    <w:bookmarkEnd w:id="36"/>
    <w:bookmarkEnd w:id="37"/>
    <w:bookmarkStart w:id="38" w:name="total-product-carbon-footprint-pcf"/>
    <w:p>
      <w:pPr>
        <w:pStyle w:val="Heading3"/>
      </w:pPr>
      <w:r>
        <w:t xml:space="preserve">3.3. Total Product Carbon Footprint (PCF)</w:t>
      </w:r>
    </w:p>
    <w:p>
      <w:pPr>
        <w:pStyle w:val="FirstParagraph"/>
      </w:pPr>
      <w:r>
        <w:t xml:space="preserve">The aggregated carbon footprint for 1.0 unit of gvildfswwz across its entire lifecycle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 /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pP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pPr>
          </w:p>
        </w:tc>
      </w:tr>
      <w:tr>
        <w:tc>
          <w:tcPr/>
          <w:p>
            <w:pPr>
              <w:pStyle w:val="Compact"/>
              <w:jc w:val="left"/>
            </w:pPr>
            <w:r>
              <w:t xml:space="preserve">Use Phase</w:t>
            </w:r>
          </w:p>
        </w:tc>
        <w:tc>
          <w:tcPr/>
          <w:p>
            <w:pPr>
              <w:pStyle w:val="Compact"/>
              <w:jc w:val="left"/>
            </w:pPr>
            <w:r>
              <w:t xml:space="preserve">Scope 3 (Category 11)</w:t>
            </w:r>
          </w:p>
        </w:tc>
        <w:tc>
          <w:tcPr/>
          <w:p>
            <w:pPr>
              <w:pStyle w:val="Compact"/>
            </w:pPr>
          </w:p>
        </w:tc>
      </w:tr>
      <w:tr>
        <w:tc>
          <w:tcPr/>
          <w:p>
            <w:pPr>
              <w:pStyle w:val="Compact"/>
              <w:jc w:val="left"/>
            </w:pPr>
            <w:r>
              <w:t xml:space="preserve">End-of-Life</w:t>
            </w:r>
          </w:p>
        </w:tc>
        <w:tc>
          <w:tcPr/>
          <w:p>
            <w:pPr>
              <w:pStyle w:val="Compact"/>
              <w:jc w:val="left"/>
            </w:pPr>
            <w:r>
              <w:t xml:space="preserve">Scope 3 (Category 12)</w:t>
            </w:r>
          </w:p>
        </w:tc>
        <w:tc>
          <w:tcPr/>
          <w:p>
            <w:pPr>
              <w:pStyle w:val="Compact"/>
            </w:pPr>
          </w:p>
        </w:tc>
      </w:tr>
      <w:tr>
        <w:tc>
          <w:tcPr>
            <w:gridSpan w:val="2"/>
          </w:tcPr>
          <w:p>
            <w:pPr>
              <w:pStyle w:val="Compact"/>
              <w:jc w:val="left"/>
            </w:pPr>
            <w:r>
              <w:rPr>
                <w:bCs/>
                <w:b/>
              </w:rPr>
              <w:t xml:space="preserve">TOTAL PRODUCT CARBON FOOTPRINT (PCF)</w:t>
            </w:r>
          </w:p>
        </w:tc>
        <w:tc>
          <w:tcPr/>
          <w:p>
            <w:pPr>
              <w:pStyle w:val="Compact"/>
            </w:pPr>
          </w:p>
        </w:tc>
      </w:tr>
    </w:tbl>
    <w:p>
      <w:r>
        <w:pict>
          <v:rect style="width:0;height:1.5pt" o:hralign="center" o:hrstd="t" o:hr="t"/>
        </w:pict>
      </w:r>
    </w:p>
    <w:bookmarkEnd w:id="38"/>
    <w:bookmarkEnd w:id="39"/>
    <w:bookmarkStart w:id="42" w:name="review-report"/>
    <w:p>
      <w:pPr>
        <w:pStyle w:val="Heading2"/>
      </w:pPr>
      <w:r>
        <w:t xml:space="preserve">4. Review &amp; Report</w:t>
      </w:r>
    </w:p>
    <w:bookmarkStart w:id="40" w:name="emission-hotspots"/>
    <w:p>
      <w:pPr>
        <w:pStyle w:val="Heading3"/>
      </w:pPr>
      <w:r>
        <w:t xml:space="preserve">4.1. Emission Hotspots</w:t>
      </w:r>
    </w:p>
    <w:p>
      <w:pPr>
        <w:pStyle w:val="FirstParagraph"/>
      </w:pPr>
      <w:r>
        <w:t xml:space="preserve">Based on the calculations, the primary emission hotspots for gvildfswwz are:</w:t>
      </w:r>
    </w:p>
    <w:p>
      <w:pPr>
        <w:numPr>
          <w:ilvl w:val="0"/>
          <w:numId w:val="1019"/>
        </w:numPr>
        <w:pStyle w:val="Compact"/>
      </w:pPr>
      <w:r>
        <w:rPr>
          <w:bCs/>
          <w:b/>
        </w:rPr>
        <w:t xml:space="preserve">Raw Material Acquisition:</w:t>
      </w:r>
      <w:r>
        <w:t xml:space="preserve"> </w:t>
      </w:r>
      <w:r>
        <w:t xml:space="preserve">This stage, primarily driven by the "Total Carbon" values in the BOM (especially the Lithium-ion Battery and Plastic Casing), represents a significant portion of the overall footprint.</w:t>
      </w:r>
    </w:p>
    <w:p>
      <w:pPr>
        <w:numPr>
          <w:ilvl w:val="0"/>
          <w:numId w:val="1019"/>
        </w:numPr>
        <w:pStyle w:val="Compact"/>
      </w:pPr>
      <w:r>
        <w:rPr>
          <w:bCs/>
          <w:b/>
        </w:rPr>
        <w:t xml:space="preserve">Use Phase:</w:t>
      </w:r>
      <w:r>
        <w:t xml:space="preserve"> </w:t>
      </w:r>
      <w:r>
        <w:t xml:space="preserve">The energy consumption over the product\'s 5-year lifespan contributes substantially, highlighting the importance of energy-efficient design.</w:t>
      </w:r>
    </w:p>
    <w:p>
      <w:pPr>
        <w:numPr>
          <w:ilvl w:val="0"/>
          <w:numId w:val="1019"/>
        </w:numPr>
        <w:pStyle w:val="Compact"/>
      </w:pPr>
      <w:r>
        <w:rPr>
          <w:bCs/>
          <w:b/>
        </w:rPr>
        <w:t xml:space="preserve">Transportation:</w:t>
      </w:r>
      <w:r>
        <w:t xml:space="preserve"> </w:t>
      </w:r>
      <w:r>
        <w:t xml:space="preserve">Long-distance ocean freight from China to Europe and subsequent road distribution contribute considerably to Scope 3 emissions.</w:t>
      </w:r>
    </w:p>
    <w:p>
      <w:pPr>
        <w:numPr>
          <w:ilvl w:val="0"/>
          <w:numId w:val="1019"/>
        </w:numPr>
        <w:pStyle w:val="Compact"/>
      </w:pPr>
      <w:r>
        <w:rPr>
          <w:bCs/>
          <w:b/>
        </w:rPr>
        <w:t xml:space="preserve">End-of-Life:</w:t>
      </w:r>
      <w:r>
        <w:t xml:space="preserve"> </w:t>
      </w:r>
      <w:r>
        <w:t xml:space="preserve">While recycling programs offer significant benefits (represented as negative emissions or credits), the portion of materials sent to landfill still incurs emissions. The effectiveness of circular economy initiatives plays a crucial role in mitigating this impact.</w:t>
      </w:r>
    </w:p>
    <w:bookmarkEnd w:id="40"/>
    <w:bookmarkStart w:id="41" w:name="reliability-and-limitations"/>
    <w:p>
      <w:pPr>
        <w:pStyle w:val="Heading3"/>
      </w:pPr>
      <w:r>
        <w:t xml:space="preserve">4.2. Reliability and Limitations</w:t>
      </w:r>
    </w:p>
    <w:p>
      <w:pPr>
        <w:pStyle w:val="FirstParagraph"/>
      </w:pPr>
      <w:r>
        <w:t xml:space="preserve">The reliability of this PCF analysis is high due to the utilization of specific primary data for the Bill of Materials and energy customization, alongside recognized industry-standard emission factors from reputable sources (IEA, DEFRA, EPA, Climatiq).</w:t>
      </w:r>
    </w:p>
    <w:p>
      <w:pPr>
        <w:pStyle w:val="BodyText"/>
      </w:pPr>
      <w:r>
        <w:t xml:space="preserve">Limitations include:</w:t>
      </w:r>
    </w:p>
    <w:p>
      <w:pPr>
        <w:numPr>
          <w:ilvl w:val="0"/>
          <w:numId w:val="1020"/>
        </w:numPr>
        <w:pStyle w:val="Compact"/>
      </w:pPr>
      <w:r>
        <w:rPr>
          <w:bCs/>
          <w:b/>
        </w:rPr>
        <w:t xml:space="preserve">Assumed Generic Factors:</w:t>
      </w:r>
      <w:r>
        <w:t xml:space="preserve"> </w:t>
      </w:r>
      <w:r>
        <w:t xml:space="preserve">While industry-standard factors are used, specific, product-level primary data for all upstream and downstream processes (e.g., exact factory energy mix for all component suppliers, specific transport vehicle fuel efficiency) were not available and thus relied on average values.</w:t>
      </w:r>
    </w:p>
    <w:p>
      <w:pPr>
        <w:numPr>
          <w:ilvl w:val="0"/>
          <w:numId w:val="1020"/>
        </w:numPr>
        <w:pStyle w:val="Compact"/>
      </w:pPr>
      <w:r>
        <w:rPr>
          <w:bCs/>
          <w:b/>
        </w:rPr>
        <w:t xml:space="preserve">LSR Standard Specificity:</w:t>
      </w:r>
      <w:r>
        <w:t xml:space="preserve"> </w:t>
      </w:r>
      <w:r>
        <w:t xml:space="preserve">For this type of manufactured product, direct land-use change and carbon removal impacts are typically indirect and embedded in material emission factors. A more granular analysis would require detailed land-use data for each raw material\'s origin.</w:t>
      </w:r>
    </w:p>
    <w:p>
      <w:pPr>
        <w:numPr>
          <w:ilvl w:val="0"/>
          <w:numId w:val="1020"/>
        </w:numPr>
        <w:pStyle w:val="Compact"/>
      </w:pPr>
      <w:r>
        <w:rPr>
          <w:bCs/>
          <w:b/>
        </w:rPr>
        <w:t xml:space="preserve">Dynamic Factors:</w:t>
      </w:r>
      <w:r>
        <w:t xml:space="preserve"> </w:t>
      </w:r>
      <w:r>
        <w:t xml:space="preserve">Emission factors, especially for electricity grids, can change rapidly. The factors used represent the most recent available averages, but real-time fluctuations are not captured.</w:t>
      </w:r>
    </w:p>
    <w:p>
      <w:pPr>
        <w:numPr>
          <w:ilvl w:val="0"/>
          <w:numId w:val="1020"/>
        </w:numPr>
        <w:pStyle w:val="Compact"/>
      </w:pPr>
      <w:r>
        <w:rPr>
          <w:bCs/>
          <w:b/>
        </w:rPr>
        <w:t xml:space="preserve">Circularity Assumptions:</w:t>
      </w:r>
      <w:r>
        <w:t xml:space="preserve"> </w:t>
      </w:r>
      <w:r>
        <w:t xml:space="preserve">The avoided emissions credits for recycling are based on established methodologies, but the exact displacement ratios and energy inputs for specific recycling processes can vary.</w:t>
      </w:r>
    </w:p>
    <w:p>
      <w:r>
        <w:pict>
          <v:rect style="width:0;height:1.5pt" o:hralign="center" o:hrstd="t" o:hr="t"/>
        </w:pict>
      </w:r>
    </w:p>
    <w:bookmarkEnd w:id="41"/>
    <w:bookmarkEnd w:id="42"/>
    <w:bookmarkStart w:id="43" w:name="recommendations-for-emission-reduction"/>
    <w:p>
      <w:pPr>
        <w:pStyle w:val="Heading2"/>
      </w:pPr>
      <w:r>
        <w:t xml:space="preserve">5. Recommendations for Emission Reduction</w:t>
      </w:r>
    </w:p>
    <w:p>
      <w:pPr>
        <w:pStyle w:val="FirstParagraph"/>
      </w:pPr>
      <w:r>
        <w:t xml:space="preserve">To reduce the overall carbon footprint of gvildfswwz, vzlhkzfnig should consider the following actions:</w:t>
      </w:r>
    </w:p>
    <w:p>
      <w:pPr>
        <w:numPr>
          <w:ilvl w:val="0"/>
          <w:numId w:val="1021"/>
        </w:numPr>
        <w:pStyle w:val="Compact"/>
      </w:pPr>
      <w:r>
        <w:rPr>
          <w:bCs/>
          <w:b/>
        </w:rPr>
        <w:t xml:space="preserve">Material Optimization:</w:t>
      </w:r>
    </w:p>
    <w:p>
      <w:pPr>
        <w:numPr>
          <w:ilvl w:val="1"/>
          <w:numId w:val="1022"/>
        </w:numPr>
        <w:pStyle w:val="Compact"/>
      </w:pPr>
      <w:r>
        <w:t xml:space="preserve">Explore alternative materials with lower inherent carbon footprints, particularly for the plastic casing and battery components.</w:t>
      </w:r>
    </w:p>
    <w:p>
      <w:pPr>
        <w:numPr>
          <w:ilvl w:val="1"/>
          <w:numId w:val="1022"/>
        </w:numPr>
        <w:pStyle w:val="Compact"/>
      </w:pPr>
      <w:r>
        <w:t xml:space="preserve">Increase the recycled content of materials where feasible, ensuring traceability and quality.</w:t>
      </w:r>
    </w:p>
    <w:p>
      <w:pPr>
        <w:numPr>
          <w:ilvl w:val="0"/>
          <w:numId w:val="1021"/>
        </w:numPr>
        <w:pStyle w:val="Compact"/>
      </w:pPr>
      <w:r>
        <w:rPr>
          <w:bCs/>
          <w:b/>
        </w:rPr>
        <w:t xml:space="preserve">Supply Chain Decarbonization:</w:t>
      </w:r>
    </w:p>
    <w:p>
      <w:pPr>
        <w:numPr>
          <w:ilvl w:val="1"/>
          <w:numId w:val="1023"/>
        </w:numPr>
        <w:pStyle w:val="Compact"/>
      </w:pPr>
      <w:r>
        <w:t xml:space="preserve">Engage with suppliers to encourage the adoption of renewable energy in their manufacturing processes.</w:t>
      </w:r>
    </w:p>
    <w:p>
      <w:pPr>
        <w:numPr>
          <w:ilvl w:val="1"/>
          <w:numId w:val="1023"/>
        </w:numPr>
        <w:pStyle w:val="Compact"/>
      </w:pPr>
      <w:r>
        <w:t xml:space="preserve">Optimize transportation routes and modes, prioritizing lower-emission options like rail or electric vehicles for road freight where infrastructure allows.</w:t>
      </w:r>
    </w:p>
    <w:p>
      <w:pPr>
        <w:numPr>
          <w:ilvl w:val="1"/>
          <w:numId w:val="1023"/>
        </w:numPr>
        <w:pStyle w:val="Compact"/>
      </w:pPr>
      <w:r>
        <w:t xml:space="preserve">Consolidate shipments to improve load factors and reduce per-unit transport emissions.</w:t>
      </w:r>
    </w:p>
    <w:p>
      <w:pPr>
        <w:numPr>
          <w:ilvl w:val="0"/>
          <w:numId w:val="1021"/>
        </w:numPr>
        <w:pStyle w:val="Compact"/>
      </w:pPr>
      <w:r>
        <w:rPr>
          <w:bCs/>
          <w:b/>
        </w:rPr>
        <w:t xml:space="preserve">Energy Efficiency in Production:</w:t>
      </w:r>
    </w:p>
    <w:p>
      <w:pPr>
        <w:numPr>
          <w:ilvl w:val="1"/>
          <w:numId w:val="1024"/>
        </w:numPr>
        <w:pStyle w:val="Compact"/>
      </w:pPr>
      <w:r>
        <w:t xml:space="preserve">Further increase renewable energy procurement or on-site generation at the manufacturing facility in China.</w:t>
      </w:r>
    </w:p>
    <w:p>
      <w:pPr>
        <w:numPr>
          <w:ilvl w:val="1"/>
          <w:numId w:val="1024"/>
        </w:numPr>
        <w:pStyle w:val="Compact"/>
      </w:pPr>
      <w:r>
        <w:t xml:space="preserve">Implement energy-saving technologies and practices in the production process to reduce overall energy intensity.</w:t>
      </w:r>
    </w:p>
    <w:p>
      <w:pPr>
        <w:numPr>
          <w:ilvl w:val="0"/>
          <w:numId w:val="1021"/>
        </w:numPr>
        <w:pStyle w:val="Compact"/>
      </w:pPr>
      <w:r>
        <w:rPr>
          <w:bCs/>
          <w:b/>
        </w:rPr>
        <w:t xml:space="preserve">Product Design for Longevity &amp; Efficiency:</w:t>
      </w:r>
    </w:p>
    <w:p>
      <w:pPr>
        <w:numPr>
          <w:ilvl w:val="1"/>
          <w:numId w:val="1025"/>
        </w:numPr>
        <w:pStyle w:val="Compact"/>
      </w:pPr>
      <w:r>
        <w:t xml:space="preserve">Enhance product durability to extend the lifespan, thereby amortizing manufacturing emissions over a longer period.</w:t>
      </w:r>
    </w:p>
    <w:p>
      <w:pPr>
        <w:numPr>
          <w:ilvl w:val="1"/>
          <w:numId w:val="1025"/>
        </w:numPr>
        <w:pStyle w:val="Compact"/>
      </w:pPr>
      <w:r>
        <w:t xml:space="preserve">Improve the energy efficiency of the product during its use phase to reduce downstream electricity consumption.</w:t>
      </w:r>
    </w:p>
    <w:p>
      <w:pPr>
        <w:numPr>
          <w:ilvl w:val="0"/>
          <w:numId w:val="1021"/>
        </w:numPr>
        <w:pStyle w:val="Compact"/>
      </w:pPr>
      <w:r>
        <w:rPr>
          <w:bCs/>
          <w:b/>
        </w:rPr>
        <w:t xml:space="preserve">Strengthen Circularity:</w:t>
      </w:r>
    </w:p>
    <w:p>
      <w:pPr>
        <w:numPr>
          <w:ilvl w:val="1"/>
          <w:numId w:val="1026"/>
        </w:numPr>
        <w:pStyle w:val="Compact"/>
      </w:pPr>
      <w:r>
        <w:t xml:space="preserve">Expand and promote take-back programs beyond just batteries and electronics to other components, ensuring high-quality recycling and material recovery.</w:t>
      </w:r>
    </w:p>
    <w:p>
      <w:pPr>
        <w:numPr>
          <w:ilvl w:val="1"/>
          <w:numId w:val="1026"/>
        </w:numPr>
        <w:pStyle w:val="Compact"/>
      </w:pPr>
      <w:r>
        <w:t xml:space="preserve">Design products for easier disassembly and material separation at end-of-life to maximize recycling efficiency.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gvildfswwz</dc:title>
  <dc:creator/>
  <dc:description>Detailed Product Carbon Footprint (PCF) analysis report for gvildfswwz by vzlhkzfnig, prepared by Senior Sustainability Consultant zxqidrplwv, adhering to GHG Protocol and 2026 LSR Update.</dc:description>
  <dc:language>en</dc:language>
  <cp:keywords/>
  <dcterms:created xsi:type="dcterms:W3CDTF">2026-07-15T02:07:25Z</dcterms:created>
  <dcterms:modified xsi:type="dcterms:W3CDTF">2026-07-15T02:07:25Z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