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grtlzzwzzj</w:t>
      </w:r>
      <w:r>
        <w:t xml:space="preserve"> </w:t>
      </w:r>
      <w:r>
        <w:t xml:space="preserve">(Smart</w:t>
      </w:r>
      <w:r>
        <w:t xml:space="preserve"> </w:t>
      </w:r>
      <w:r>
        <w:t xml:space="preserve">Home</w:t>
      </w:r>
      <w:r>
        <w:t xml:space="preserve"> </w:t>
      </w:r>
      <w:r>
        <w:t xml:space="preserve">Device)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grtlzzwzzj (Smart Home Device)**</w:t>
      </w:r>
    </w:p>
    <w:p>
      <w:pPr>
        <w:pStyle w:val="BodyText"/>
      </w:pPr>
      <w:r>
        <w:t xml:space="preserve">**Company: oztnyyfumz**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tvzpiwouws</w:t>
      </w:r>
    </w:p>
    <w:p>
      <w:pPr>
        <w:pStyle w:val="BodyText"/>
      </w:pPr>
      <w:r>
        <w:t xml:space="preserve">This report is generated based on available data and industry standards. The calculations are illustrative where specific input data was provided as a placeholder.</w:t>
      </w:r>
    </w:p>
    <w:bookmarkEnd w:id="20"/>
    <w:p>
      <w:pPr>
        <w:pStyle w:val="BodyText"/>
      </w:pPr>
      <w:r>
        <w:t xml:space="preserve">Carbon Footprint Report for grtlzzwzzj | Generated Date: May 20, 2026</w:t>
      </w:r>
    </w:p>
    <w:p>
      <w:pPr>
        <w:pStyle w:val="BodyText"/>
      </w:pPr>
      <w:r>
        <w:t xml:space="preserve">Confidential - Internal Use Only |</w:t>
      </w:r>
      <w:r>
        <w:t xml:space="preserve"> </w:t>
      </w:r>
    </w:p>
    <w:bookmarkStart w:id="45"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grtlzzwzzj</w:t>
      </w:r>
      <w:r>
        <w:t xml:space="preserve">, a Smart Home Device, manufactured by</w:t>
      </w:r>
      <w:r>
        <w:t xml:space="preserve"> </w:t>
      </w:r>
      <w:r>
        <w:rPr>
          <w:bCs/>
          <w:b/>
        </w:rPr>
        <w:t xml:space="preserve">oztnyyfumz</w:t>
      </w:r>
      <w:r>
        <w:t xml:space="preserve">. The analysis was performed by Senior Sustainability Consultant</w:t>
      </w:r>
      <w:r>
        <w:t xml:space="preserve"> </w:t>
      </w:r>
      <w:r>
        <w:rPr>
          <w:bCs/>
          <w:b/>
        </w:rPr>
        <w:t xml:space="preserve">tvzpiwouws</w:t>
      </w:r>
      <w:r>
        <w:t xml:space="preserve">, specializing in GHG Protocol. The assessment adheres to the GHG Protocol\'s Corporate Value Chain (Scope 3) Accounting and Reporting Standard, incorporating proposed 2026 updates including the 95% Scope 3 coverage rule and the Land Sector and Removals (LSR) Standard where applicable.</w:t>
      </w:r>
    </w:p>
    <w:p>
      <w:pPr>
        <w:pStyle w:val="BodyText"/>
      </w:pPr>
      <w:r>
        <w:t xml:space="preserve">The PCF quantifies the total greenhouse gas emissions associated with the product\'s lifecycle, from raw material extraction through manufacturing, transportation, use, and end-of-life. For this analysis, specific parameters for Bill of Materials, energy usage, transport, product lifespan, and end-of-life scenarios were incorporated. Due to the placeholder nature of some input parameters (e.g., `qxfotllk`, `kwdxrhvyzr`), illustrative yet representative data has been used to demonstrate the methodology and calculation process comprehensively. The total estimated Product Carbon Footprint for one functional unit of grtlzzwzzj is</w:t>
      </w:r>
      <w:r>
        <w:t xml:space="preserve"> </w:t>
      </w:r>
      <w:r>
        <w:rPr>
          <w:bCs/>
          <w:b/>
        </w:rPr>
        <w:t xml:space="preserve">20.10 kgCO2e</w:t>
      </w:r>
      <w:r>
        <w:t xml:space="preserve">.</w:t>
      </w:r>
    </w:p>
    <w:p>
      <w:r>
        <w:pict>
          <v:rect style="width:0;height:1.5pt" o:hralign="center" o:hrstd="t" o:hr="t"/>
        </w:pict>
      </w:r>
    </w:p>
    <w:bookmarkStart w:id="21" w:name="introduction"/>
    <w:p>
      <w:pPr>
        <w:pStyle w:val="Heading2"/>
      </w:pPr>
      <w:r>
        <w:t xml:space="preserve">1. Introduction</w:t>
      </w:r>
    </w:p>
    <w:p>
      <w:pPr>
        <w:pStyle w:val="FirstParagraph"/>
      </w:pPr>
      <w:r>
        <w:t xml:space="preserve">The increasing global focus on climate change necessitates a clear understanding of product-level environmental impacts. A Product Carbon Footprint (PCF) provides a transparent, quantifiable measure of a product\'s contribution to greenhouse gas (GHG) emissions across its entire lifecycle. This report outlines the PCF for oztnyyfumz\'s product, grtlzzwzzj, using a robust methodology aligned with international best practices.</w:t>
      </w:r>
    </w:p>
    <w:bookmarkEnd w:id="21"/>
    <w:bookmarkStart w:id="30" w:name="methodology"/>
    <w:p>
      <w:pPr>
        <w:pStyle w:val="Heading2"/>
      </w:pPr>
      <w:r>
        <w:t xml:space="preserve">2. Methodology</w:t>
      </w:r>
    </w:p>
    <w:p>
      <w:pPr>
        <w:pStyle w:val="FirstParagraph"/>
      </w:pPr>
      <w:r>
        <w:t xml:space="preserve">The PCF analysis follows the five-step methodology as prescribed by leading standards, adapted for high detail and incorporating the latest GHG Protocol updates.</w:t>
      </w:r>
    </w:p>
    <w:bookmarkStart w:id="22"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analysis is based on one (1.0) unit of grtlzzwzzj (Smart Home Device).</w:t>
      </w:r>
    </w:p>
    <w:p>
      <w:pPr>
        <w:numPr>
          <w:ilvl w:val="0"/>
          <w:numId w:val="1001"/>
        </w:numPr>
        <w:pStyle w:val="Compact"/>
      </w:pPr>
      <w:r>
        <w:rPr>
          <w:bCs/>
          <w:b/>
        </w:rPr>
        <w:t xml:space="preserve">System Boundary:</w:t>
      </w:r>
      <w:r>
        <w:t xml:space="preserve"> </w:t>
      </w:r>
      <w:r>
        <w:t xml:space="preserve">A "cradle-to-gate with modules D" approach has been adopted, extending from raw material acquisition ("cradle") to the "factory_gate" (including manufacturing), followed by distribution, use, and end-of-life (representing modules C &amp; D, often considered \'beyond the gate\' activities).</w:t>
      </w:r>
    </w:p>
    <w:p>
      <w:pPr>
        <w:numPr>
          <w:ilvl w:val="0"/>
          <w:numId w:val="1001"/>
        </w:numPr>
        <w:pStyle w:val="Compact"/>
      </w:pPr>
      <w:r>
        <w:rPr>
          <w:bCs/>
          <w:b/>
        </w:rPr>
        <w:t xml:space="preserve">Geographic Scope:</w:t>
      </w:r>
      <w:r>
        <w:t xml:space="preserve"> </w:t>
      </w:r>
      <w:r>
        <w:t xml:space="preserve">Final production occurs in China, with a supply chain focus on Europe for downstream distribution and use phase assumptions.</w:t>
      </w:r>
    </w:p>
    <w:p>
      <w:pPr>
        <w:numPr>
          <w:ilvl w:val="0"/>
          <w:numId w:val="1001"/>
        </w:numPr>
        <w:pStyle w:val="Compact"/>
      </w:pPr>
      <w:r>
        <w:rPr>
          <w:bCs/>
          <w:b/>
        </w:rPr>
        <w:t xml:space="preserve">Accounting Standard:</w:t>
      </w:r>
      <w:r>
        <w:t xml:space="preserve"> </w:t>
      </w:r>
      <w:r>
        <w:t xml:space="preserve">The assessment strictly adheres to the GHG Protocol\'s Corporate Standard and the Corporate Value Chain (Scope 3) Accounting and Reporting Standard.</w:t>
      </w:r>
    </w:p>
    <w:p>
      <w:pPr>
        <w:numPr>
          <w:ilvl w:val="0"/>
          <w:numId w:val="1001"/>
        </w:numPr>
        <w:pStyle w:val="Compact"/>
      </w:pPr>
      <w:r>
        <w:rPr>
          <w:bCs/>
          <w:b/>
        </w:rPr>
        <w:t xml:space="preserve">Allocation:</w:t>
      </w:r>
      <w:r>
        <w:t xml:space="preserve"> </w:t>
      </w:r>
      <w:r>
        <w:t xml:space="preserve">Emissions are allocated based on mass for material inputs and direct energy consumption. Shared services or infrastructure emissions are allocated proportionally where specific data is unavailable.</w:t>
      </w:r>
    </w:p>
    <w:bookmarkEnd w:id="22"/>
    <w:bookmarkStart w:id="23" w:name="Xef2cad8b6715bfd9664e6ec6d96ac44c4a46fb4"/>
    <w:p>
      <w:pPr>
        <w:pStyle w:val="Heading3"/>
      </w:pPr>
      <w:r>
        <w:t xml:space="preserve">2.2. Step 2: Map Lifecycle (LCI Inventory Stages)</w:t>
      </w:r>
    </w:p>
    <w:p>
      <w:pPr>
        <w:pStyle w:val="FirstParagraph"/>
      </w:pPr>
      <w:r>
        <w:t xml:space="preserve">The lifecycle of the grtlzzwzzj product is mapped across the following stages, categorized by GHG Protocol Scopes:</w:t>
      </w:r>
    </w:p>
    <w:p>
      <w:pPr>
        <w:numPr>
          <w:ilvl w:val="0"/>
          <w:numId w:val="1002"/>
        </w:numPr>
        <w:pStyle w:val="Compact"/>
      </w:pPr>
      <w:r>
        <w:rPr>
          <w:bCs/>
          <w:b/>
        </w:rPr>
        <w:t xml:space="preserve">Scope 3 - Upstream (Category 1: Purchased Goods and Services):</w:t>
      </w:r>
    </w:p>
    <w:p>
      <w:pPr>
        <w:numPr>
          <w:ilvl w:val="1"/>
          <w:numId w:val="1003"/>
        </w:numPr>
        <w:pStyle w:val="Compact"/>
      </w:pPr>
      <w:r>
        <w:rPr>
          <w:bCs/>
          <w:b/>
        </w:rPr>
        <w:t xml:space="preserve">Raw Material Acquisition &amp; Pre-processing:</w:t>
      </w:r>
      <w:r>
        <w:t xml:space="preserve"> </w:t>
      </w:r>
      <w:r>
        <w:t xml:space="preserve">Emissions associated with the extraction, processing, and refining of all materials listed in the Detailed Bill of Materials (BOM).</w:t>
      </w:r>
    </w:p>
    <w:p>
      <w:pPr>
        <w:numPr>
          <w:ilvl w:val="0"/>
          <w:numId w:val="1002"/>
        </w:numPr>
        <w:pStyle w:val="Compact"/>
      </w:pPr>
      <w:r>
        <w:rPr>
          <w:bCs/>
          <w:b/>
        </w:rPr>
        <w:t xml:space="preserve">Scope 2 (Category 3: Fuel- and Energy-Related Activities (not included in Scope 1 or Scope 2)):</w:t>
      </w:r>
    </w:p>
    <w:p>
      <w:pPr>
        <w:numPr>
          <w:ilvl w:val="1"/>
          <w:numId w:val="1004"/>
        </w:numPr>
        <w:pStyle w:val="Compact"/>
      </w:pPr>
      <w:r>
        <w:rPr>
          <w:bCs/>
          <w:b/>
        </w:rPr>
        <w:t xml:space="preserve">Manufacturing/Production:</w:t>
      </w:r>
      <w:r>
        <w:t xml:space="preserve"> </w:t>
      </w:r>
      <w:r>
        <w:t xml:space="preserve">Emissions from purchased electricity consumed during the assembly and manufacturing of the product at the facility in China.</w:t>
      </w:r>
    </w:p>
    <w:p>
      <w:pPr>
        <w:numPr>
          <w:ilvl w:val="0"/>
          <w:numId w:val="1002"/>
        </w:numPr>
        <w:pStyle w:val="Compact"/>
      </w:pPr>
      <w:r>
        <w:rPr>
          <w:bCs/>
          <w:b/>
        </w:rPr>
        <w:t xml:space="preserve">Scope 3 - Upstream &amp; Downstream (Category 4: Upstream Transportation &amp; Distribution, Category 9: Downstream Transportation &amp; Distribution):</w:t>
      </w:r>
    </w:p>
    <w:p>
      <w:pPr>
        <w:numPr>
          <w:ilvl w:val="1"/>
          <w:numId w:val="1005"/>
        </w:numPr>
        <w:pStyle w:val="Compact"/>
      </w:pPr>
      <w:r>
        <w:rPr>
          <w:bCs/>
          <w:b/>
        </w:rPr>
        <w:t xml:space="preserve">Transport to Factory:</w:t>
      </w:r>
      <w:r>
        <w:t xml:space="preserve"> </w:t>
      </w:r>
      <w:r>
        <w:t xml:space="preserve">Transport of raw materials to the manufacturing facility. (Assumed negligible for high-value components already incorporated into BOM factors, focus on outbound transport).</w:t>
      </w:r>
    </w:p>
    <w:p>
      <w:pPr>
        <w:numPr>
          <w:ilvl w:val="1"/>
          <w:numId w:val="1005"/>
        </w:numPr>
        <w:pStyle w:val="Compact"/>
      </w:pPr>
      <w:r>
        <w:rPr>
          <w:bCs/>
          <w:b/>
        </w:rPr>
        <w:t xml:space="preserve">Outbound Logistics:</w:t>
      </w:r>
      <w:r>
        <w:t xml:space="preserve"> </w:t>
      </w:r>
      <w:r>
        <w:t xml:space="preserve">Transportation of the finished product from the factory gate in China to distribution centers and eventually to the customer in Europe.</w:t>
      </w:r>
    </w:p>
    <w:p>
      <w:pPr>
        <w:numPr>
          <w:ilvl w:val="0"/>
          <w:numId w:val="1002"/>
        </w:numPr>
        <w:pStyle w:val="Compact"/>
      </w:pPr>
      <w:r>
        <w:rPr>
          <w:bCs/>
          <w:b/>
        </w:rPr>
        <w:t xml:space="preserve">Scope 3 - Downstream (Category 11: Use of Sold Products):</w:t>
      </w:r>
    </w:p>
    <w:p>
      <w:pPr>
        <w:numPr>
          <w:ilvl w:val="1"/>
          <w:numId w:val="1006"/>
        </w:numPr>
        <w:pStyle w:val="Compact"/>
      </w:pPr>
      <w:r>
        <w:rPr>
          <w:bCs/>
          <w:b/>
        </w:rPr>
        <w:t xml:space="preserve">Use Phase:</w:t>
      </w:r>
      <w:r>
        <w:t xml:space="preserve"> </w:t>
      </w:r>
      <w:r>
        <w:t xml:space="preserve">Energy consumption by the product during its expected lifespan by the end-user.</w:t>
      </w:r>
    </w:p>
    <w:p>
      <w:pPr>
        <w:numPr>
          <w:ilvl w:val="0"/>
          <w:numId w:val="1002"/>
        </w:numPr>
        <w:pStyle w:val="Compact"/>
      </w:pPr>
      <w:r>
        <w:rPr>
          <w:bCs/>
          <w:b/>
        </w:rPr>
        <w:t xml:space="preserve">Scope 3 - Downstream (Category 12: End-of-Life Treatment of Sold Products):</w:t>
      </w:r>
    </w:p>
    <w:p>
      <w:pPr>
        <w:numPr>
          <w:ilvl w:val="1"/>
          <w:numId w:val="1007"/>
        </w:numPr>
        <w:pStyle w:val="Compact"/>
      </w:pPr>
      <w:r>
        <w:rPr>
          <w:bCs/>
          <w:b/>
        </w:rPr>
        <w:t xml:space="preserve">End-of-Life (EoL):</w:t>
      </w:r>
      <w:r>
        <w:t xml:space="preserve"> </w:t>
      </w:r>
      <w:r>
        <w:t xml:space="preserve">Emissions associated with the disposal and recycling of the product at the end of its useful life.</w:t>
      </w:r>
    </w:p>
    <w:p>
      <w:pPr>
        <w:pStyle w:val="FirstParagraph"/>
      </w:pPr>
      <w:r>
        <w:rPr>
          <w:bCs/>
          <w:b/>
        </w:rPr>
        <w:t xml:space="preserve">2026 LSR Update:</w:t>
      </w:r>
      <w:r>
        <w:t xml:space="preserve"> </w:t>
      </w:r>
      <w:r>
        <w:t xml:space="preserve">The GHG Protocol\'s Land Sector and Removals (LSR) Standard, effective January 1, 2027, has been considered. While this version of the LSR Standard primarily covers emissions from agricultural production and land use change, and not forestry, its principles regarding biogenic carbon and removals are acknowledged. For a Smart Home Device, direct land sector impacts are typically minimal unless specific raw materials have significant land-use footprints (e.g., bio-based plastics where the biomass origin is explicitly tracked). For this specific product PCF, no direct LSR calculations are performed, but the framework is recognized for future comprehensive corporate reporting.</w:t>
      </w:r>
    </w:p>
    <w:bookmarkEnd w:id="23"/>
    <w:bookmarkStart w:id="29" w:name="X46460218b75090116924b5e02e281dcf8597f63"/>
    <w:p>
      <w:pPr>
        <w:pStyle w:val="Heading3"/>
      </w:pPr>
      <w:r>
        <w:t xml:space="preserve">2.3. Step 3: Collect Data (Primary/Secondary Data Points)</w:t>
      </w:r>
    </w:p>
    <w:p>
      <w:pPr>
        <w:pStyle w:val="FirstParagraph"/>
      </w:pPr>
      <w:r>
        <w:t xml:space="preserve">Data collection prioritized primary data provided, supplemented by industry-standard secondary emission factors (e.g., from Ecoinvent/DEFRA equivalents) where primary data was unavailable or for generic processes.</w:t>
      </w:r>
    </w:p>
    <w:bookmarkStart w:id="24" w:name="X53d36137a9205936b5b864701cf6cafa7bbed5c"/>
    <w:p>
      <w:pPr>
        <w:pStyle w:val="Heading4"/>
      </w:pPr>
      <w:r>
        <w:t xml:space="preserve">3.3.1. Detailed Bill of Materials (BOM) - grtlzzwzzj (Smart Home Device)</w:t>
      </w:r>
    </w:p>
    <w:p>
      <w:pPr>
        <w:pStyle w:val="FirstParagraph"/>
      </w:pPr>
      <w:r>
        <w:t xml:space="preserve">The provided Detailed Bill of Materials (BOM) placeholder `qxfotllk` required the generation of illustrative data adhering to the specified format (ID, Description, Category, Process, Qty, Unit, Emission Factor, Total Carbon). The following table presents the assumed BOM for grtlzzwzzj:</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0.525</w:t>
            </w:r>
          </w:p>
        </w:tc>
      </w:tr>
      <w:tr>
        <w:tc>
          <w:tcPr/>
          <w:p>
            <w:pPr>
              <w:pStyle w:val="Compact"/>
              <w:jc w:val="left"/>
            </w:pPr>
            <w:r>
              <w:t xml:space="preserve">E001</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0.750</w:t>
            </w:r>
          </w:p>
        </w:tc>
      </w:tr>
      <w:tr>
        <w:tc>
          <w:tcPr/>
          <w:p>
            <w:pPr>
              <w:pStyle w:val="Compact"/>
              <w:jc w:val="left"/>
            </w:pPr>
            <w:r>
              <w:t xml:space="preserve">M002</w:t>
            </w:r>
          </w:p>
        </w:tc>
        <w:tc>
          <w:tcPr/>
          <w:p>
            <w:pPr>
              <w:pStyle w:val="Compact"/>
              <w:jc w:val="left"/>
            </w:pPr>
            <w:r>
              <w:t xml:space="preserve">Aluminum Heatsink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0.160</w:t>
            </w:r>
          </w:p>
        </w:tc>
      </w:tr>
      <w:tr>
        <w:tc>
          <w:tcPr/>
          <w:p>
            <w:pPr>
              <w:pStyle w:val="Compact"/>
              <w:jc w:val="left"/>
            </w:pPr>
            <w:r>
              <w:t xml:space="preserve">P001</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0.360</w:t>
            </w:r>
          </w:p>
        </w:tc>
      </w:tr>
      <w:tr>
        <w:tc>
          <w:tcPr/>
          <w:p>
            <w:pPr>
              <w:pStyle w:val="Compact"/>
              <w:jc w:val="left"/>
            </w:pPr>
            <w:r>
              <w:t xml:space="preserve">PK001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0.080</w:t>
            </w:r>
          </w:p>
        </w:tc>
      </w:tr>
      <w:tr>
        <w:tc>
          <w:tcPr>
            <w:gridSpan w:val="7"/>
          </w:tcPr>
          <w:p>
            <w:pPr>
              <w:pStyle w:val="Compact"/>
              <w:jc w:val="right"/>
            </w:pPr>
            <w:r>
              <w:t xml:space="preserve">Total Product Mass:</w:t>
            </w:r>
          </w:p>
        </w:tc>
        <w:tc>
          <w:tcPr/>
          <w:p>
            <w:pPr>
              <w:pStyle w:val="Compact"/>
              <w:jc w:val="left"/>
            </w:pPr>
            <w:r>
              <w:rPr>
                <w:bCs/>
                <w:b/>
              </w:rPr>
              <w:t xml:space="preserve">0.33 kg</w:t>
            </w:r>
          </w:p>
        </w:tc>
      </w:tr>
      <w:tr>
        <w:tc>
          <w:tcPr>
            <w:gridSpan w:val="7"/>
          </w:tcPr>
          <w:p>
            <w:pPr>
              <w:pStyle w:val="Compact"/>
              <w:jc w:val="right"/>
            </w:pPr>
            <w:r>
              <w:t xml:space="preserve">Total Material Emissions:</w:t>
            </w:r>
          </w:p>
        </w:tc>
        <w:tc>
          <w:tcPr/>
          <w:p>
            <w:pPr>
              <w:pStyle w:val="Compact"/>
              <w:jc w:val="left"/>
            </w:pPr>
            <w:r>
              <w:rPr>
                <w:bCs/>
                <w:b/>
              </w:rPr>
              <w:t xml:space="preserve">1.875 kgCO2e</w:t>
            </w:r>
          </w:p>
        </w:tc>
      </w:tr>
    </w:tbl>
    <w:bookmarkEnd w:id="24"/>
    <w:bookmarkStart w:id="25" w:name="energy-inputs-production-phase"/>
    <w:p>
      <w:pPr>
        <w:pStyle w:val="Heading4"/>
      </w:pPr>
      <w:r>
        <w:t xml:space="preserve">3.3.2. Energy Inputs (Production Phase)</w:t>
      </w:r>
    </w:p>
    <w:p>
      <w:pPr>
        <w:numPr>
          <w:ilvl w:val="0"/>
          <w:numId w:val="1008"/>
        </w:numPr>
        <w:pStyle w:val="Compact"/>
      </w:pPr>
      <w:r>
        <w:rPr>
          <w:bCs/>
          <w:b/>
        </w:rPr>
        <w:t xml:space="preserve">Renewable Energy Usage (`nvikmfjqkm`):</w:t>
      </w:r>
      <w:r>
        <w:t xml:space="preserve"> </w:t>
      </w:r>
      <w:r>
        <w:t xml:space="preserve">70% (Illustrative)</w:t>
      </w:r>
    </w:p>
    <w:p>
      <w:pPr>
        <w:numPr>
          <w:ilvl w:val="0"/>
          <w:numId w:val="1008"/>
        </w:numPr>
        <w:pStyle w:val="Compact"/>
      </w:pPr>
      <w:r>
        <w:rPr>
          <w:bCs/>
          <w:b/>
        </w:rPr>
        <w:t xml:space="preserve">Energy Intensity (`nzumijulkg`):</w:t>
      </w:r>
      <w:r>
        <w:t xml:space="preserve"> </w:t>
      </w:r>
      <w:r>
        <w:t xml:space="preserve">50 kWh/unit (Illustrative)</w:t>
      </w:r>
    </w:p>
    <w:p>
      <w:pPr>
        <w:numPr>
          <w:ilvl w:val="0"/>
          <w:numId w:val="1008"/>
        </w:numPr>
        <w:pStyle w:val="Compact"/>
      </w:pPr>
      <w:r>
        <w:rPr>
          <w:bCs/>
          <w:b/>
        </w:rPr>
        <w:t xml:space="preserve">China Grid Electricity Emission Factor (2023):</w:t>
      </w:r>
      <w:r>
        <w:t xml:space="preserve"> </w:t>
      </w:r>
      <w:r>
        <w:t xml:space="preserve">0.6205 kgCO2e/kWh (national average)</w:t>
      </w:r>
    </w:p>
    <w:bookmarkEnd w:id="25"/>
    <w:bookmarkStart w:id="26" w:name="logistics-data"/>
    <w:p>
      <w:pPr>
        <w:pStyle w:val="Heading4"/>
      </w:pPr>
      <w:r>
        <w:t xml:space="preserve">3.3.3. Logistics Data</w:t>
      </w:r>
    </w:p>
    <w:p>
      <w:pPr>
        <w:numPr>
          <w:ilvl w:val="0"/>
          <w:numId w:val="1009"/>
        </w:numPr>
        <w:pStyle w:val="Compact"/>
      </w:pPr>
      <w:r>
        <w:rPr>
          <w:bCs/>
          <w:b/>
        </w:rPr>
        <w:t xml:space="preserve">Main Transport Mode (`Select Mode`):</w:t>
      </w:r>
      <w:r>
        <w:t xml:space="preserve"> </w:t>
      </w:r>
      <w:r>
        <w:t xml:space="preserve">Ocean Freight (Illustrative)</w:t>
      </w:r>
    </w:p>
    <w:p>
      <w:pPr>
        <w:numPr>
          <w:ilvl w:val="0"/>
          <w:numId w:val="1009"/>
        </w:numPr>
        <w:pStyle w:val="Compact"/>
      </w:pPr>
      <w:r>
        <w:rPr>
          <w:bCs/>
          <w:b/>
        </w:rPr>
        <w:t xml:space="preserve">Main Transport Distance (`kwdxrhvyzr`):</w:t>
      </w:r>
      <w:r>
        <w:t xml:space="preserve"> </w:t>
      </w:r>
      <w:r>
        <w:t xml:space="preserve">10,000 km (Illustrative, China to Europe)</w:t>
      </w:r>
    </w:p>
    <w:p>
      <w:pPr>
        <w:numPr>
          <w:ilvl w:val="0"/>
          <w:numId w:val="1009"/>
        </w:numPr>
        <w:pStyle w:val="Compact"/>
      </w:pPr>
      <w:r>
        <w:rPr>
          <w:bCs/>
          <w:b/>
        </w:rPr>
        <w:t xml:space="preserve">Ocean Freight Emission Factor:</w:t>
      </w:r>
      <w:r>
        <w:t xml:space="preserve"> </w:t>
      </w:r>
      <w:r>
        <w:t xml:space="preserve">0.016 kgCO2e/tonne-km (container ship average)</w:t>
      </w:r>
    </w:p>
    <w:p>
      <w:pPr>
        <w:numPr>
          <w:ilvl w:val="0"/>
          <w:numId w:val="1009"/>
        </w:numPr>
        <w:pStyle w:val="Compact"/>
      </w:pPr>
      <w:r>
        <w:rPr>
          <w:bCs/>
          <w:b/>
        </w:rPr>
        <w:t xml:space="preserve">Last-Mile Delivery Channel (`Delivery Type`):</w:t>
      </w:r>
      <w:r>
        <w:t xml:space="preserve"> </w:t>
      </w:r>
      <w:r>
        <w:t xml:space="preserve">Parcel Carrier (Road) (Illustrative)</w:t>
      </w:r>
    </w:p>
    <w:p>
      <w:pPr>
        <w:numPr>
          <w:ilvl w:val="0"/>
          <w:numId w:val="1009"/>
        </w:numPr>
        <w:pStyle w:val="Compact"/>
      </w:pPr>
      <w:r>
        <w:rPr>
          <w:bCs/>
          <w:b/>
        </w:rPr>
        <w:t xml:space="preserve">Last-Mile Distance:</w:t>
      </w:r>
      <w:r>
        <w:t xml:space="preserve"> </w:t>
      </w:r>
      <w:r>
        <w:t xml:space="preserve">500 km (Illustrative, within Europe)</w:t>
      </w:r>
    </w:p>
    <w:p>
      <w:pPr>
        <w:numPr>
          <w:ilvl w:val="0"/>
          <w:numId w:val="1009"/>
        </w:numPr>
        <w:pStyle w:val="Compact"/>
      </w:pPr>
      <w:r>
        <w:rPr>
          <w:bCs/>
          <w:b/>
        </w:rPr>
        <w:t xml:space="preserve">Road Freight Emission Factor (HGV):</w:t>
      </w:r>
      <w:r>
        <w:t xml:space="preserve"> </w:t>
      </w:r>
      <w:r>
        <w:t xml:space="preserve">0.09 kgCO2e/tonne-km</w:t>
      </w:r>
    </w:p>
    <w:bookmarkEnd w:id="26"/>
    <w:bookmarkStart w:id="27" w:name="use-phase-data"/>
    <w:p>
      <w:pPr>
        <w:pStyle w:val="Heading4"/>
      </w:pPr>
      <w:r>
        <w:t xml:space="preserve">3.3.4. Use Phase Data</w:t>
      </w:r>
    </w:p>
    <w:p>
      <w:pPr>
        <w:numPr>
          <w:ilvl w:val="0"/>
          <w:numId w:val="1010"/>
        </w:numPr>
        <w:pStyle w:val="Compact"/>
      </w:pPr>
      <w:r>
        <w:rPr>
          <w:bCs/>
          <w:b/>
        </w:rPr>
        <w:t xml:space="preserve">Product Lifespan (`fxjyllpnih`):</w:t>
      </w:r>
      <w:r>
        <w:t xml:space="preserve"> </w:t>
      </w:r>
      <w:r>
        <w:t xml:space="preserve">5 years (Illustrative)</w:t>
      </w:r>
    </w:p>
    <w:p>
      <w:pPr>
        <w:numPr>
          <w:ilvl w:val="0"/>
          <w:numId w:val="1010"/>
        </w:numPr>
        <w:pStyle w:val="Compact"/>
      </w:pPr>
      <w:r>
        <w:rPr>
          <w:bCs/>
          <w:b/>
        </w:rPr>
        <w:t xml:space="preserve">Energy Consumption in Use (`egropejsmm`):</w:t>
      </w:r>
      <w:r>
        <w:t xml:space="preserve"> </w:t>
      </w:r>
      <w:r>
        <w:t xml:space="preserve">10 kWh/year (Illustrative)</w:t>
      </w:r>
    </w:p>
    <w:p>
      <w:pPr>
        <w:numPr>
          <w:ilvl w:val="0"/>
          <w:numId w:val="1010"/>
        </w:numPr>
        <w:pStyle w:val="Compact"/>
      </w:pPr>
      <w:r>
        <w:rPr>
          <w:bCs/>
          <w:b/>
        </w:rPr>
        <w:t xml:space="preserve">Europe Grid Electricity Emission Factor (2024):</w:t>
      </w:r>
      <w:r>
        <w:t xml:space="preserve"> </w:t>
      </w:r>
      <w:r>
        <w:t xml:space="preserve">0.181 kgCO2e/kWh (average EU)</w:t>
      </w:r>
    </w:p>
    <w:bookmarkEnd w:id="27"/>
    <w:bookmarkStart w:id="28" w:name="end-of-life-eol-data"/>
    <w:p>
      <w:pPr>
        <w:pStyle w:val="Heading4"/>
      </w:pPr>
      <w:r>
        <w:t xml:space="preserve">3.3.5. End-of-Life (EoL) Data</w:t>
      </w:r>
    </w:p>
    <w:p>
      <w:pPr>
        <w:numPr>
          <w:ilvl w:val="0"/>
          <w:numId w:val="1011"/>
        </w:numPr>
        <w:pStyle w:val="Compact"/>
      </w:pPr>
      <w:r>
        <w:rPr>
          <w:bCs/>
          <w:b/>
        </w:rPr>
        <w:t xml:space="preserve">Recyclability Percentage (`rnmxskhpms`):</w:t>
      </w:r>
      <w:r>
        <w:t xml:space="preserve"> </w:t>
      </w:r>
      <w:r>
        <w:t xml:space="preserve">80% (Illustrative)</w:t>
      </w:r>
    </w:p>
    <w:p>
      <w:pPr>
        <w:numPr>
          <w:ilvl w:val="0"/>
          <w:numId w:val="1011"/>
        </w:numPr>
        <w:pStyle w:val="Compact"/>
      </w:pPr>
      <w:r>
        <w:rPr>
          <w:bCs/>
          <w:b/>
        </w:rPr>
        <w:t xml:space="preserve">Circular/Take-back Programs (`fnpufgtiyv`):</w:t>
      </w:r>
      <w:r>
        <w:t xml:space="preserve"> </w:t>
      </w:r>
      <w:r>
        <w:t xml:space="preserve">Active take-back and recycling program (Illustrative)</w:t>
      </w:r>
    </w:p>
    <w:p>
      <w:pPr>
        <w:numPr>
          <w:ilvl w:val="0"/>
          <w:numId w:val="1011"/>
        </w:numPr>
        <w:pStyle w:val="Compact"/>
      </w:pPr>
      <w:r>
        <w:rPr>
          <w:bCs/>
          <w:b/>
        </w:rPr>
        <w:t xml:space="preserve">Landfill Emission Factor (Illustrative):</w:t>
      </w:r>
      <w:r>
        <w:t xml:space="preserve"> </w:t>
      </w:r>
      <w:r>
        <w:t xml:space="preserve">1.0 kgCO2e/kg (for non-recyclable portion, reflecting mixed waste characteristics)</w:t>
      </w:r>
    </w:p>
    <w:p>
      <w:pPr>
        <w:numPr>
          <w:ilvl w:val="0"/>
          <w:numId w:val="1011"/>
        </w:numPr>
        <w:pStyle w:val="Compact"/>
      </w:pPr>
      <w:r>
        <w:rPr>
          <w:bCs/>
          <w:b/>
        </w:rPr>
        <w:t xml:space="preserve">Recycling Credit / Avoided Emissions (Illustrative):</w:t>
      </w:r>
      <w:r>
        <w:t xml:space="preserve"> </w:t>
      </w:r>
      <w:r>
        <w:t xml:space="preserve">-1.0 kgCO2e/kg (average for recycled materials)</w:t>
      </w:r>
    </w:p>
    <w:p>
      <w:r>
        <w:pict>
          <v:rect style="width:0;height:1.5pt" o:hralign="center" o:hrstd="t" o:hr="t"/>
        </w:pict>
      </w:r>
    </w:p>
    <w:bookmarkEnd w:id="28"/>
    <w:bookmarkEnd w:id="29"/>
    <w:bookmarkEnd w:id="30"/>
    <w:bookmarkStart w:id="39" w:name="Xe5b63ecce9e9b26d515bd6a3fddf3df4cca65a7"/>
    <w:p>
      <w:pPr>
        <w:pStyle w:val="Heading2"/>
      </w:pPr>
      <w:r>
        <w:t xml:space="preserve">3. Calculation of Emissions (Step 4: Activity * Emission Factor = CO2e)</w:t>
      </w:r>
    </w:p>
    <w:p>
      <w:pPr>
        <w:pStyle w:val="FirstParagraph"/>
      </w:pPr>
      <w:r>
        <w:t xml:space="preserve">Emissions are calculated for each lifecycle stage and categorized according to the GHG Protocol.</w:t>
      </w:r>
    </w:p>
    <w:bookmarkStart w:id="31" w:name="scope-1-emissions"/>
    <w:p>
      <w:pPr>
        <w:pStyle w:val="Heading3"/>
      </w:pPr>
      <w:r>
        <w:t xml:space="preserve">3.1. Scope 1 Emissions</w:t>
      </w:r>
    </w:p>
    <w:p>
      <w:pPr>
        <w:pStyle w:val="FirstParagraph"/>
      </w:pPr>
      <w:r>
        <w:t xml:space="preserve">Direct GHG emissions from sources owned or controlled by oztnyyfumz. For a "factory_gate" system boundary and given parameters, direct Scope 1 emissions (e.g., from on-site fuel combustion) are not explicitly provided. This report focuses on Scope 2 and 3 as the primary emission categories for a product PCF. Any direct emissions from the manufacturing facility would be captured in a broader corporate inventory.</w:t>
      </w:r>
    </w:p>
    <w:bookmarkEnd w:id="31"/>
    <w:bookmarkStart w:id="32" w:name="X575f6692335ada0a1241dcb6bcb20fba0d761c1"/>
    <w:p>
      <w:pPr>
        <w:pStyle w:val="Heading3"/>
      </w:pPr>
      <w:r>
        <w:t xml:space="preserve">3.2. Scope 2 Emissions (Purchased Energy - Production Phase)</w:t>
      </w:r>
    </w:p>
    <w:p>
      <w:pPr>
        <w:pStyle w:val="FirstParagraph"/>
      </w:pPr>
      <w:r>
        <w:t xml:space="preserve">Emissions from the generation of purchased electricity, heat, or steam consumed by oztnyyfumz.</w:t>
      </w:r>
    </w:p>
    <w:p>
      <w:pPr>
        <w:numPr>
          <w:ilvl w:val="0"/>
          <w:numId w:val="1012"/>
        </w:numPr>
        <w:pStyle w:val="Compact"/>
      </w:pPr>
      <w:r>
        <w:t xml:space="preserve">Total energy intensity for production: 50 kWh/unit</w:t>
      </w:r>
    </w:p>
    <w:p>
      <w:pPr>
        <w:numPr>
          <w:ilvl w:val="0"/>
          <w:numId w:val="1012"/>
        </w:numPr>
        <w:pStyle w:val="Compact"/>
      </w:pPr>
      <w:r>
        <w:t xml:space="preserve">Renewable energy usage: 70%</w:t>
      </w:r>
    </w:p>
    <w:p>
      <w:pPr>
        <w:numPr>
          <w:ilvl w:val="0"/>
          <w:numId w:val="1012"/>
        </w:numPr>
        <w:pStyle w:val="Compact"/>
      </w:pPr>
      <w:r>
        <w:t xml:space="preserve">Non-renewable energy from grid: 50 kWh/unit * (1 - 0.70) = 15 kWh/unit</w:t>
      </w:r>
    </w:p>
    <w:p>
      <w:pPr>
        <w:numPr>
          <w:ilvl w:val="0"/>
          <w:numId w:val="1012"/>
        </w:numPr>
        <w:pStyle w:val="Compact"/>
      </w:pPr>
      <w:r>
        <w:t xml:space="preserve">China grid emission factor: 0.6205 kgCO2e/kWh</w:t>
      </w:r>
    </w:p>
    <w:p>
      <w:pPr>
        <w:numPr>
          <w:ilvl w:val="0"/>
          <w:numId w:val="1012"/>
        </w:numPr>
        <w:pStyle w:val="Compact"/>
      </w:pPr>
      <w:r>
        <w:rPr>
          <w:bCs/>
          <w:b/>
        </w:rPr>
        <w:t xml:space="preserve">Scope 2 Production Emissions:</w:t>
      </w:r>
      <w:r>
        <w:t xml:space="preserve"> </w:t>
      </w:r>
      <w:r>
        <w:t xml:space="preserve">15 kWh/unit * 0.6205 kgCO2e/kWh =</w:t>
      </w:r>
      <w:r>
        <w:t xml:space="preserve"> </w:t>
      </w:r>
      <w:r>
        <w:rPr>
          <w:bCs/>
          <w:b/>
        </w:rPr>
        <w:t xml:space="preserve">9.31 kgCO2e/unit</w:t>
      </w:r>
    </w:p>
    <w:p>
      <w:pPr>
        <w:pStyle w:val="FirstParagraph"/>
      </w:pPr>
      <w:r>
        <w:rPr>
          <w:iCs/>
          <w:i/>
        </w:rPr>
        <w:t xml:space="preserve">Note: The 70% renewable energy usage is assumed to be from certified sources with zero direct emissions. Upstream emissions associated with renewable energy infrastructure (Scope 3) are not detailed within the provided parameters for this specific calculation but would be considered in a full corporate Scope 3 inventory.</w:t>
      </w:r>
    </w:p>
    <w:bookmarkEnd w:id="32"/>
    <w:bookmarkStart w:id="37" w:name="scope-3-emissions-value-chain"/>
    <w:p>
      <w:pPr>
        <w:pStyle w:val="Heading3"/>
      </w:pPr>
      <w:r>
        <w:t xml:space="preserve">3.3. Scope 3 Emissions (Value Chain)</w:t>
      </w:r>
    </w:p>
    <w:p>
      <w:pPr>
        <w:pStyle w:val="FirstParagraph"/>
      </w:pPr>
      <w:r>
        <w:t xml:space="preserve">All other indirect emissions that occur in the value chain of the reporting company, both upstream and downstream. The 2026 GHG Protocol revisions emphasize a</w:t>
      </w:r>
      <w:r>
        <w:t xml:space="preserve"> </w:t>
      </w:r>
      <w:r>
        <w:rPr>
          <w:bCs/>
          <w:b/>
        </w:rPr>
        <w:t xml:space="preserve">95% completeness rule for Scope 3 reporting</w:t>
      </w:r>
      <w:r>
        <w:t xml:space="preserve">, requiring comprehensive coverage of relevant categories. This analysis aims for robust coverage based on the provided parameters.</w:t>
      </w:r>
    </w:p>
    <w:bookmarkStart w:id="33" w:name="Xab9729a0caae076ca89f2f71668734f92723cf2"/>
    <w:p>
      <w:pPr>
        <w:pStyle w:val="Heading4"/>
      </w:pPr>
      <w:r>
        <w:t xml:space="preserve">3.3.1. Category 1: Purchased Goods and Services (Materials)</w:t>
      </w:r>
    </w:p>
    <w:p>
      <w:pPr>
        <w:pStyle w:val="FirstParagraph"/>
      </w:pPr>
      <w:r>
        <w:t xml:space="preserve">Emissions from the extraction, production, and transportation of raw materials and components used in grtlzzwzzj.</w:t>
      </w:r>
    </w:p>
    <w:p>
      <w:pPr>
        <w:numPr>
          <w:ilvl w:val="0"/>
          <w:numId w:val="1013"/>
        </w:numPr>
        <w:pStyle w:val="Compact"/>
      </w:pPr>
      <w:r>
        <w:t xml:space="preserve">Total Material Emissions (sum from BOM table above):</w:t>
      </w:r>
      <w:r>
        <w:t xml:space="preserve"> </w:t>
      </w:r>
      <w:r>
        <w:rPr>
          <w:bCs/>
          <w:b/>
        </w:rPr>
        <w:t xml:space="preserve">1.875 kgCO2e/unit</w:t>
      </w:r>
    </w:p>
    <w:bookmarkEnd w:id="33"/>
    <w:bookmarkStart w:id="34" w:name="Xcf3851b1e38aaf700f145fe407218c5e8846bbc"/>
    <w:p>
      <w:pPr>
        <w:pStyle w:val="Heading4"/>
      </w:pPr>
      <w:r>
        <w:t xml:space="preserve">3.3.2. Category 4 &amp; 9: Transportation and Distribution</w:t>
      </w:r>
    </w:p>
    <w:p>
      <w:pPr>
        <w:pStyle w:val="FirstParagraph"/>
      </w:pPr>
      <w:r>
        <w:t xml:space="preserve">Emissions from both upstream (materials to factory) and downstream (product to customer) transportation.</w:t>
      </w:r>
    </w:p>
    <w:p>
      <w:pPr>
        <w:numPr>
          <w:ilvl w:val="0"/>
          <w:numId w:val="1014"/>
        </w:numPr>
        <w:pStyle w:val="Compact"/>
      </w:pPr>
      <w:r>
        <w:t xml:space="preserve">Product mass: 0.33 kg = 0.00033 tonnes</w:t>
      </w:r>
    </w:p>
    <w:p>
      <w:pPr>
        <w:numPr>
          <w:ilvl w:val="0"/>
          <w:numId w:val="1014"/>
        </w:numPr>
        <w:pStyle w:val="Compact"/>
      </w:pPr>
      <w:r>
        <w:rPr>
          <w:bCs/>
          <w:b/>
        </w:rPr>
        <w:t xml:space="preserve">Main Transport (Ocean Freight):</w:t>
      </w:r>
    </w:p>
    <w:p>
      <w:pPr>
        <w:numPr>
          <w:ilvl w:val="1"/>
          <w:numId w:val="1015"/>
        </w:numPr>
        <w:pStyle w:val="Compact"/>
      </w:pPr>
      <w:r>
        <w:t xml:space="preserve">Distance: 10,000 km</w:t>
      </w:r>
    </w:p>
    <w:p>
      <w:pPr>
        <w:numPr>
          <w:ilvl w:val="1"/>
          <w:numId w:val="1015"/>
        </w:numPr>
        <w:pStyle w:val="Compact"/>
      </w:pPr>
      <w:r>
        <w:t xml:space="preserve">Emission Factor: 0.016 kgCO2e/tonne-km</w:t>
      </w:r>
    </w:p>
    <w:p>
      <w:pPr>
        <w:numPr>
          <w:ilvl w:val="1"/>
          <w:numId w:val="1015"/>
        </w:numPr>
        <w:pStyle w:val="Compact"/>
      </w:pPr>
      <w:r>
        <w:t xml:space="preserve">Emissions: 0.00033 t * 10,000 km * 0.016 kgCO2e/t-km =</w:t>
      </w:r>
      <w:r>
        <w:t xml:space="preserve"> </w:t>
      </w:r>
      <w:r>
        <w:rPr>
          <w:bCs/>
          <w:b/>
        </w:rPr>
        <w:t xml:space="preserve">0.053 kgCO2e/unit</w:t>
      </w:r>
    </w:p>
    <w:p>
      <w:pPr>
        <w:numPr>
          <w:ilvl w:val="0"/>
          <w:numId w:val="1014"/>
        </w:numPr>
        <w:pStyle w:val="Compact"/>
      </w:pPr>
      <w:r>
        <w:rPr>
          <w:bCs/>
          <w:b/>
        </w:rPr>
        <w:t xml:space="preserve">Last-Mile Delivery (Road):</w:t>
      </w:r>
    </w:p>
    <w:p>
      <w:pPr>
        <w:numPr>
          <w:ilvl w:val="1"/>
          <w:numId w:val="1016"/>
        </w:numPr>
        <w:pStyle w:val="Compact"/>
      </w:pPr>
      <w:r>
        <w:t xml:space="preserve">Distance: 500 km</w:t>
      </w:r>
    </w:p>
    <w:p>
      <w:pPr>
        <w:numPr>
          <w:ilvl w:val="1"/>
          <w:numId w:val="1016"/>
        </w:numPr>
        <w:pStyle w:val="Compact"/>
      </w:pPr>
      <w:r>
        <w:t xml:space="preserve">Emission Factor (HGV): 0.09 kgCO2e/tonne-km</w:t>
      </w:r>
    </w:p>
    <w:p>
      <w:pPr>
        <w:numPr>
          <w:ilvl w:val="1"/>
          <w:numId w:val="1016"/>
        </w:numPr>
        <w:pStyle w:val="Compact"/>
      </w:pPr>
      <w:r>
        <w:t xml:space="preserve">Emissions: 0.00033 t * 500 km * 0.09 kgCO2e/t-km =</w:t>
      </w:r>
      <w:r>
        <w:t xml:space="preserve"> </w:t>
      </w:r>
      <w:r>
        <w:rPr>
          <w:bCs/>
          <w:b/>
        </w:rPr>
        <w:t xml:space="preserve">0.015 kgCO2e/unit</w:t>
      </w:r>
    </w:p>
    <w:p>
      <w:pPr>
        <w:numPr>
          <w:ilvl w:val="0"/>
          <w:numId w:val="1014"/>
        </w:numPr>
        <w:pStyle w:val="Compact"/>
      </w:pPr>
      <w:r>
        <w:rPr>
          <w:bCs/>
          <w:b/>
        </w:rPr>
        <w:t xml:space="preserve">Total Transport Emissions:</w:t>
      </w:r>
      <w:r>
        <w:t xml:space="preserve"> </w:t>
      </w:r>
      <w:r>
        <w:t xml:space="preserve">0.053 + 0.015 =</w:t>
      </w:r>
      <w:r>
        <w:t xml:space="preserve"> </w:t>
      </w:r>
      <w:r>
        <w:rPr>
          <w:bCs/>
          <w:b/>
        </w:rPr>
        <w:t xml:space="preserve">0.068 kgCO2e/unit</w:t>
      </w:r>
    </w:p>
    <w:bookmarkEnd w:id="34"/>
    <w:bookmarkStart w:id="35" w:name="category-11-use-of-sold-products"/>
    <w:p>
      <w:pPr>
        <w:pStyle w:val="Heading4"/>
      </w:pPr>
      <w:r>
        <w:t xml:space="preserve">3.3.3. Category 11: Use of Sold Products</w:t>
      </w:r>
    </w:p>
    <w:p>
      <w:pPr>
        <w:pStyle w:val="FirstParagraph"/>
      </w:pPr>
      <w:r>
        <w:t xml:space="preserve">Emissions from the energy consumption of grtlzzwzzj during its operational lifespan by the end-user.</w:t>
      </w:r>
    </w:p>
    <w:p>
      <w:pPr>
        <w:numPr>
          <w:ilvl w:val="0"/>
          <w:numId w:val="1017"/>
        </w:numPr>
        <w:pStyle w:val="Compact"/>
      </w:pPr>
      <w:r>
        <w:t xml:space="preserve">Product Lifespan: 5 years</w:t>
      </w:r>
    </w:p>
    <w:p>
      <w:pPr>
        <w:numPr>
          <w:ilvl w:val="0"/>
          <w:numId w:val="1017"/>
        </w:numPr>
        <w:pStyle w:val="Compact"/>
      </w:pPr>
      <w:r>
        <w:t xml:space="preserve">Energy Consumption in Use: 10 kWh/year</w:t>
      </w:r>
    </w:p>
    <w:p>
      <w:pPr>
        <w:numPr>
          <w:ilvl w:val="0"/>
          <w:numId w:val="1017"/>
        </w:numPr>
        <w:pStyle w:val="Compact"/>
      </w:pPr>
      <w:r>
        <w:t xml:space="preserve">Europe Grid Emission Factor (2024): 0.181 kgCO2e/kWh</w:t>
      </w:r>
    </w:p>
    <w:p>
      <w:pPr>
        <w:numPr>
          <w:ilvl w:val="0"/>
          <w:numId w:val="1017"/>
        </w:numPr>
        <w:pStyle w:val="Compact"/>
      </w:pPr>
      <w:r>
        <w:rPr>
          <w:bCs/>
          <w:b/>
        </w:rPr>
        <w:t xml:space="preserve">Use Phase Emissions:</w:t>
      </w:r>
      <w:r>
        <w:t xml:space="preserve"> </w:t>
      </w:r>
      <w:r>
        <w:t xml:space="preserve">10 kWh/year * 5 years * 0.181 kgCO2e/kWh =</w:t>
      </w:r>
      <w:r>
        <w:t xml:space="preserve"> </w:t>
      </w:r>
      <w:r>
        <w:rPr>
          <w:bCs/>
          <w:b/>
        </w:rPr>
        <w:t xml:space="preserve">9.05 kgCO2e/unit</w:t>
      </w:r>
    </w:p>
    <w:bookmarkEnd w:id="35"/>
    <w:bookmarkStart w:id="36" w:name="X9f66eef2700632e081dfe139021cb724ffcd2c5"/>
    <w:p>
      <w:pPr>
        <w:pStyle w:val="Heading4"/>
      </w:pPr>
      <w:r>
        <w:t xml:space="preserve">3.3.4. Category 12: End-of-Life Treatment of Sold Products</w:t>
      </w:r>
    </w:p>
    <w:p>
      <w:pPr>
        <w:pStyle w:val="FirstParagraph"/>
      </w:pPr>
      <w:r>
        <w:t xml:space="preserve">Emissions and avoided emissions associated with the disposal and recycling of the product.</w:t>
      </w:r>
    </w:p>
    <w:p>
      <w:pPr>
        <w:numPr>
          <w:ilvl w:val="0"/>
          <w:numId w:val="1018"/>
        </w:numPr>
        <w:pStyle w:val="Compact"/>
      </w:pPr>
      <w:r>
        <w:t xml:space="preserve">Total Product Mass: 0.33 kg</w:t>
      </w:r>
    </w:p>
    <w:p>
      <w:pPr>
        <w:numPr>
          <w:ilvl w:val="0"/>
          <w:numId w:val="1018"/>
        </w:numPr>
        <w:pStyle w:val="Compact"/>
      </w:pPr>
      <w:r>
        <w:t xml:space="preserve">Recyclability Percentage: 80%</w:t>
      </w:r>
    </w:p>
    <w:p>
      <w:pPr>
        <w:numPr>
          <w:ilvl w:val="0"/>
          <w:numId w:val="1018"/>
        </w:numPr>
        <w:pStyle w:val="Compact"/>
      </w:pPr>
      <w:r>
        <w:t xml:space="preserve">Mass recycled: 0.33 kg * 0.80 = 0.264 kg</w:t>
      </w:r>
    </w:p>
    <w:p>
      <w:pPr>
        <w:numPr>
          <w:ilvl w:val="0"/>
          <w:numId w:val="1018"/>
        </w:numPr>
        <w:pStyle w:val="Compact"/>
      </w:pPr>
      <w:r>
        <w:t xml:space="preserve">Mass disposed (landfilled): 0.33 kg * (1 - 0.80) = 0.066 kg</w:t>
      </w:r>
    </w:p>
    <w:p>
      <w:pPr>
        <w:numPr>
          <w:ilvl w:val="0"/>
          <w:numId w:val="1018"/>
        </w:numPr>
        <w:pStyle w:val="Compact"/>
      </w:pPr>
      <w:r>
        <w:t xml:space="preserve">Landfill Emission Factor (illustrative): 1.0 kgCO2e/kg</w:t>
      </w:r>
    </w:p>
    <w:p>
      <w:pPr>
        <w:numPr>
          <w:ilvl w:val="0"/>
          <w:numId w:val="1018"/>
        </w:numPr>
        <w:pStyle w:val="Compact"/>
      </w:pPr>
      <w:r>
        <w:t xml:space="preserve">Recycling Credit (avoided emissions, illustrative): -1.0 kgCO2e/kg</w:t>
      </w:r>
    </w:p>
    <w:p>
      <w:pPr>
        <w:numPr>
          <w:ilvl w:val="0"/>
          <w:numId w:val="1018"/>
        </w:numPr>
        <w:pStyle w:val="Compact"/>
      </w:pPr>
      <w:r>
        <w:rPr>
          <w:bCs/>
          <w:b/>
        </w:rPr>
        <w:t xml:space="preserve">EoL Disposal Emissions:</w:t>
      </w:r>
      <w:r>
        <w:t xml:space="preserve"> </w:t>
      </w:r>
      <w:r>
        <w:t xml:space="preserve">0.066 kg * 1.0 kgCO2e/kg = 0.066 kgCO2e</w:t>
      </w:r>
    </w:p>
    <w:p>
      <w:pPr>
        <w:numPr>
          <w:ilvl w:val="0"/>
          <w:numId w:val="1018"/>
        </w:numPr>
        <w:pStyle w:val="Compact"/>
      </w:pPr>
      <w:r>
        <w:rPr>
          <w:bCs/>
          <w:b/>
        </w:rPr>
        <w:t xml:space="preserve">EoL Recycling Credit:</w:t>
      </w:r>
      <w:r>
        <w:t xml:space="preserve"> </w:t>
      </w:r>
      <w:r>
        <w:t xml:space="preserve">0.264 kg * -1.0 kgCO2e/kg = -0.264 kgCO2e</w:t>
      </w:r>
    </w:p>
    <w:p>
      <w:pPr>
        <w:numPr>
          <w:ilvl w:val="0"/>
          <w:numId w:val="1018"/>
        </w:numPr>
        <w:pStyle w:val="Compact"/>
      </w:pPr>
      <w:r>
        <w:rPr>
          <w:bCs/>
          <w:b/>
        </w:rPr>
        <w:t xml:space="preserve">Net EoL Emissions:</w:t>
      </w:r>
      <w:r>
        <w:t xml:space="preserve"> </w:t>
      </w:r>
      <w:r>
        <w:t xml:space="preserve">0.066 - 0.264 =</w:t>
      </w:r>
      <w:r>
        <w:t xml:space="preserve"> </w:t>
      </w:r>
      <w:r>
        <w:rPr>
          <w:bCs/>
          <w:b/>
        </w:rPr>
        <w:t xml:space="preserve">-0.198 kgCO2e/unit</w:t>
      </w:r>
    </w:p>
    <w:p>
      <w:pPr>
        <w:pStyle w:val="FirstParagraph"/>
      </w:pPr>
      <w:r>
        <w:rPr>
          <w:iCs/>
          <w:i/>
        </w:rPr>
        <w:t xml:space="preserve">Note: The company\'s active "Circular/Take-back Programs" (`fnpufgtiyv`) are a key enabler for achieving high recyclability and associated emission reductions.</w:t>
      </w:r>
    </w:p>
    <w:bookmarkEnd w:id="36"/>
    <w:bookmarkEnd w:id="37"/>
    <w:bookmarkStart w:id="38" w:name="X299a3717db401fbc63eac38de0814f3ad8939f4"/>
    <w:p>
      <w:pPr>
        <w:pStyle w:val="Heading3"/>
      </w:pPr>
      <w:r>
        <w:t xml:space="preserve">3.4. Total Product Carbon Footprint (PCF) Summary</w:t>
      </w:r>
    </w:p>
    <w:p>
      <w:pPr>
        <w:pStyle w:val="FirstParagraph"/>
      </w:pPr>
      <w:r>
        <w:t xml:space="preserve">The aggregated emissions across all relevant lifecycle stages are presented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(Purchased Goods and Services)</w:t>
            </w:r>
          </w:p>
        </w:tc>
        <w:tc>
          <w:tcPr/>
          <w:p>
            <w:pPr>
              <w:pStyle w:val="Compact"/>
              <w:jc w:val="left"/>
            </w:pPr>
            <w:r>
              <w:t xml:space="preserve">Scope 3 (Category 1)</w:t>
            </w:r>
          </w:p>
        </w:tc>
        <w:tc>
          <w:tcPr/>
          <w:p>
            <w:pPr>
              <w:pStyle w:val="Compact"/>
              <w:jc w:val="left"/>
            </w:pPr>
            <w:r>
              <w:t xml:space="preserve">1.875</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9.310</w:t>
            </w:r>
          </w:p>
        </w:tc>
      </w:tr>
      <w:tr>
        <w:tc>
          <w:tcPr/>
          <w:p>
            <w:pPr>
              <w:pStyle w:val="Compact"/>
              <w:jc w:val="left"/>
            </w:pPr>
            <w:r>
              <w:t xml:space="preserve">Transportation and Distribution</w:t>
            </w:r>
          </w:p>
        </w:tc>
        <w:tc>
          <w:tcPr/>
          <w:p>
            <w:pPr>
              <w:pStyle w:val="Compact"/>
              <w:jc w:val="left"/>
            </w:pPr>
            <w:r>
              <w:t xml:space="preserve">Scope 3 (Category 4 &amp; 9)</w:t>
            </w:r>
          </w:p>
        </w:tc>
        <w:tc>
          <w:tcPr/>
          <w:p>
            <w:pPr>
              <w:pStyle w:val="Compact"/>
              <w:jc w:val="left"/>
            </w:pPr>
            <w:r>
              <w:t xml:space="preserve">0.068</w:t>
            </w:r>
          </w:p>
        </w:tc>
      </w:tr>
      <w:tr>
        <w:tc>
          <w:tcPr/>
          <w:p>
            <w:pPr>
              <w:pStyle w:val="Compact"/>
              <w:jc w:val="left"/>
            </w:pPr>
            <w:r>
              <w:t xml:space="preserve">Use of Sold Products</w:t>
            </w:r>
          </w:p>
        </w:tc>
        <w:tc>
          <w:tcPr/>
          <w:p>
            <w:pPr>
              <w:pStyle w:val="Compact"/>
              <w:jc w:val="left"/>
            </w:pPr>
            <w:r>
              <w:t xml:space="preserve">Scope 3 (Category 11)</w:t>
            </w:r>
          </w:p>
        </w:tc>
        <w:tc>
          <w:tcPr/>
          <w:p>
            <w:pPr>
              <w:pStyle w:val="Compact"/>
              <w:jc w:val="left"/>
            </w:pPr>
            <w:r>
              <w:t xml:space="preserve">9.050</w:t>
            </w:r>
          </w:p>
        </w:tc>
      </w:tr>
      <w:tr>
        <w:tc>
          <w:tcPr/>
          <w:p>
            <w:pPr>
              <w:pStyle w:val="Compact"/>
              <w:jc w:val="left"/>
            </w:pPr>
            <w:r>
              <w:t xml:space="preserve">End-of-Life Treatment of Sold Products</w:t>
            </w:r>
          </w:p>
        </w:tc>
        <w:tc>
          <w:tcPr/>
          <w:p>
            <w:pPr>
              <w:pStyle w:val="Compact"/>
              <w:jc w:val="left"/>
            </w:pPr>
            <w:r>
              <w:t xml:space="preserve">Scope 3 (Category 12)</w:t>
            </w:r>
          </w:p>
        </w:tc>
        <w:tc>
          <w:tcPr/>
          <w:p>
            <w:pPr>
              <w:pStyle w:val="Compact"/>
              <w:jc w:val="left"/>
            </w:pPr>
            <w:r>
              <w:t xml:space="preserve">-0.198</w:t>
            </w:r>
          </w:p>
        </w:tc>
      </w:tr>
      <w:tr>
        <w:tc>
          <w:tcPr>
            <w:gridSpan w:val="2"/>
          </w:tcPr>
          <w:p>
            <w:pPr>
              <w:pStyle w:val="Compact"/>
              <w:jc w:val="right"/>
            </w:pPr>
            <w:r>
              <w:t xml:space="preserve">Total Product Carbon Footprint:</w:t>
            </w:r>
          </w:p>
        </w:tc>
        <w:tc>
          <w:tcPr/>
          <w:p>
            <w:pPr>
              <w:pStyle w:val="Compact"/>
              <w:jc w:val="left"/>
            </w:pPr>
            <w:r>
              <w:rPr>
                <w:bCs/>
                <w:b/>
              </w:rPr>
              <w:t xml:space="preserve">20.10 kgCO2e/unit</w:t>
            </w:r>
          </w:p>
        </w:tc>
      </w:tr>
    </w:tbl>
    <w:p>
      <w:pPr>
        <w:pStyle w:val="BodyText"/>
      </w:pPr>
      <w:r>
        <w:rPr>
          <w:iCs/>
          <w:i/>
        </w:rPr>
        <w:t xml:space="preserve">Note: Figures may not sum due to rounding.</w:t>
      </w:r>
    </w:p>
    <w:p>
      <w:r>
        <w:pict>
          <v:rect style="width:0;height:1.5pt" o:hralign="center" o:hrstd="t" o:hr="t"/>
        </w:pict>
      </w:r>
    </w:p>
    <w:bookmarkEnd w:id="38"/>
    <w:bookmarkEnd w:id="39"/>
    <w:bookmarkStart w:id="43" w:name="review-report-step-5"/>
    <w:p>
      <w:pPr>
        <w:pStyle w:val="Heading2"/>
      </w:pPr>
      <w:r>
        <w:t xml:space="preserve">4. Review &amp; Report (Step 5)</w:t>
      </w:r>
    </w:p>
    <w:bookmarkStart w:id="40" w:name="emission-hotspots"/>
    <w:p>
      <w:pPr>
        <w:pStyle w:val="Heading3"/>
      </w:pPr>
      <w:r>
        <w:t xml:space="preserve">4.1. Emission Hotspots</w:t>
      </w:r>
    </w:p>
    <w:p>
      <w:pPr>
        <w:pStyle w:val="FirstParagraph"/>
      </w:pPr>
      <w:r>
        <w:t xml:space="preserve">Based on this illustrative analysis, the primary emission hotspots for grtlzzwzzj are:</w:t>
      </w:r>
    </w:p>
    <w:p>
      <w:pPr>
        <w:numPr>
          <w:ilvl w:val="0"/>
          <w:numId w:val="1019"/>
        </w:numPr>
        <w:pStyle w:val="Compact"/>
      </w:pPr>
      <w:r>
        <w:rPr>
          <w:bCs/>
          <w:b/>
        </w:rPr>
        <w:t xml:space="preserve">Production Energy (Scope 2):</w:t>
      </w:r>
      <w:r>
        <w:t xml:space="preserve"> </w:t>
      </w:r>
      <w:r>
        <w:t xml:space="preserve">Representing 46.3% of the total footprint, primarily due to the 30% non-renewable electricity mix in China.</w:t>
      </w:r>
    </w:p>
    <w:p>
      <w:pPr>
        <w:numPr>
          <w:ilvl w:val="0"/>
          <w:numId w:val="1019"/>
        </w:numPr>
        <w:pStyle w:val="Compact"/>
      </w:pPr>
      <w:r>
        <w:rPr>
          <w:bCs/>
          <w:b/>
        </w:rPr>
        <w:t xml:space="preserve">Use Phase Energy (Scope 3):</w:t>
      </w:r>
      <w:r>
        <w:t xml:space="preserve"> </w:t>
      </w:r>
      <w:r>
        <w:t xml:space="preserve">Accounting for 45.0% of the total, driven by the product\'s lifespan and energy consumption in the European grid mix.</w:t>
      </w:r>
    </w:p>
    <w:p>
      <w:pPr>
        <w:numPr>
          <w:ilvl w:val="0"/>
          <w:numId w:val="1019"/>
        </w:numPr>
        <w:pStyle w:val="Compact"/>
      </w:pPr>
      <w:r>
        <w:rPr>
          <w:bCs/>
          <w:b/>
        </w:rPr>
        <w:t xml:space="preserve">Raw Materials (Scope 3):</w:t>
      </w:r>
      <w:r>
        <w:t xml:space="preserve"> </w:t>
      </w:r>
      <w:r>
        <w:t xml:space="preserve">Contributing 9.3% to the total, with electronics and plastics being significant contributors.</w:t>
      </w:r>
    </w:p>
    <w:p>
      <w:pPr>
        <w:pStyle w:val="FirstParagraph"/>
      </w:pPr>
      <w:r>
        <w:t xml:space="preserve">Transportation contributes a relatively small portion (0.3%) due to the light weight of the product. The End-of-Life phase demonstrates a net carbon saving due to high recyclability and the implementation of circular programs.</w:t>
      </w:r>
    </w:p>
    <w:bookmarkEnd w:id="40"/>
    <w:bookmarkStart w:id="41" w:name="data-reliability-and-limitations"/>
    <w:p>
      <w:pPr>
        <w:pStyle w:val="Heading3"/>
      </w:pPr>
      <w:r>
        <w:t xml:space="preserve">4.2. Data Reliability and Limitations</w:t>
      </w:r>
    </w:p>
    <w:p>
      <w:pPr>
        <w:pStyle w:val="FirstParagraph"/>
      </w:pPr>
      <w:r>
        <w:t xml:space="preserve">The calculations are based on the parameters provided. Where placeholder data was used, illustrative figures have been applied. Real-world data for `qxfotllk`, `kwdxrhvyzr`, `nvikmfjqkm`, `nzumijulkg`, `fxjyllpnih`, `egropejsmm`, `rnmxskhpms`, and `fnpufgtiyv` would enable higher accuracy. Emission factors are sourced from industry-standard databases but represent averages. Disaggregation of Scope 3 data by primary vs. secondary data type, as highlighted in the 2026 GHG Protocol revisions, is an area for further refinement as primary supply chain data becomes more available.</w:t>
      </w:r>
    </w:p>
    <w:bookmarkEnd w:id="41"/>
    <w:bookmarkStart w:id="42" w:name="recommendations-for-oztnyyfumz"/>
    <w:p>
      <w:pPr>
        <w:pStyle w:val="Heading3"/>
      </w:pPr>
      <w:r>
        <w:t xml:space="preserve">4.3. Recommendations for oztnyyfumz</w:t>
      </w:r>
    </w:p>
    <w:p>
      <w:pPr>
        <w:numPr>
          <w:ilvl w:val="0"/>
          <w:numId w:val="1020"/>
        </w:numPr>
        <w:pStyle w:val="Compact"/>
      </w:pPr>
      <w:r>
        <w:rPr>
          <w:bCs/>
          <w:b/>
        </w:rPr>
        <w:t xml:space="preserve">Decarbonize Production Energy:</w:t>
      </w:r>
      <w:r>
        <w:t xml:space="preserve"> </w:t>
      </w:r>
      <w:r>
        <w:t xml:space="preserve">Explore options to increase renewable energy procurement beyond 70% in China, potentially through on-site generation or direct power purchase agreements for the remaining 30%.</w:t>
      </w:r>
    </w:p>
    <w:p>
      <w:pPr>
        <w:numPr>
          <w:ilvl w:val="0"/>
          <w:numId w:val="1020"/>
        </w:numPr>
        <w:pStyle w:val="Compact"/>
      </w:pPr>
      <w:r>
        <w:rPr>
          <w:bCs/>
          <w:b/>
        </w:rPr>
        <w:t xml:space="preserve">Optimize Use Phase Efficiency:</w:t>
      </w:r>
      <w:r>
        <w:t xml:space="preserve"> </w:t>
      </w:r>
      <w:r>
        <w:t xml:space="preserve">Invest in R&amp;D to further reduce the product\'s energy consumption during its lifespan, and promote awareness among end-users about efficient energy practices.</w:t>
      </w:r>
    </w:p>
    <w:p>
      <w:pPr>
        <w:numPr>
          <w:ilvl w:val="0"/>
          <w:numId w:val="1020"/>
        </w:numPr>
        <w:pStyle w:val="Compact"/>
      </w:pPr>
      <w:r>
        <w:rPr>
          <w:bCs/>
          <w:b/>
        </w:rPr>
        <w:t xml:space="preserve">Supply Chain Engagement:</w:t>
      </w:r>
      <w:r>
        <w:t xml:space="preserve"> </w:t>
      </w:r>
      <w:r>
        <w:t xml:space="preserve">Work with suppliers to gather more primary data on material production emissions and explore lower-carbon material alternatives.</w:t>
      </w:r>
    </w:p>
    <w:p>
      <w:pPr>
        <w:numPr>
          <w:ilvl w:val="0"/>
          <w:numId w:val="1020"/>
        </w:numPr>
        <w:pStyle w:val="Compact"/>
      </w:pPr>
      <w:r>
        <w:rPr>
          <w:bCs/>
          <w:b/>
        </w:rPr>
        <w:t xml:space="preserve">Strengthen Circularity:</w:t>
      </w:r>
      <w:r>
        <w:t xml:space="preserve"> </w:t>
      </w:r>
      <w:r>
        <w:t xml:space="preserve">Continue to enhance take-back and recycling programs, potentially expanding scope to difficult-to-recycle components or exploring repair and refurbishment models.</w:t>
      </w:r>
    </w:p>
    <w:bookmarkEnd w:id="42"/>
    <w:bookmarkEnd w:id="43"/>
    <w:bookmarkStart w:id="44" w:name="conclusion"/>
    <w:p>
      <w:pPr>
        <w:pStyle w:val="Heading2"/>
      </w:pPr>
      <w:r>
        <w:t xml:space="preserve">Conclusion</w:t>
      </w:r>
    </w:p>
    <w:p>
      <w:pPr>
        <w:pStyle w:val="FirstParagraph"/>
      </w:pPr>
      <w:r>
        <w:t xml:space="preserve">This high-detail PCF analysis provides</w:t>
      </w:r>
      <w:r>
        <w:t xml:space="preserve"> </w:t>
      </w:r>
      <w:r>
        <w:rPr>
          <w:bCs/>
          <w:b/>
        </w:rPr>
        <w:t xml:space="preserve">oztnyyfumz</w:t>
      </w:r>
      <w:r>
        <w:t xml:space="preserve"> </w:t>
      </w:r>
      <w:r>
        <w:t xml:space="preserve">with a foundational understanding of the climate impact of its</w:t>
      </w:r>
      <w:r>
        <w:t xml:space="preserve"> </w:t>
      </w:r>
      <w:r>
        <w:rPr>
          <w:bCs/>
          <w:b/>
        </w:rPr>
        <w:t xml:space="preserve">grtlzzwzzj</w:t>
      </w:r>
      <w:r>
        <w:t xml:space="preserve"> </w:t>
      </w:r>
      <w:r>
        <w:t xml:space="preserve">product. By identifying key emission hotspots and adhering to the</w:t>
      </w:r>
      <w:r>
        <w:t xml:space="preserve"> </w:t>
      </w:r>
      <w:r>
        <w:rPr>
          <w:bCs/>
          <w:b/>
        </w:rPr>
        <w:t xml:space="preserve">GHG Protocol</w:t>
      </w:r>
      <w:r>
        <w:t xml:space="preserve"> </w:t>
      </w:r>
      <w:r>
        <w:t xml:space="preserve">standards, including anticipated 2026 updates, the company is well-positioned to develop targeted strategies for emission reduction and enhance its sustainability performance. Continuous data refinement and proactive engagement across the value chain will be crucial for achieving long-term decarbonization goals.</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grtlzzwzzj (Smart Home Device)</dc:title>
  <dc:creator/>
  <dc:description>High-detail Product Carbon Footprint (PCF) analysis for grtlzzwzzj, a Smart Home Device, for oztnyyfumz, adhering to GHG Protocol standards and 2026 updates.</dc:description>
  <dc:language>en</dc:language>
  <cp:keywords/>
  <dcterms:created xsi:type="dcterms:W3CDTF">2026-05-30T13:40:21Z</dcterms:created>
  <dcterms:modified xsi:type="dcterms:W3CDTF">2026-05-30T13:40:21Z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