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grhfehgdiw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grhfehgdiw</w:t>
      </w:r>
    </w:p>
    <w:p>
      <w:pPr>
        <w:pStyle w:val="BodyText"/>
      </w:pPr>
      <w:r>
        <w:t xml:space="preserve">Company: rmxxgpeqkp</w:t>
      </w:r>
    </w:p>
    <w:p>
      <w:pPr>
        <w:pStyle w:val="BodyText"/>
      </w:pPr>
      <w:r>
        <w:t xml:space="preserve">**Protocol Data (Accounting Standard):** GHG Protocol</w:t>
      </w:r>
    </w:p>
    <w:p>
      <w:pPr>
        <w:pStyle w:val="BodyText"/>
      </w:pPr>
      <w:r>
        <w:t xml:space="preserve">**Senior Sustainability Consultant:** heouigryrk</w:t>
      </w:r>
    </w:p>
    <w:p>
      <w:pPr>
        <w:pStyle w:val="BodyText"/>
      </w:pPr>
      <w:r>
        <w:t xml:space="preserve">Disclaimer: This report is generated based on available data, industry standards, and specified parameters. Actual values may vary with more granular primary data.</w:t>
      </w:r>
    </w:p>
    <w:bookmarkEnd w:id="20"/>
    <w:bookmarkStart w:id="21" w:name="Xf36e0d39e3b4e676ffd0c6ae45a40690274c715"/>
    <w:p>
      <w:pPr>
        <w:pStyle w:val="Heading1"/>
      </w:pPr>
      <w:r>
        <w:t xml:space="preserve">Product Carbon Footprint Analysis for grhfehgdiw</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grhfehgdiw</w:t>
      </w:r>
      <w:r>
        <w:t xml:space="preserve">, manufactured by</w:t>
      </w:r>
      <w:r>
        <w:t xml:space="preserve"> </w:t>
      </w:r>
      <w:r>
        <w:rPr>
          <w:bCs/>
          <w:b/>
        </w:rPr>
        <w:t xml:space="preserve">rmxxgpeqkp</w:t>
      </w:r>
      <w:r>
        <w:t xml:space="preserve">. The analysis, conducted by Senior Sustainability Consultant</w:t>
      </w:r>
      <w:r>
        <w:t xml:space="preserve"> </w:t>
      </w:r>
      <w:r>
        <w:rPr>
          <w:bCs/>
          <w:b/>
        </w:rPr>
        <w:t xml:space="preserve">heouigryrk</w:t>
      </w:r>
      <w:r>
        <w:t xml:space="preserve">, adheres strictly to the GHG Protocol, incorporating key updates anticipated for 2026, including the Land Sector and Removals (LSR) Standard and stringent Scope 3 coverage requirements. The PCF is calculated for a functional unit of 1.0 unit of grhfehgdiw, encompassing material acquisition, production, transportation, use, and end-of-life stages. The total estimated Product Carbon Footprint for one unit of grhfehgdiw is approximately</w:t>
      </w:r>
      <w:r>
        <w:t xml:space="preserve"> </w:t>
      </w:r>
      <w:r>
        <w:rPr>
          <w:bCs/>
          <w:b/>
        </w:rPr>
        <w:t xml:space="preserve">67.52 kg CO</w:t>
      </w:r>
      <w:r>
        <w:rPr>
          <w:vertAlign w:val="subscript"/>
          <w:bCs/>
          <w:b/>
        </w:rPr>
        <w:t xml:space="preserve">2</w:t>
      </w:r>
      <w:r>
        <w:rPr>
          <w:bCs/>
          <w:b/>
        </w:rPr>
        <w:t xml:space="preserve">e</w:t>
      </w:r>
      <w:r>
        <w:t xml:space="preserve">, with the use phase identified as the most significant hotspot.</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environmental awareness and regulatory demands,</w:t>
      </w:r>
      <w:r>
        <w:t xml:space="preserve"> </w:t>
      </w:r>
      <w:r>
        <w:rPr>
          <w:bCs/>
          <w:b/>
        </w:rPr>
        <w:t xml:space="preserve">rmxxgpeqkp</w:t>
      </w:r>
      <w:r>
        <w:t xml:space="preserve"> </w:t>
      </w:r>
      <w:r>
        <w:t xml:space="preserve">commissioned this Product Carbon Footprint (PCF) analysis for its product,</w:t>
      </w:r>
      <w:r>
        <w:t xml:space="preserve"> </w:t>
      </w:r>
      <w:r>
        <w:rPr>
          <w:bCs/>
          <w:b/>
        </w:rPr>
        <w:t xml:space="preserve">grhfehgdiw</w:t>
      </w:r>
      <w:r>
        <w:t xml:space="preserve">. This report aims to quantify the greenhouse gas (GHG) emissions associated with the entire lifecycle of the product, providing transparency and identifying key areas for potential emission reduction. The assessment is performed by</w:t>
      </w:r>
      <w:r>
        <w:t xml:space="preserve"> </w:t>
      </w:r>
      <w:r>
        <w:rPr>
          <w:bCs/>
          <w:b/>
        </w:rPr>
        <w:t xml:space="preserve">heouigryrk</w:t>
      </w:r>
      <w:r>
        <w:t xml:space="preserve">, a Senior Sustainability Consultant with expertise in GHG Protocol accounting and reporting.</w:t>
      </w:r>
    </w:p>
    <w:p>
      <w:r>
        <w:pict>
          <v:rect style="width:0;height:1.5pt" o:hralign="center" o:hrstd="t" o:hr="t"/>
        </w:pict>
      </w:r>
    </w:p>
    <w:bookmarkEnd w:id="23"/>
    <w:bookmarkStart w:id="30" w:name="X9cac3154c3d136f739fafdbed6f759716b97307"/>
    <w:p>
      <w:pPr>
        <w:pStyle w:val="Heading2"/>
      </w:pPr>
      <w:r>
        <w:t xml:space="preserve">2. Methodology: Defining Scope and Boundaries</w:t>
      </w:r>
    </w:p>
    <w:p>
      <w:pPr>
        <w:pStyle w:val="FirstParagraph"/>
      </w:pPr>
      <w:r>
        <w:t xml:space="preserve">The PCF analysis is conducted following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w:t>
      </w:r>
      <w:r>
        <w:rPr>
          <w:vertAlign w:val="subscript"/>
        </w:rPr>
        <w:t xml:space="preserve">2</w:t>
      </w:r>
      <w:r>
        <w:t xml:space="preserve">e).</w:t>
      </w:r>
    </w:p>
    <w:p>
      <w:pPr>
        <w:numPr>
          <w:ilvl w:val="0"/>
          <w:numId w:val="1001"/>
        </w:numPr>
        <w:pStyle w:val="Compact"/>
      </w:pPr>
      <w:r>
        <w:t xml:space="preserve">Review &amp; Report (Hotspots and reliability).</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grhfehgdiw</w:t>
      </w:r>
      <w:r>
        <w:t xml:space="preserve">, providing a consistent basis for quantification and comparison of environmental impacts.</w:t>
      </w:r>
    </w:p>
    <w:bookmarkEnd w:id="24"/>
    <w:bookmarkStart w:id="25" w:name="system-boundary"/>
    <w:p>
      <w:pPr>
        <w:pStyle w:val="Heading3"/>
      </w:pPr>
      <w:r>
        <w:t xml:space="preserve">2.2. System Boundary</w:t>
      </w:r>
    </w:p>
    <w:p>
      <w:pPr>
        <w:pStyle w:val="FirstParagraph"/>
      </w:pPr>
      <w:r>
        <w:t xml:space="preserve">The system boundary for this PCF is</w:t>
      </w:r>
      <w:r>
        <w:t xml:space="preserve"> </w:t>
      </w:r>
      <w:r>
        <w:rPr>
          <w:bCs/>
          <w:b/>
        </w:rPr>
        <w:t xml:space="preserve">"cradle-to-gate" (factory_gate) with the explicit inclusion of the product\'s use phase and end-of-life (EoL) scenarios</w:t>
      </w:r>
      <w:r>
        <w:t xml:space="preserve">. This comprehensive approach ensures that emissions across the product\'s entire lifecycle are captured and accounted for:</w:t>
      </w:r>
    </w:p>
    <w:p>
      <w:pPr>
        <w:numPr>
          <w:ilvl w:val="0"/>
          <w:numId w:val="1002"/>
        </w:numPr>
        <w:pStyle w:val="Compact"/>
      </w:pPr>
      <w:r>
        <w:rPr>
          <w:bCs/>
          <w:b/>
        </w:rPr>
        <w:t xml:space="preserve">Upstream (Scope 3):</w:t>
      </w:r>
      <w:r>
        <w:t xml:space="preserve"> </w:t>
      </w:r>
      <w:r>
        <w:t xml:space="preserve">Raw material extraction and processing, manufacturing of components, and upstream transportation.</w:t>
      </w:r>
    </w:p>
    <w:p>
      <w:pPr>
        <w:numPr>
          <w:ilvl w:val="0"/>
          <w:numId w:val="1002"/>
        </w:numPr>
        <w:pStyle w:val="Compact"/>
      </w:pPr>
      <w:r>
        <w:rPr>
          <w:bCs/>
          <w:b/>
        </w:rPr>
        <w:t xml:space="preserve">Core Operations (Scope 1 &amp; 2):</w:t>
      </w:r>
      <w:r>
        <w:t xml:space="preserve"> </w:t>
      </w:r>
      <w:r>
        <w:t xml:space="preserve">Manufacturing processes at the final production facility (factory_gate), including direct emissions from owned/controlled sources and indirect emissions from purchased electricity.</w:t>
      </w:r>
    </w:p>
    <w:p>
      <w:pPr>
        <w:numPr>
          <w:ilvl w:val="0"/>
          <w:numId w:val="1002"/>
        </w:numPr>
        <w:pStyle w:val="Compact"/>
      </w:pPr>
      <w:r>
        <w:rPr>
          <w:bCs/>
          <w:b/>
        </w:rPr>
        <w:t xml:space="preserve">Downstream (Scope 3):</w:t>
      </w:r>
      <w:r>
        <w:t xml:space="preserve"> </w:t>
      </w:r>
      <w:r>
        <w:t xml:space="preserve">Transportation of the finished product to the customer, product use phase, and end-of-life treatment.</w:t>
      </w:r>
    </w:p>
    <w:bookmarkEnd w:id="25"/>
    <w:bookmarkStart w:id="26" w:name="geographic-scope"/>
    <w:p>
      <w:pPr>
        <w:pStyle w:val="Heading3"/>
      </w:pPr>
      <w:r>
        <w:t xml:space="preserve">2.3. Geographic Scope</w:t>
      </w:r>
    </w:p>
    <w:p>
      <w:pPr>
        <w:pStyle w:val="FirstParagraph"/>
      </w:pPr>
      <w:r>
        <w:t xml:space="preserve">The geographic scope for this analysis is as follows: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upstream logistics)</w:t>
      </w:r>
    </w:p>
    <w:bookmarkEnd w:id="26"/>
    <w:bookmarkStart w:id="28"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w:t>
      </w:r>
    </w:p>
    <w:p>
      <w:pPr>
        <w:numPr>
          <w:ilvl w:val="0"/>
          <w:numId w:val="1004"/>
        </w:numPr>
        <w:pStyle w:val="Compact"/>
      </w:pPr>
      <w:r>
        <w:rPr>
          <w:bCs/>
          <w:b/>
        </w:rPr>
        <w:t xml:space="preserve">Scope 1:</w:t>
      </w:r>
      <w:r>
        <w:t xml:space="preserve"> </w:t>
      </w:r>
      <w:r>
        <w:t xml:space="preserve">Direct GHG emissions from sources owned or controlled by rmxxgpeqkp.</w:t>
      </w:r>
    </w:p>
    <w:p>
      <w:pPr>
        <w:numPr>
          <w:ilvl w:val="0"/>
          <w:numId w:val="1004"/>
        </w:numPr>
        <w:pStyle w:val="Compact"/>
      </w:pPr>
      <w:r>
        <w:rPr>
          <w:bCs/>
          <w:b/>
        </w:rPr>
        <w:t xml:space="preserve">Scope 2:</w:t>
      </w:r>
      <w:r>
        <w:t xml:space="preserve"> </w:t>
      </w:r>
      <w:r>
        <w:t xml:space="preserve">Indirect GHG emissions from the generation of purchased electricity consumed by rmxxgpeqkp.</w:t>
      </w:r>
    </w:p>
    <w:p>
      <w:pPr>
        <w:numPr>
          <w:ilvl w:val="0"/>
          <w:numId w:val="1004"/>
        </w:numPr>
        <w:pStyle w:val="Compact"/>
      </w:pPr>
      <w:r>
        <w:rPr>
          <w:bCs/>
          <w:b/>
        </w:rPr>
        <w:t xml:space="preserve">Scope 3:</w:t>
      </w:r>
      <w:r>
        <w:t xml:space="preserve"> </w:t>
      </w:r>
      <w:r>
        <w:t xml:space="preserve">All other indirect GHG emissions that occur in the value chain of rmxxgpeqkp, both upstream and downstream.</w:t>
      </w:r>
    </w:p>
    <w:bookmarkStart w:id="27" w:name="ghg-protocol-updates"/>
    <w:p>
      <w:pPr>
        <w:pStyle w:val="Heading4"/>
      </w:pPr>
      <w:r>
        <w:t xml:space="preserve">2.4.1. 2026 GHG Protocol Updates</w:t>
      </w:r>
    </w:p>
    <w:p>
      <w:pPr>
        <w:pStyle w:val="FirstParagraph"/>
      </w:pPr>
      <w:r>
        <w:t xml:space="preserve">This report proactively incorporates the principles and requirements of the anticipated 2026 GHG Protocol updates:</w:t>
      </w:r>
    </w:p>
    <w:p>
      <w:pPr>
        <w:numPr>
          <w:ilvl w:val="0"/>
          <w:numId w:val="1005"/>
        </w:numPr>
        <w:pStyle w:val="Compact"/>
      </w:pPr>
      <w:r>
        <w:rPr>
          <w:bCs/>
          <w:b/>
        </w:rPr>
        <w:t xml:space="preserve">Land Sector and Removals (LSR) Standard:</w:t>
      </w:r>
      <w:r>
        <w:t xml:space="preserve"> </w:t>
      </w:r>
      <w:r>
        <w:t xml:space="preserve">The LSR Standard, effective January 1, 2027, provides requirements and guidance for entities with significant land sector activities or those reporting CO2 removals. While specific land use data for grhfehgdiw\'s upstream components was not provided, the principles of transparently accounting for land-related emissions and removals are recognized and will be fully integrated as specific data becomes available.</w:t>
      </w:r>
    </w:p>
    <w:p>
      <w:pPr>
        <w:numPr>
          <w:ilvl w:val="0"/>
          <w:numId w:val="1005"/>
        </w:numPr>
        <w:pStyle w:val="Compact"/>
      </w:pPr>
      <w:r>
        <w:rPr>
          <w:bCs/>
          <w:b/>
        </w:rPr>
        <w:t xml:space="preserve">Scope 3 Compliance (95% Coverage):</w:t>
      </w:r>
      <w:r>
        <w:t xml:space="preserve"> </w:t>
      </w:r>
      <w:r>
        <w:t xml:space="preserve">As per 2026 requirements, companies must account for at least 95% of total relevant Scope 3 emissions to claim conformance, with exclusions needing quantification, disclosure, and justification. This analysis aims for comprehensive Scope 3 coverage, and in a full primary data collection scenario, all significant sources would be included to meet this threshold. The upcoming requirements also emphasize mandatory data disaggregation by source type (primary vs. secondary), a practice this report conceptually supports.</w:t>
      </w:r>
    </w:p>
    <w:bookmarkEnd w:id="27"/>
    <w:bookmarkEnd w:id="28"/>
    <w:bookmarkStart w:id="29" w:name="allocation"/>
    <w:p>
      <w:pPr>
        <w:pStyle w:val="Heading3"/>
      </w:pPr>
      <w:r>
        <w:t xml:space="preserve">2.5. Allocation</w:t>
      </w:r>
    </w:p>
    <w:p>
      <w:pPr>
        <w:pStyle w:val="FirstParagraph"/>
      </w:pPr>
      <w:r>
        <w:t xml:space="preserve">Emissions are allocated based on a mass-based approach for material inputs, and direct attribution for energy consumption and transportation activities specific to the functional unit.</w:t>
      </w:r>
    </w:p>
    <w:p>
      <w:r>
        <w:pict>
          <v:rect style="width:0;height:1.5pt" o:hralign="center" o:hrstd="t" o:hr="t"/>
        </w:pict>
      </w:r>
    </w:p>
    <w:bookmarkEnd w:id="29"/>
    <w:bookmarkEnd w:id="30"/>
    <w:bookmarkStart w:id="36" w:name="lifecycle-inventory-lci-data-collection"/>
    <w:p>
      <w:pPr>
        <w:pStyle w:val="Heading2"/>
      </w:pPr>
      <w:r>
        <w:t xml:space="preserve">3. Lifecycle Inventory (LCI) &amp; Data Collection</w:t>
      </w:r>
    </w:p>
    <w:p>
      <w:pPr>
        <w:pStyle w:val="FirstParagraph"/>
      </w:pPr>
      <w:r>
        <w:t xml:space="preserve">This section details the primary and secondary data points collected for each lifecycle stage of grhfehgdiw. Due to the placeholder nature of some provided parameters, illustrative data consistent with the specified format and industry averages have been utilized where necessary, with a clear note of this assumption.</w:t>
      </w:r>
    </w:p>
    <w:bookmarkStart w:id="31" w:name="detailed-bill-of-materials-bom"/>
    <w:p>
      <w:pPr>
        <w:pStyle w:val="Heading3"/>
      </w:pPr>
      <w:r>
        <w:t xml:space="preserve">3.1. Detailed Bill of Materials (BOM)</w:t>
      </w:r>
    </w:p>
    <w:p>
      <w:pPr>
        <w:pStyle w:val="FirstParagraph"/>
      </w:pPr>
      <w:r>
        <w:t xml:space="preserve">The provided Detailed Bill of Materials (BOM) parameter,</w:t>
      </w:r>
      <w:r>
        <w:t xml:space="preserve"> </w:t>
      </w:r>
      <w:r>
        <w:rPr>
          <w:bCs/>
          <w:b/>
        </w:rPr>
        <w:t xml:space="preserve">"mnwjkqyi"</w:t>
      </w:r>
      <w:r>
        <w:t xml:space="preserve">, is a placeholder string. For the purpose of this high-accuracy material impact calculation, an illustrative BOM adhering to the specified format (ID, Description, Category, Process, Qty, Unit, Emission Factor, Total Carbon) is used. In a live scenario, the detailed data contained within the \'mnwjkqyi\' string would be parsed directly.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e/kg)</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(Simplified)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0.025</w:t>
            </w:r>
          </w:p>
        </w:tc>
      </w:tr>
      <w:tr>
        <w:tc>
          <w:tcPr>
            <w:gridSpan w:val="7"/>
          </w:tcPr>
          <w:p>
            <w:pPr>
              <w:pStyle w:val="Compact"/>
              <w:jc w:val="right"/>
            </w:pPr>
            <w:r>
              <w:rPr>
                <w:bCs/>
                <w:b/>
              </w:rPr>
              <w:t xml:space="preserve">Total Material Impact:</w:t>
            </w:r>
          </w:p>
        </w:tc>
        <w:tc>
          <w:tcPr/>
          <w:p>
            <w:pPr>
              <w:pStyle w:val="Compact"/>
              <w:jc w:val="left"/>
            </w:pPr>
            <w:r>
              <w:rPr>
                <w:bCs/>
                <w:b/>
              </w:rPr>
              <w:t xml:space="preserve">2.625</w:t>
            </w:r>
          </w:p>
        </w:tc>
      </w:tr>
      <w:tr>
        <w:tc>
          <w:tcPr>
            <w:gridSpan w:val="7"/>
          </w:tcPr>
          <w:p>
            <w:pPr>
              <w:pStyle w:val="Compact"/>
              <w:jc w:val="right"/>
            </w:pPr>
            <w:r>
              <w:rPr>
                <w:bCs/>
                <w:b/>
              </w:rPr>
              <w:t xml:space="preserve">Total Product Weight (for transport):</w:t>
            </w:r>
          </w:p>
        </w:tc>
        <w:tc>
          <w:tcPr/>
          <w:p>
            <w:pPr>
              <w:pStyle w:val="Compact"/>
              <w:jc w:val="left"/>
            </w:pPr>
            <w:r>
              <w:rPr>
                <w:bCs/>
                <w:b/>
              </w:rPr>
              <w:t xml:space="preserve">0.85 kg</w:t>
            </w:r>
          </w:p>
        </w:tc>
      </w:tr>
    </w:tbl>
    <w:bookmarkEnd w:id="31"/>
    <w:bookmarkStart w:id="32" w:name="energy-inputs-production-phase"/>
    <w:p>
      <w:pPr>
        <w:pStyle w:val="Heading3"/>
      </w:pPr>
      <w:r>
        <w:t xml:space="preserve">3.2. Energy Inputs (Production Phase)</w:t>
      </w:r>
    </w:p>
    <w:p>
      <w:pPr>
        <w:numPr>
          <w:ilvl w:val="0"/>
          <w:numId w:val="1006"/>
        </w:numPr>
        <w:pStyle w:val="Compact"/>
      </w:pPr>
      <w:r>
        <w:rPr>
          <w:bCs/>
          <w:b/>
        </w:rPr>
        <w:t xml:space="preserve">Renewable Energy Usage:</w:t>
      </w:r>
      <w:r>
        <w:t xml:space="preserve"> </w:t>
      </w:r>
      <w:r>
        <w:rPr>
          <w:bCs/>
          <w:b/>
        </w:rPr>
        <w:t xml:space="preserve">wylylfwvjr</w:t>
      </w:r>
      <w:r>
        <w:t xml:space="preserve"> </w:t>
      </w:r>
      <w:r>
        <w:t xml:space="preserve">(placeholder - assumed 50%)</w:t>
      </w:r>
    </w:p>
    <w:p>
      <w:pPr>
        <w:numPr>
          <w:ilvl w:val="0"/>
          <w:numId w:val="1006"/>
        </w:numPr>
        <w:pStyle w:val="Compact"/>
      </w:pPr>
      <w:r>
        <w:rPr>
          <w:bCs/>
          <w:b/>
        </w:rPr>
        <w:t xml:space="preserve">Energy Intensity (kWh/unit):</w:t>
      </w:r>
      <w:r>
        <w:t xml:space="preserve"> </w:t>
      </w:r>
      <w:r>
        <w:rPr>
          <w:bCs/>
          <w:b/>
        </w:rPr>
        <w:t xml:space="preserve">neizodqwtu</w:t>
      </w:r>
      <w:r>
        <w:t xml:space="preserve"> </w:t>
      </w:r>
      <w:r>
        <w:t xml:space="preserve">(placeholder - assumed 10 kWh/unit)</w:t>
      </w:r>
    </w:p>
    <w:p>
      <w:pPr>
        <w:numPr>
          <w:ilvl w:val="0"/>
          <w:numId w:val="1006"/>
        </w:numPr>
        <w:pStyle w:val="Compact"/>
      </w:pPr>
      <w:r>
        <w:rPr>
          <w:bCs/>
          <w:b/>
        </w:rPr>
        <w:t xml:space="preserve">Electricity Grid Emission Factor (China):</w:t>
      </w:r>
      <w:r>
        <w:t xml:space="preserve"> </w:t>
      </w:r>
      <w:r>
        <w:t xml:space="preserve">0.6144 kg CO</w:t>
      </w:r>
      <w:r>
        <w:rPr>
          <w:vertAlign w:val="subscript"/>
        </w:rPr>
        <w:t xml:space="preserve">2</w:t>
      </w:r>
      <w:r>
        <w:t xml:space="preserve">e/kWh (Based on projected carbon emission factors for China\'s electric power in 2025/2030).</w:t>
      </w:r>
    </w:p>
    <w:bookmarkEnd w:id="32"/>
    <w:bookmarkStart w:id="33" w:name="logistics-data-transportation"/>
    <w:p>
      <w:pPr>
        <w:pStyle w:val="Heading3"/>
      </w:pPr>
      <w:r>
        <w:t xml:space="preserve">3.3. Logistics Data (Transportation)</w:t>
      </w:r>
    </w:p>
    <w:p>
      <w:pPr>
        <w:numPr>
          <w:ilvl w:val="0"/>
          <w:numId w:val="1007"/>
        </w:numPr>
        <w:pStyle w:val="Compact"/>
      </w:pPr>
      <w:r>
        <w:rPr>
          <w:bCs/>
          <w:b/>
        </w:rPr>
        <w:t xml:space="preserve">Transport Mode (Upstream):</w:t>
      </w:r>
      <w:r>
        <w:t xml:space="preserve"> </w:t>
      </w:r>
      <w:r>
        <w:rPr>
          <w:bCs/>
          <w:b/>
        </w:rPr>
        <w:t xml:space="preserve">Select Mode</w:t>
      </w:r>
      <w:r>
        <w:t xml:space="preserve"> </w:t>
      </w:r>
      <w:r>
        <w:t xml:space="preserve">(placeholder - assumed Road Freight for raw materials from Europe to China)</w:t>
      </w:r>
    </w:p>
    <w:p>
      <w:pPr>
        <w:numPr>
          <w:ilvl w:val="0"/>
          <w:numId w:val="1007"/>
        </w:numPr>
        <w:pStyle w:val="Compact"/>
      </w:pPr>
      <w:r>
        <w:rPr>
          <w:bCs/>
          <w:b/>
        </w:rPr>
        <w:t xml:space="preserve">Transport Distance (Upstream):</w:t>
      </w:r>
      <w:r>
        <w:t xml:space="preserve"> </w:t>
      </w:r>
      <w:r>
        <w:rPr>
          <w:bCs/>
          <w:b/>
        </w:rPr>
        <w:t xml:space="preserve">rzyueleehn</w:t>
      </w:r>
      <w:r>
        <w:t xml:space="preserve"> </w:t>
      </w:r>
      <w:r>
        <w:t xml:space="preserve">(placeholder - assumed 500 km)</w:t>
      </w:r>
    </w:p>
    <w:p>
      <w:pPr>
        <w:numPr>
          <w:ilvl w:val="0"/>
          <w:numId w:val="1007"/>
        </w:numPr>
        <w:pStyle w:val="Compact"/>
      </w:pPr>
      <w:r>
        <w:rPr>
          <w:bCs/>
          <w:b/>
        </w:rPr>
        <w:t xml:space="preserve">Road Freight Emission Factor:</w:t>
      </w:r>
      <w:r>
        <w:t xml:space="preserve"> </w:t>
      </w:r>
      <w:r>
        <w:t xml:space="preserve">0.062 kg CO</w:t>
      </w:r>
      <w:r>
        <w:rPr>
          <w:vertAlign w:val="subscript"/>
        </w:rPr>
        <w:t xml:space="preserve">2</w:t>
      </w:r>
      <w:r>
        <w:t xml:space="preserve">e/tkm (for diesel truck).</w:t>
      </w:r>
    </w:p>
    <w:p>
      <w:pPr>
        <w:numPr>
          <w:ilvl w:val="0"/>
          <w:numId w:val="1007"/>
        </w:numPr>
        <w:pStyle w:val="Compact"/>
      </w:pPr>
      <w:r>
        <w:rPr>
          <w:bCs/>
          <w:b/>
        </w:rPr>
        <w:t xml:space="preserve">Last-Mile Delivery Channel:</w:t>
      </w:r>
      <w:r>
        <w:t xml:space="preserve"> </w:t>
      </w:r>
      <w:r>
        <w:rPr>
          <w:bCs/>
          <w:b/>
        </w:rPr>
        <w:t xml:space="preserve">Delivery Type</w:t>
      </w:r>
      <w:r>
        <w:t xml:space="preserve"> </w:t>
      </w:r>
      <w:r>
        <w:t xml:space="preserve">(placeholder - assumed Van Delivery for product to customer)</w:t>
      </w:r>
    </w:p>
    <w:p>
      <w:pPr>
        <w:numPr>
          <w:ilvl w:val="0"/>
          <w:numId w:val="1007"/>
        </w:numPr>
        <w:pStyle w:val="Compact"/>
      </w:pPr>
      <w:r>
        <w:rPr>
          <w:bCs/>
          <w:b/>
        </w:rPr>
        <w:t xml:space="preserve">Last-Mile Delivery Distance (Downstream):</w:t>
      </w:r>
      <w:r>
        <w:t xml:space="preserve"> </w:t>
      </w:r>
      <w:r>
        <w:rPr>
          <w:bCs/>
          <w:b/>
        </w:rPr>
        <w:t xml:space="preserve">rzyueleehn</w:t>
      </w:r>
      <w:r>
        <w:t xml:space="preserve"> </w:t>
      </w:r>
      <w:r>
        <w:t xml:space="preserve">(placeholder - assumed 100 km)</w:t>
      </w:r>
    </w:p>
    <w:p>
      <w:pPr>
        <w:numPr>
          <w:ilvl w:val="0"/>
          <w:numId w:val="1007"/>
        </w:numPr>
        <w:pStyle w:val="Compact"/>
      </w:pPr>
      <w:r>
        <w:rPr>
          <w:bCs/>
          <w:b/>
        </w:rPr>
        <w:t xml:space="preserve">Van Delivery Emission Factor:</w:t>
      </w:r>
      <w:r>
        <w:t xml:space="preserve"> </w:t>
      </w:r>
      <w:r>
        <w:t xml:space="preserve">0.24934 kg CO</w:t>
      </w:r>
      <w:r>
        <w:rPr>
          <w:vertAlign w:val="subscript"/>
        </w:rPr>
        <w:t xml:space="preserve">2</w:t>
      </w:r>
      <w:r>
        <w:t xml:space="preserve">e/km (Average van up to 3.5 tonnes). For PCF, this is assumed to be allocated per unit over a typical delivery run.</w:t>
      </w:r>
    </w:p>
    <w:bookmarkEnd w:id="33"/>
    <w:bookmarkStart w:id="34" w:name="use-phase-data"/>
    <w:p>
      <w:pPr>
        <w:pStyle w:val="Heading3"/>
      </w:pPr>
      <w:r>
        <w:t xml:space="preserve">3.4. Use Phase Data</w:t>
      </w:r>
    </w:p>
    <w:p>
      <w:pPr>
        <w:numPr>
          <w:ilvl w:val="0"/>
          <w:numId w:val="1008"/>
        </w:numPr>
        <w:pStyle w:val="Compact"/>
      </w:pPr>
      <w:r>
        <w:rPr>
          <w:bCs/>
          <w:b/>
        </w:rPr>
        <w:t xml:space="preserve">Product Lifespan:</w:t>
      </w:r>
      <w:r>
        <w:t xml:space="preserve"> </w:t>
      </w:r>
      <w:r>
        <w:rPr>
          <w:bCs/>
          <w:b/>
        </w:rPr>
        <w:t xml:space="preserve">zhplrzlpgr</w:t>
      </w:r>
      <w:r>
        <w:t xml:space="preserve"> </w:t>
      </w:r>
      <w:r>
        <w:t xml:space="preserve">(placeholder - assumed 5 years)</w:t>
      </w:r>
    </w:p>
    <w:p>
      <w:pPr>
        <w:numPr>
          <w:ilvl w:val="0"/>
          <w:numId w:val="1008"/>
        </w:numPr>
        <w:pStyle w:val="Compact"/>
      </w:pPr>
      <w:r>
        <w:rPr>
          <w:bCs/>
          <w:b/>
        </w:rPr>
        <w:t xml:space="preserve">Energy Consumption in Use (per year):</w:t>
      </w:r>
      <w:r>
        <w:t xml:space="preserve"> </w:t>
      </w:r>
      <w:r>
        <w:rPr>
          <w:bCs/>
          <w:b/>
        </w:rPr>
        <w:t xml:space="preserve">mpmewqkmli</w:t>
      </w:r>
      <w:r>
        <w:t xml:space="preserve"> </w:t>
      </w:r>
      <w:r>
        <w:t xml:space="preserve">(placeholder - assumed 20 kWh/year)</w:t>
      </w:r>
    </w:p>
    <w:p>
      <w:pPr>
        <w:numPr>
          <w:ilvl w:val="0"/>
          <w:numId w:val="1008"/>
        </w:numPr>
        <w:pStyle w:val="Compact"/>
      </w:pPr>
      <w:r>
        <w:rPr>
          <w:bCs/>
          <w:b/>
        </w:rPr>
        <w:t xml:space="preserve">Electricity Grid Emission Factor (for use phase):</w:t>
      </w:r>
      <w:r>
        <w:t xml:space="preserve"> </w:t>
      </w:r>
      <w:r>
        <w:t xml:space="preserve">0.6144 kg CO</w:t>
      </w:r>
      <w:r>
        <w:rPr>
          <w:vertAlign w:val="subscript"/>
        </w:rPr>
        <w:t xml:space="preserve">2</w:t>
      </w:r>
      <w:r>
        <w:t xml:space="preserve">e/kWh (Consistent with China\'s grid for manufacturing, assuming product is used in a similar grid context).</w:t>
      </w:r>
    </w:p>
    <w:bookmarkEnd w:id="34"/>
    <w:bookmarkStart w:id="35"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rPr>
          <w:bCs/>
          <w:b/>
        </w:rPr>
        <w:t xml:space="preserve">xovntsssno</w:t>
      </w:r>
      <w:r>
        <w:t xml:space="preserve"> </w:t>
      </w:r>
      <w:r>
        <w:t xml:space="preserve">(placeholder - assumed 70% of product by weight)</w:t>
      </w:r>
    </w:p>
    <w:p>
      <w:pPr>
        <w:numPr>
          <w:ilvl w:val="0"/>
          <w:numId w:val="1009"/>
        </w:numPr>
        <w:pStyle w:val="Compact"/>
      </w:pPr>
      <w:r>
        <w:rPr>
          <w:bCs/>
          <w:b/>
        </w:rPr>
        <w:t xml:space="preserve">Circular/Take-back Programs:</w:t>
      </w:r>
      <w:r>
        <w:t xml:space="preserve"> </w:t>
      </w:r>
      <w:r>
        <w:rPr>
          <w:bCs/>
          <w:b/>
        </w:rPr>
        <w:t xml:space="preserve">djprenkfdo</w:t>
      </w:r>
      <w:r>
        <w:t xml:space="preserve"> </w:t>
      </w:r>
      <w:r>
        <w:t xml:space="preserve">(placeholder - assumed active take-back program for key components, achieving component reuse and material recycling)</w:t>
      </w:r>
    </w:p>
    <w:p>
      <w:pPr>
        <w:numPr>
          <w:ilvl w:val="0"/>
          <w:numId w:val="1009"/>
        </w:numPr>
        <w:pStyle w:val="Compact"/>
      </w:pPr>
      <w:r>
        <w:rPr>
          <w:bCs/>
          <w:b/>
        </w:rPr>
        <w:t xml:space="preserve">Waste Disposal (Landfill) Emission Factor:</w:t>
      </w:r>
      <w:r>
        <w:t xml:space="preserve"> </w:t>
      </w:r>
      <w:r>
        <w:t xml:space="preserve">0.04 kg CO</w:t>
      </w:r>
      <w:r>
        <w:rPr>
          <w:vertAlign w:val="subscript"/>
        </w:rPr>
        <w:t xml:space="preserve">2</w:t>
      </w:r>
      <w:r>
        <w:t xml:space="preserve">e/kg (Illustrative for non-recyclable plastic waste). A general factor for other materials is often lower, but for simplicity, this representative value is used for the non-recycled portion.</w:t>
      </w:r>
    </w:p>
    <w:p>
      <w:r>
        <w:pict>
          <v:rect style="width:0;height:1.5pt" o:hralign="center" o:hrstd="t" o:hr="t"/>
        </w:pict>
      </w:r>
    </w:p>
    <w:bookmarkEnd w:id="35"/>
    <w:bookmarkEnd w:id="36"/>
    <w:bookmarkStart w:id="46" w:name="Xdd1c2ba429305467bad58a0828410d9d0fce25c"/>
    <w:p>
      <w:pPr>
        <w:pStyle w:val="Heading2"/>
      </w:pPr>
      <w:r>
        <w:t xml:space="preserve">4. Emissions Calculation (Activity * Emission Factor = CO</w:t>
      </w:r>
      <w:r>
        <w:rPr>
          <w:vertAlign w:val="subscript"/>
        </w:rPr>
        <w:t xml:space="preserve">2</w:t>
      </w:r>
      <w:r>
        <w:t xml:space="preserve">e)</w:t>
      </w:r>
    </w:p>
    <w:p>
      <w:pPr>
        <w:pStyle w:val="FirstParagraph"/>
      </w:pPr>
      <w:r>
        <w:t xml:space="preserve">The total Product Carbon Footprint for one unit of grhfehgdiw is calculated by summing the emissions across all relevant lifecycle stages, categorized by Scope 1, 2, and 3 according to the GHG Protocol.</w:t>
      </w:r>
    </w:p>
    <w:bookmarkStart w:id="37" w:name="scope-1-direct-emissions"/>
    <w:p>
      <w:pPr>
        <w:pStyle w:val="Heading3"/>
      </w:pPr>
      <w:r>
        <w:t xml:space="preserve">4.1. Scope 1: Direct Emissions</w:t>
      </w:r>
    </w:p>
    <w:p>
      <w:pPr>
        <w:pStyle w:val="FirstParagraph"/>
      </w:pPr>
      <w:r>
        <w:t xml:space="preserve">These emissions arise directly from sources owned or controlled by</w:t>
      </w:r>
      <w:r>
        <w:t xml:space="preserve"> </w:t>
      </w:r>
      <w:r>
        <w:rPr>
          <w:bCs/>
          <w:b/>
        </w:rPr>
        <w:t xml:space="preserve">rmxxgpeqkp</w:t>
      </w:r>
      <w:r>
        <w:t xml:space="preserve"> </w:t>
      </w:r>
      <w:r>
        <w:t xml:space="preserve">at the production facility. For this analysis, a nominal emission value is assumed due to the absence of specific on-site fuel consumption data.</w:t>
      </w:r>
    </w:p>
    <w:p>
      <w:pPr>
        <w:numPr>
          <w:ilvl w:val="0"/>
          <w:numId w:val="1010"/>
        </w:numPr>
        <w:pStyle w:val="Compact"/>
      </w:pPr>
      <w:r>
        <w:rPr>
          <w:bCs/>
          <w:b/>
        </w:rPr>
        <w:t xml:space="preserve">Assumed On-site Combustion (e.g., forklifts, small generators):</w:t>
      </w:r>
      <w:r>
        <w:t xml:space="preserve"> </w:t>
      </w:r>
      <w:r>
        <w:t xml:space="preserve">0.10 kg CO</w:t>
      </w:r>
      <w:r>
        <w:rPr>
          <w:vertAlign w:val="subscript"/>
        </w:rPr>
        <w:t xml:space="preserve">2</w:t>
      </w:r>
      <w:r>
        <w:t xml:space="preserve">e/unit</w:t>
      </w:r>
    </w:p>
    <w:p>
      <w:pPr>
        <w:pStyle w:val="FirstParagraph"/>
      </w:pPr>
      <w:r>
        <w:rPr>
          <w:bCs/>
          <w:b/>
        </w:rPr>
        <w:t xml:space="preserve">Total Scope 1 Emissions: 0.10 kg CO</w:t>
      </w:r>
      <w:r>
        <w:rPr>
          <w:vertAlign w:val="subscript"/>
          <w:bCs/>
          <w:b/>
        </w:rPr>
        <w:t xml:space="preserve">2</w:t>
      </w:r>
      <w:r>
        <w:rPr>
          <w:bCs/>
          <w:b/>
        </w:rPr>
        <w:t xml:space="preserve">e/unit</w:t>
      </w:r>
    </w:p>
    <w:bookmarkEnd w:id="37"/>
    <w:bookmarkStart w:id="38" w:name="scope-2-energy-indirect-emissions"/>
    <w:p>
      <w:pPr>
        <w:pStyle w:val="Heading3"/>
      </w:pPr>
      <w:r>
        <w:t xml:space="preserve">4.2. Scope 2: Energy Indirect Emissions</w:t>
      </w:r>
    </w:p>
    <w:p>
      <w:pPr>
        <w:pStyle w:val="FirstParagraph"/>
      </w:pPr>
      <w:r>
        <w:t xml:space="preserve">These emissions result from the generation of purchased electricity consumed during the manufacturing process of</w:t>
      </w:r>
      <w:r>
        <w:t xml:space="preserve"> </w:t>
      </w:r>
      <w:r>
        <w:rPr>
          <w:bCs/>
          <w:b/>
        </w:rPr>
        <w:t xml:space="preserve">grhfehgdiw</w:t>
      </w:r>
      <w:r>
        <w:t xml:space="preserve">.</w:t>
      </w:r>
    </w:p>
    <w:p>
      <w:pPr>
        <w:numPr>
          <w:ilvl w:val="0"/>
          <w:numId w:val="1011"/>
        </w:numPr>
        <w:pStyle w:val="Compact"/>
      </w:pPr>
      <w:r>
        <w:rPr>
          <w:bCs/>
          <w:b/>
        </w:rPr>
        <w:t xml:space="preserve">Total Energy Intensity:</w:t>
      </w:r>
      <w:r>
        <w:t xml:space="preserve"> </w:t>
      </w:r>
      <w:r>
        <w:t xml:space="preserve">10 kWh/unit</w:t>
      </w:r>
    </w:p>
    <w:p>
      <w:pPr>
        <w:numPr>
          <w:ilvl w:val="0"/>
          <w:numId w:val="1011"/>
        </w:numPr>
        <w:pStyle w:val="Compact"/>
      </w:pPr>
      <w:r>
        <w:rPr>
          <w:bCs/>
          <w:b/>
        </w:rPr>
        <w:t xml:space="preserve">Renewable Energy Usage:</w:t>
      </w:r>
      <w:r>
        <w:t xml:space="preserve"> </w:t>
      </w:r>
      <w:r>
        <w:t xml:space="preserve">50%</w:t>
      </w:r>
    </w:p>
    <w:p>
      <w:pPr>
        <w:numPr>
          <w:ilvl w:val="0"/>
          <w:numId w:val="1011"/>
        </w:numPr>
        <w:pStyle w:val="Compact"/>
      </w:pPr>
      <w:r>
        <w:rPr>
          <w:bCs/>
          <w:b/>
        </w:rPr>
        <w:t xml:space="preserve">Non-renewable Electricity Consumption:</w:t>
      </w:r>
      <w:r>
        <w:t xml:space="preserve"> </w:t>
      </w:r>
      <w:r>
        <w:t xml:space="preserve">10 kWh/unit * (1 - 0.50) = 5 kWh/unit</w:t>
      </w:r>
    </w:p>
    <w:p>
      <w:pPr>
        <w:numPr>
          <w:ilvl w:val="0"/>
          <w:numId w:val="1011"/>
        </w:numPr>
        <w:pStyle w:val="Compact"/>
      </w:pPr>
      <w:r>
        <w:rPr>
          <w:bCs/>
          <w:b/>
        </w:rPr>
        <w:t xml:space="preserve">China Grid Emission Factor:</w:t>
      </w:r>
      <w:r>
        <w:t xml:space="preserve"> </w:t>
      </w:r>
      <w:r>
        <w:t xml:space="preserve">0.6144 kg CO</w:t>
      </w:r>
      <w:r>
        <w:rPr>
          <w:vertAlign w:val="subscript"/>
        </w:rPr>
        <w:t xml:space="preserve">2</w:t>
      </w:r>
      <w:r>
        <w:t xml:space="preserve">e/kWh</w:t>
      </w:r>
    </w:p>
    <w:p>
      <w:pPr>
        <w:numPr>
          <w:ilvl w:val="0"/>
          <w:numId w:val="1011"/>
        </w:numPr>
        <w:pStyle w:val="Compact"/>
      </w:pPr>
      <w:r>
        <w:rPr>
          <w:bCs/>
          <w:b/>
        </w:rPr>
        <w:t xml:space="preserve">Calculation:</w:t>
      </w:r>
      <w:r>
        <w:t xml:space="preserve"> </w:t>
      </w:r>
      <w:r>
        <w:t xml:space="preserve">5 kWh/unit * 0.6144 kg CO</w:t>
      </w:r>
      <w:r>
        <w:rPr>
          <w:vertAlign w:val="subscript"/>
        </w:rPr>
        <w:t xml:space="preserve">2</w:t>
      </w:r>
      <w:r>
        <w:t xml:space="preserve">e/kWh = 3.072 kg CO</w:t>
      </w:r>
      <w:r>
        <w:rPr>
          <w:vertAlign w:val="subscript"/>
        </w:rPr>
        <w:t xml:space="preserve">2</w:t>
      </w:r>
      <w:r>
        <w:t xml:space="preserve">e/unit</w:t>
      </w:r>
    </w:p>
    <w:p>
      <w:pPr>
        <w:pStyle w:val="FirstParagraph"/>
      </w:pPr>
      <w:r>
        <w:rPr>
          <w:bCs/>
          <w:b/>
        </w:rPr>
        <w:t xml:space="preserve">Total Scope 2 Emissions: 3.072 kg CO</w:t>
      </w:r>
      <w:r>
        <w:rPr>
          <w:vertAlign w:val="subscript"/>
          <w:bCs/>
          <w:b/>
        </w:rPr>
        <w:t xml:space="preserve">2</w:t>
      </w:r>
      <w:r>
        <w:rPr>
          <w:bCs/>
          <w:b/>
        </w:rPr>
        <w:t xml:space="preserve">e/unit</w:t>
      </w:r>
    </w:p>
    <w:bookmarkEnd w:id="38"/>
    <w:bookmarkStart w:id="44" w:name="scope-3-value-chain-emissions"/>
    <w:p>
      <w:pPr>
        <w:pStyle w:val="Heading3"/>
      </w:pPr>
      <w:r>
        <w:t xml:space="preserve">4.3. Scope 3: Value Chain Emissions</w:t>
      </w:r>
    </w:p>
    <w:p>
      <w:pPr>
        <w:pStyle w:val="FirstParagraph"/>
      </w:pPr>
      <w:r>
        <w:t xml:space="preserve">Scope 3 emissions cover all other indirect emissions occurring in the value chain, both upstream and downstream. This category represents the majority of the product\'s footprint and is disaggregated as per the GHG Protocol categories.</w:t>
      </w:r>
    </w:p>
    <w:bookmarkStart w:id="39"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manufacturing of raw materials and components as detailed in the illustrative Bill of Materials.</w:t>
      </w:r>
    </w:p>
    <w:p>
      <w:pPr>
        <w:numPr>
          <w:ilvl w:val="0"/>
          <w:numId w:val="1012"/>
        </w:numPr>
        <w:pStyle w:val="Compact"/>
      </w:pPr>
      <w:r>
        <w:rPr>
          <w:bCs/>
          <w:b/>
        </w:rPr>
        <w:t xml:space="preserve">Total Material Impact (from BOM):</w:t>
      </w:r>
      <w:r>
        <w:t xml:space="preserve"> </w:t>
      </w:r>
      <w:r>
        <w:t xml:space="preserve">2.625 kg CO</w:t>
      </w:r>
      <w:r>
        <w:rPr>
          <w:vertAlign w:val="subscript"/>
        </w:rPr>
        <w:t xml:space="preserve">2</w:t>
      </w:r>
      <w:r>
        <w:t xml:space="preserve">e/unit</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to the manufacturing facility in China (Europe Focused Supply Chain).</w:t>
      </w:r>
    </w:p>
    <w:p>
      <w:pPr>
        <w:numPr>
          <w:ilvl w:val="0"/>
          <w:numId w:val="1013"/>
        </w:numPr>
        <w:pStyle w:val="Compact"/>
      </w:pPr>
      <w:r>
        <w:rPr>
          <w:bCs/>
          <w:b/>
        </w:rPr>
        <w:t xml:space="preserve">Total Product Weight (for materials):</w:t>
      </w:r>
      <w:r>
        <w:t xml:space="preserve"> </w:t>
      </w:r>
      <w:r>
        <w:t xml:space="preserve">0.85 kg/unit</w:t>
      </w:r>
    </w:p>
    <w:p>
      <w:pPr>
        <w:numPr>
          <w:ilvl w:val="0"/>
          <w:numId w:val="1013"/>
        </w:numPr>
        <w:pStyle w:val="Compact"/>
      </w:pPr>
      <w:r>
        <w:rPr>
          <w:bCs/>
          <w:b/>
        </w:rPr>
        <w:t xml:space="preserve">Transport Distance (Upstream):</w:t>
      </w:r>
      <w:r>
        <w:t xml:space="preserve"> </w:t>
      </w:r>
      <w:r>
        <w:t xml:space="preserve">500 km</w:t>
      </w:r>
    </w:p>
    <w:p>
      <w:pPr>
        <w:numPr>
          <w:ilvl w:val="0"/>
          <w:numId w:val="1013"/>
        </w:numPr>
        <w:pStyle w:val="Compact"/>
      </w:pPr>
      <w:r>
        <w:rPr>
          <w:bCs/>
          <w:b/>
        </w:rPr>
        <w:t xml:space="preserve">Road Freight Emission Factor:</w:t>
      </w:r>
      <w:r>
        <w:t xml:space="preserve"> </w:t>
      </w:r>
      <w:r>
        <w:t xml:space="preserve">0.062 kg CO</w:t>
      </w:r>
      <w:r>
        <w:rPr>
          <w:vertAlign w:val="subscript"/>
        </w:rPr>
        <w:t xml:space="preserve">2</w:t>
      </w:r>
      <w:r>
        <w:t xml:space="preserve">e/tonne-km (or 0.000062 kg CO</w:t>
      </w:r>
      <w:r>
        <w:rPr>
          <w:vertAlign w:val="subscript"/>
        </w:rPr>
        <w:t xml:space="preserve">2</w:t>
      </w:r>
      <w:r>
        <w:t xml:space="preserve">e/kg.km)</w:t>
      </w:r>
    </w:p>
    <w:p>
      <w:pPr>
        <w:numPr>
          <w:ilvl w:val="0"/>
          <w:numId w:val="1013"/>
        </w:numPr>
        <w:pStyle w:val="Compact"/>
      </w:pPr>
      <w:r>
        <w:rPr>
          <w:bCs/>
          <w:b/>
        </w:rPr>
        <w:t xml:space="preserve">Calculation:</w:t>
      </w:r>
      <w:r>
        <w:t xml:space="preserve"> </w:t>
      </w:r>
      <w:r>
        <w:t xml:space="preserve">0.85 kg * 500 km * 0.000062 kg CO</w:t>
      </w:r>
      <w:r>
        <w:rPr>
          <w:vertAlign w:val="subscript"/>
        </w:rPr>
        <w:t xml:space="preserve">2</w:t>
      </w:r>
      <w:r>
        <w:t xml:space="preserve">e/kg.km = 0.02635 kg CO</w:t>
      </w:r>
      <w:r>
        <w:rPr>
          <w:vertAlign w:val="subscript"/>
        </w:rPr>
        <w:t xml:space="preserve">2</w:t>
      </w:r>
      <w:r>
        <w:t xml:space="preserve">e/unit</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w:t>
      </w:r>
      <w:r>
        <w:t xml:space="preserve"> </w:t>
      </w:r>
      <w:r>
        <w:rPr>
          <w:bCs/>
          <w:b/>
        </w:rPr>
        <w:t xml:space="preserve">grhfehgdiw</w:t>
      </w:r>
      <w:r>
        <w:t xml:space="preserve"> </w:t>
      </w:r>
      <w:r>
        <w:t xml:space="preserve">to the customer, specifically focusing on last-mile delivery.</w:t>
      </w:r>
    </w:p>
    <w:p>
      <w:pPr>
        <w:numPr>
          <w:ilvl w:val="0"/>
          <w:numId w:val="1014"/>
        </w:numPr>
        <w:pStyle w:val="Compact"/>
      </w:pPr>
      <w:r>
        <w:rPr>
          <w:bCs/>
          <w:b/>
        </w:rPr>
        <w:t xml:space="preserve">Last-Mile Delivery Distance:</w:t>
      </w:r>
      <w:r>
        <w:t xml:space="preserve"> </w:t>
      </w:r>
      <w:r>
        <w:t xml:space="preserve">100 km (for a typical delivery route)</w:t>
      </w:r>
    </w:p>
    <w:p>
      <w:pPr>
        <w:numPr>
          <w:ilvl w:val="0"/>
          <w:numId w:val="1014"/>
        </w:numPr>
        <w:pStyle w:val="Compact"/>
      </w:pPr>
      <w:r>
        <w:rPr>
          <w:bCs/>
          <w:b/>
        </w:rPr>
        <w:t xml:space="preserve">Van Delivery Emission Factor:</w:t>
      </w:r>
      <w:r>
        <w:t xml:space="preserve"> </w:t>
      </w:r>
      <w:r>
        <w:t xml:space="preserve">0.24934 kg CO</w:t>
      </w:r>
      <w:r>
        <w:rPr>
          <w:vertAlign w:val="subscript"/>
        </w:rPr>
        <w:t xml:space="preserve">2</w:t>
      </w:r>
      <w:r>
        <w:t xml:space="preserve">e/km</w:t>
      </w:r>
    </w:p>
    <w:p>
      <w:pPr>
        <w:numPr>
          <w:ilvl w:val="0"/>
          <w:numId w:val="1014"/>
        </w:numPr>
        <w:pStyle w:val="Compact"/>
      </w:pPr>
      <w:r>
        <w:rPr>
          <w:bCs/>
          <w:b/>
        </w:rPr>
        <w:t xml:space="preserve">Assumption for PCF:</w:t>
      </w:r>
      <w:r>
        <w:t xml:space="preserve"> </w:t>
      </w:r>
      <w:r>
        <w:t xml:space="preserve">Assuming a delivery van carries approximately 100 units of similar size/weight on a 100 km route for last-mile delivery, the per-unit allocation is:</w:t>
      </w:r>
    </w:p>
    <w:p>
      <w:pPr>
        <w:numPr>
          <w:ilvl w:val="0"/>
          <w:numId w:val="1014"/>
        </w:numPr>
        <w:pStyle w:val="Compact"/>
      </w:pPr>
      <w:r>
        <w:rPr>
          <w:bCs/>
          <w:b/>
        </w:rPr>
        <w:t xml:space="preserve">Calculation:</w:t>
      </w:r>
      <w:r>
        <w:t xml:space="preserve"> </w:t>
      </w:r>
      <w:r>
        <w:t xml:space="preserve">(0.24934 kg CO</w:t>
      </w:r>
      <w:r>
        <w:rPr>
          <w:vertAlign w:val="subscript"/>
        </w:rPr>
        <w:t xml:space="preserve">2</w:t>
      </w:r>
      <w:r>
        <w:t xml:space="preserve">e/km * 100 km) / 100 units = 0.24934 kg CO</w:t>
      </w:r>
      <w:r>
        <w:rPr>
          <w:vertAlign w:val="subscript"/>
        </w:rPr>
        <w:t xml:space="preserve">2</w:t>
      </w:r>
      <w:r>
        <w:t xml:space="preserve">e/unit</w:t>
      </w:r>
    </w:p>
    <w:bookmarkEnd w:id="41"/>
    <w:bookmarkStart w:id="42" w:name="category-11-use-of-sold-products"/>
    <w:p>
      <w:pPr>
        <w:pStyle w:val="Heading4"/>
      </w:pPr>
      <w:r>
        <w:t xml:space="preserve">4.3.4. Category 11: Use of Sold Products</w:t>
      </w:r>
    </w:p>
    <w:p>
      <w:pPr>
        <w:pStyle w:val="FirstParagraph"/>
      </w:pPr>
      <w:r>
        <w:t xml:space="preserve">Emissions generated during the operational lifespan of</w:t>
      </w:r>
      <w:r>
        <w:t xml:space="preserve"> </w:t>
      </w:r>
      <w:r>
        <w:rPr>
          <w:bCs/>
          <w:b/>
        </w:rPr>
        <w:t xml:space="preserve">grhfehgdiw</w:t>
      </w:r>
      <w:r>
        <w:t xml:space="preserve">, primarily from electricity consumption.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 (per year):</w:t>
      </w:r>
      <w:r>
        <w:t xml:space="preserve"> </w:t>
      </w:r>
      <w:r>
        <w:t xml:space="preserve">20 kWh/year</w:t>
      </w:r>
    </w:p>
    <w:p>
      <w:pPr>
        <w:numPr>
          <w:ilvl w:val="0"/>
          <w:numId w:val="1015"/>
        </w:numPr>
        <w:pStyle w:val="Compact"/>
      </w:pPr>
      <w:r>
        <w:rPr>
          <w:bCs/>
          <w:b/>
        </w:rPr>
        <w:t xml:space="preserve">Electricity Grid Emission Factor:</w:t>
      </w:r>
      <w:r>
        <w:t xml:space="preserve"> </w:t>
      </w:r>
      <w:r>
        <w:t xml:space="preserve">0.6144 kg CO</w:t>
      </w:r>
      <w:r>
        <w:rPr>
          <w:vertAlign w:val="subscript"/>
        </w:rPr>
        <w:t xml:space="preserve">2</w:t>
      </w:r>
      <w:r>
        <w:t xml:space="preserve">e/kWh</w:t>
      </w:r>
    </w:p>
    <w:p>
      <w:pPr>
        <w:numPr>
          <w:ilvl w:val="0"/>
          <w:numId w:val="1015"/>
        </w:numPr>
        <w:pStyle w:val="Compact"/>
      </w:pPr>
      <w:r>
        <w:rPr>
          <w:bCs/>
          <w:b/>
        </w:rPr>
        <w:t xml:space="preserve">Calculation:</w:t>
      </w:r>
      <w:r>
        <w:t xml:space="preserve"> </w:t>
      </w:r>
      <w:r>
        <w:t xml:space="preserve">20 kWh/year * 5 years * 0.6144 kg CO</w:t>
      </w:r>
      <w:r>
        <w:rPr>
          <w:vertAlign w:val="subscript"/>
        </w:rPr>
        <w:t xml:space="preserve">2</w:t>
      </w:r>
      <w:r>
        <w:t xml:space="preserve">e/kWh = 61.44 kg CO</w:t>
      </w:r>
      <w:r>
        <w:rPr>
          <w:vertAlign w:val="subscript"/>
        </w:rPr>
        <w:t xml:space="preserve">2</w:t>
      </w:r>
      <w:r>
        <w:t xml:space="preserve">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associated with the disposal or recycling of</w:t>
      </w:r>
      <w:r>
        <w:t xml:space="preserve"> </w:t>
      </w:r>
      <w:r>
        <w:rPr>
          <w:bCs/>
          <w:b/>
        </w:rPr>
        <w:t xml:space="preserve">grhfehgdiw</w:t>
      </w:r>
      <w:r>
        <w:t xml:space="preserve"> </w:t>
      </w:r>
      <w:r>
        <w:t xml:space="preserve">at the end of its useful life.</w:t>
      </w:r>
    </w:p>
    <w:p>
      <w:pPr>
        <w:numPr>
          <w:ilvl w:val="0"/>
          <w:numId w:val="1016"/>
        </w:numPr>
        <w:pStyle w:val="Compact"/>
      </w:pPr>
      <w:r>
        <w:rPr>
          <w:bCs/>
          <w:b/>
        </w:rPr>
        <w:t xml:space="preserve">Total Product Weight:</w:t>
      </w:r>
      <w:r>
        <w:t xml:space="preserve"> </w:t>
      </w:r>
      <w:r>
        <w:t xml:space="preserve">0.85 kg/unit</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Non-recyclable Waste:</w:t>
      </w:r>
      <w:r>
        <w:t xml:space="preserve"> </w:t>
      </w:r>
      <w:r>
        <w:t xml:space="preserve">0.85 kg/unit * (1 - 0.70) = 0.255 kg/unit</w:t>
      </w:r>
    </w:p>
    <w:p>
      <w:pPr>
        <w:numPr>
          <w:ilvl w:val="0"/>
          <w:numId w:val="1016"/>
        </w:numPr>
        <w:pStyle w:val="Compact"/>
      </w:pPr>
      <w:r>
        <w:rPr>
          <w:bCs/>
          <w:b/>
        </w:rPr>
        <w:t xml:space="preserve">Waste Disposal (Landfill) Emission Factor:</w:t>
      </w:r>
      <w:r>
        <w:t xml:space="preserve"> </w:t>
      </w:r>
      <w:r>
        <w:t xml:space="preserve">0.04 kg CO</w:t>
      </w:r>
      <w:r>
        <w:rPr>
          <w:vertAlign w:val="subscript"/>
        </w:rPr>
        <w:t xml:space="preserve">2</w:t>
      </w:r>
      <w:r>
        <w:t xml:space="preserve">e/kg</w:t>
      </w:r>
    </w:p>
    <w:p>
      <w:pPr>
        <w:numPr>
          <w:ilvl w:val="0"/>
          <w:numId w:val="1016"/>
        </w:numPr>
        <w:pStyle w:val="Compact"/>
      </w:pPr>
      <w:r>
        <w:rPr>
          <w:bCs/>
          <w:b/>
        </w:rPr>
        <w:t xml:space="preserve">Calculation:</w:t>
      </w:r>
      <w:r>
        <w:t xml:space="preserve"> </w:t>
      </w:r>
      <w:r>
        <w:t xml:space="preserve">0.255 kg/unit * 0.04 kg CO</w:t>
      </w:r>
      <w:r>
        <w:rPr>
          <w:vertAlign w:val="subscript"/>
        </w:rPr>
        <w:t xml:space="preserve">2</w:t>
      </w:r>
      <w:r>
        <w:t xml:space="preserve">e/kg = 0.0102 kg CO</w:t>
      </w:r>
      <w:r>
        <w:rPr>
          <w:vertAlign w:val="subscript"/>
        </w:rPr>
        <w:t xml:space="preserve">2</w:t>
      </w:r>
      <w:r>
        <w:t xml:space="preserve">e/unit</w:t>
      </w:r>
    </w:p>
    <w:p>
      <w:pPr>
        <w:numPr>
          <w:ilvl w:val="0"/>
          <w:numId w:val="1016"/>
        </w:numPr>
        <w:pStyle w:val="Compact"/>
      </w:pPr>
      <w:r>
        <w:rPr>
          <w:bCs/>
          <w:b/>
        </w:rPr>
        <w:t xml:space="preserve">Circular/Take-back Programs:</w:t>
      </w:r>
      <w:r>
        <w:t xml:space="preserve"> </w:t>
      </w:r>
      <w:r>
        <w:t xml:space="preserve">The assumed active take-back programs contribute to reduced landfill waste and potential avoided emissions through reuse and recycling, though specific quantification of these avoided emissions requires further detailed data on material recovery and secondary production processes.</w:t>
      </w:r>
    </w:p>
    <w:p>
      <w:pPr>
        <w:pStyle w:val="FirstParagraph"/>
      </w:pPr>
      <w:r>
        <w:rPr>
          <w:bCs/>
          <w:b/>
        </w:rPr>
        <w:t xml:space="preserve">Total Scope 3 Emissions:</w:t>
      </w:r>
      <w:r>
        <w:t xml:space="preserve"> </w:t>
      </w:r>
      <w:r>
        <w:t xml:space="preserve">2.625 (Materials) + 0.02635 (Upstream Transport) + 0.24934 (Downstream Transport) + 61.44 (Use Phase) + 0.0102 (EoL) =</w:t>
      </w:r>
      <w:r>
        <w:t xml:space="preserve"> </w:t>
      </w:r>
      <w:r>
        <w:rPr>
          <w:bCs/>
          <w:b/>
        </w:rPr>
        <w:t xml:space="preserve">64.35059 kg CO</w:t>
      </w:r>
      <w:r>
        <w:rPr>
          <w:vertAlign w:val="subscript"/>
          <w:bCs/>
          <w:b/>
        </w:rPr>
        <w:t xml:space="preserve">2</w:t>
      </w:r>
      <w:r>
        <w:rPr>
          <w:bCs/>
          <w:b/>
        </w:rPr>
        <w:t xml:space="preserve">e/unit</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w:t>
            </w:r>
            <w:r>
              <w:rPr>
                <w:vertAlign w:val="subscript"/>
              </w:rPr>
              <w:t xml:space="preserve">2</w:t>
            </w:r>
            <w:r>
              <w:t xml:space="preserve">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0.10000</w:t>
            </w:r>
          </w:p>
        </w:tc>
        <w:tc>
          <w:tcPr/>
          <w:p>
            <w:pPr>
              <w:pStyle w:val="Compact"/>
              <w:jc w:val="left"/>
            </w:pPr>
            <w:r>
              <w:t xml:space="preserve">0.15%</w:t>
            </w:r>
          </w:p>
        </w:tc>
      </w:tr>
      <w:tr>
        <w:tc>
          <w:tcPr/>
          <w:p>
            <w:pPr>
              <w:pStyle w:val="Compact"/>
              <w:jc w:val="left"/>
            </w:pPr>
            <w:r>
              <w:t xml:space="preserve">Scope 2</w:t>
            </w:r>
          </w:p>
        </w:tc>
        <w:tc>
          <w:tcPr/>
          <w:p>
            <w:pPr>
              <w:pStyle w:val="Compact"/>
              <w:jc w:val="left"/>
            </w:pPr>
            <w:r>
              <w:t xml:space="preserve">Energy Indirect Emissions (Production)</w:t>
            </w:r>
          </w:p>
        </w:tc>
        <w:tc>
          <w:tcPr/>
          <w:p>
            <w:pPr>
              <w:pStyle w:val="Compact"/>
              <w:jc w:val="left"/>
            </w:pPr>
            <w:r>
              <w:t xml:space="preserve">3.07200</w:t>
            </w:r>
          </w:p>
        </w:tc>
        <w:tc>
          <w:tcPr/>
          <w:p>
            <w:pPr>
              <w:pStyle w:val="Compact"/>
              <w:jc w:val="left"/>
            </w:pPr>
            <w:r>
              <w:t xml:space="preserve">4.55%</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2.62500</w:t>
            </w:r>
          </w:p>
        </w:tc>
        <w:tc>
          <w:tcPr/>
          <w:p>
            <w:pPr>
              <w:pStyle w:val="Compact"/>
              <w:jc w:val="left"/>
            </w:pPr>
            <w:r>
              <w:t xml:space="preserve">3.89%</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0.02635</w:t>
            </w:r>
          </w:p>
        </w:tc>
        <w:tc>
          <w:tcPr/>
          <w:p>
            <w:pPr>
              <w:pStyle w:val="Compact"/>
              <w:jc w:val="left"/>
            </w:pPr>
            <w:r>
              <w:t xml:space="preserve">0.04%</w:t>
            </w:r>
          </w:p>
        </w:tc>
      </w:tr>
      <w:tr>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0.24934</w:t>
            </w:r>
          </w:p>
        </w:tc>
        <w:tc>
          <w:tcPr/>
          <w:p>
            <w:pPr>
              <w:pStyle w:val="Compact"/>
              <w:jc w:val="left"/>
            </w:pPr>
            <w:r>
              <w:t xml:space="preserve">0.37%</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61.44000</w:t>
            </w:r>
          </w:p>
        </w:tc>
        <w:tc>
          <w:tcPr/>
          <w:p>
            <w:pPr>
              <w:pStyle w:val="Compact"/>
              <w:jc w:val="left"/>
            </w:pPr>
            <w:r>
              <w:t xml:space="preserve">91.00%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0.01020</w:t>
            </w:r>
          </w:p>
        </w:tc>
        <w:tc>
          <w:tcPr/>
          <w:p>
            <w:pPr>
              <w:pStyle w:val="Compact"/>
              <w:jc w:val="left"/>
            </w:pPr>
            <w:r>
              <w:t xml:space="preserve">0.02%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67.52289</w:t>
            </w:r>
          </w:p>
        </w:tc>
        <w:tc>
          <w:tcPr/>
          <w:p>
            <w:pPr>
              <w:pStyle w:val="Compact"/>
              <w:jc w:val="left"/>
            </w:pPr>
            <w:r>
              <w:rPr>
                <w:bCs/>
                <w:b/>
              </w:rPr>
              <w:t xml:space="preserve">100.00%</w:t>
            </w:r>
          </w:p>
        </w:tc>
      </w:tr>
    </w:tbl>
    <w:p>
      <w:r>
        <w:pict>
          <v:rect style="width:0;height:1.5pt" o:hralign="center" o:hrstd="t" o:hr="t"/>
        </w:pict>
      </w:r>
    </w:p>
    <w:bookmarkEnd w:id="45"/>
    <w:bookmarkEnd w:id="46"/>
    <w:bookmarkStart w:id="50" w:name="review-reporting"/>
    <w:p>
      <w:pPr>
        <w:pStyle w:val="Heading2"/>
      </w:pPr>
      <w:r>
        <w:t xml:space="preserve">5. Review &amp; Reporting</w:t>
      </w:r>
    </w:p>
    <w:bookmarkStart w:id="47" w:name="hotspot-identification"/>
    <w:p>
      <w:pPr>
        <w:pStyle w:val="Heading3"/>
      </w:pPr>
      <w:r>
        <w:t xml:space="preserve">5.1. Hotspot Identification</w:t>
      </w:r>
    </w:p>
    <w:p>
      <w:pPr>
        <w:pStyle w:val="FirstParagraph"/>
      </w:pPr>
      <w:r>
        <w:t xml:space="preserve">The analysis clearly identifies the</w:t>
      </w:r>
      <w:r>
        <w:t xml:space="preserve"> </w:t>
      </w:r>
      <w:r>
        <w:rPr>
          <w:bCs/>
          <w:b/>
        </w:rPr>
        <w:t xml:space="preserve">Use Phase (Scope 3, Category 11)</w:t>
      </w:r>
      <w:r>
        <w:t xml:space="preserve"> </w:t>
      </w:r>
      <w:r>
        <w:t xml:space="preserve">as the primary hotspot, contributing approximately 91.00% of the total Product Carbon Footprint (61.44 kg CO</w:t>
      </w:r>
      <w:r>
        <w:rPr>
          <w:vertAlign w:val="subscript"/>
        </w:rPr>
        <w:t xml:space="preserve">2</w:t>
      </w:r>
      <w:r>
        <w:t xml:space="preserve">e/unit). This is primarily driven by the product\'s lifespan and its annual energy consumption. Material acquisition and production energy also contribute significantly, though to a lesser extent than the use phase.</w:t>
      </w:r>
    </w:p>
    <w:bookmarkEnd w:id="47"/>
    <w:bookmarkStart w:id="48" w:name="reliability-of-data"/>
    <w:p>
      <w:pPr>
        <w:pStyle w:val="Heading3"/>
      </w:pPr>
      <w:r>
        <w:t xml:space="preserve">5.2. Reliability of Data</w:t>
      </w:r>
    </w:p>
    <w:p>
      <w:pPr>
        <w:pStyle w:val="FirstParagraph"/>
      </w:pPr>
      <w:r>
        <w:t xml:space="preserve">The reliability of this report is based on a combination of illustrative and industry-standard emission factors. While the methodology adheres to GHG Protocol, the use of placeholder strings for specific input parameters (e.g., `mnwjkqyi`, `rzyueleehn`, `wylylfwvjr`) necessitates the use of assumed values and generic emission factors. Therefore, the results provide a strong indicative footprint. For higher accuracy, primary data collection for all specified parameters is crucial.</w:t>
      </w:r>
    </w:p>
    <w:bookmarkEnd w:id="48"/>
    <w:bookmarkStart w:id="49" w:name="compliance-with-ghg-protocol-updates"/>
    <w:p>
      <w:pPr>
        <w:pStyle w:val="Heading3"/>
      </w:pPr>
      <w:r>
        <w:t xml:space="preserve">5.3. Compliance with GHG Protocol Updates</w:t>
      </w:r>
    </w:p>
    <w:p>
      <w:pPr>
        <w:pStyle w:val="FirstParagraph"/>
      </w:pPr>
      <w:r>
        <w:t xml:space="preserve">This report has been prepared with explicit consideration for the upcoming 2026 GHG Protocol updates:</w:t>
      </w:r>
    </w:p>
    <w:p>
      <w:pPr>
        <w:numPr>
          <w:ilvl w:val="0"/>
          <w:numId w:val="1017"/>
        </w:numPr>
        <w:pStyle w:val="Compact"/>
      </w:pPr>
      <w:r>
        <w:rPr>
          <w:bCs/>
          <w:b/>
        </w:rPr>
        <w:t xml:space="preserve">GHG Protocol LSR Standard:</w:t>
      </w:r>
      <w:r>
        <w:t xml:space="preserve"> </w:t>
      </w:r>
      <w:r>
        <w:t xml:space="preserve">While the LSR Standard is effective January 1, 2027, its principles for land sector emissions and removals have been acknowledged. Future iterations of this analysis will fully integrate specific land-use data as it becomes available and the standard is fully operationalized with its accompanying guidance.</w:t>
      </w:r>
    </w:p>
    <w:p>
      <w:pPr>
        <w:numPr>
          <w:ilvl w:val="0"/>
          <w:numId w:val="1017"/>
        </w:numPr>
        <w:pStyle w:val="Compact"/>
      </w:pPr>
      <w:r>
        <w:rPr>
          <w:bCs/>
          <w:b/>
        </w:rPr>
        <w:t xml:space="preserve">Scope 3 95% Coverage:</w:t>
      </w:r>
      <w:r>
        <w:t xml:space="preserve"> </w:t>
      </w:r>
      <w:r>
        <w:t xml:space="preserve">The analysis methodology is designed to achieve the mandatory 95% coverage for Scope 3 emissions. By detailing each category and utilizing comprehensive data where available (or illustrative data following the specified format), the report demonstrates a commitment to capturing the vast majority of value chain emissions. In a full implementation, detailed quantification and justification for any minor exclusions would be performed. The report also supports the upcoming requirement for data disaggregation by source type.</w:t>
      </w:r>
    </w:p>
    <w:p>
      <w:r>
        <w:pict>
          <v:rect style="width:0;height:1.5pt" o:hralign="center" o:hrstd="t" o:hr="t"/>
        </w:pict>
      </w:r>
    </w:p>
    <w:bookmarkEnd w:id="49"/>
    <w:bookmarkEnd w:id="50"/>
    <w:bookmarkStart w:id="51" w:name="recommendations"/>
    <w:p>
      <w:pPr>
        <w:pStyle w:val="Heading2"/>
      </w:pPr>
      <w:r>
        <w:t xml:space="preserve">6. Recommendations</w:t>
      </w:r>
    </w:p>
    <w:p>
      <w:pPr>
        <w:pStyle w:val="FirstParagraph"/>
      </w:pPr>
      <w:r>
        <w:t xml:space="preserve">Based on this PCF analysis,</w:t>
      </w:r>
      <w:r>
        <w:t xml:space="preserve"> </w:t>
      </w:r>
      <w:r>
        <w:rPr>
          <w:bCs/>
          <w:b/>
        </w:rPr>
        <w:t xml:space="preserve">rmxxgpeqkp</w:t>
      </w:r>
      <w:r>
        <w:t xml:space="preserve"> </w:t>
      </w:r>
      <w:r>
        <w:t xml:space="preserve">should consider the following recommendations to reduce the carbon footprint of</w:t>
      </w:r>
      <w:r>
        <w:t xml:space="preserve"> </w:t>
      </w:r>
      <w:r>
        <w:rPr>
          <w:bCs/>
          <w:b/>
        </w:rPr>
        <w:t xml:space="preserve">grhfehgdiw</w:t>
      </w:r>
      <w:r>
        <w:t xml:space="preserve">:</w:t>
      </w:r>
    </w:p>
    <w:p>
      <w:pPr>
        <w:numPr>
          <w:ilvl w:val="0"/>
          <w:numId w:val="1018"/>
        </w:numPr>
        <w:pStyle w:val="Compact"/>
      </w:pPr>
      <w:r>
        <w:rPr>
          <w:bCs/>
          <w:b/>
        </w:rPr>
        <w:t xml:space="preserve">Focus on Use Phase Optimization:</w:t>
      </w:r>
      <w:r>
        <w:t xml:space="preserve"> </w:t>
      </w:r>
      <w:r>
        <w:t xml:space="preserve">Given its overwhelming contribution, efforts should be concentrated on reducing the energy consumption of grhfehgdiw during its use phase. This could involve exploring more energy-efficient designs, integrating smart energy management features, or optimizing product lifespan to minimize replacement needs without compromising efficiency.</w:t>
      </w:r>
    </w:p>
    <w:p>
      <w:pPr>
        <w:numPr>
          <w:ilvl w:val="0"/>
          <w:numId w:val="1018"/>
        </w:numPr>
        <w:pStyle w:val="Compact"/>
      </w:pPr>
      <w:r>
        <w:rPr>
          <w:bCs/>
          <w:b/>
        </w:rPr>
        <w:t xml:space="preserve">Increase Renewable Energy Sourcing:</w:t>
      </w:r>
      <w:r>
        <w:t xml:space="preserve"> </w:t>
      </w:r>
      <w:r>
        <w:t xml:space="preserve">Continue to increase the percentage of renewable energy used in the manufacturing process (beyond the assumed 50%), directly impacting Scope 2 emissions and potentially influencing upstream suppliers.</w:t>
      </w:r>
    </w:p>
    <w:p>
      <w:pPr>
        <w:numPr>
          <w:ilvl w:val="0"/>
          <w:numId w:val="1018"/>
        </w:numPr>
        <w:pStyle w:val="Compact"/>
      </w:pPr>
      <w:r>
        <w:rPr>
          <w:bCs/>
          <w:b/>
        </w:rPr>
        <w:t xml:space="preserve">Supply Chain Engagement:</w:t>
      </w:r>
      <w:r>
        <w:t xml:space="preserve"> </w:t>
      </w:r>
      <w:r>
        <w:t xml:space="preserve">Work with suppliers to understand and reduce the embodied emissions in raw materials (Scope 3, Category 1). Prioritize suppliers with lower emission factors or those committed to decarbonization.</w:t>
      </w:r>
    </w:p>
    <w:p>
      <w:pPr>
        <w:numPr>
          <w:ilvl w:val="0"/>
          <w:numId w:val="1018"/>
        </w:numPr>
        <w:pStyle w:val="Compact"/>
      </w:pPr>
      <w:r>
        <w:rPr>
          <w:bCs/>
          <w:b/>
        </w:rPr>
        <w:t xml:space="preserve">Logistics Optimization:</w:t>
      </w:r>
      <w:r>
        <w:t xml:space="preserve"> </w:t>
      </w:r>
      <w:r>
        <w:t xml:space="preserve">While transport is a smaller contributor, optimize both upstream and downstream logistics. This includes exploring more efficient transport modes, optimizing routes and load factors, and investigating electric vehicle options for last-mile delivery.</w:t>
      </w:r>
    </w:p>
    <w:p>
      <w:pPr>
        <w:numPr>
          <w:ilvl w:val="0"/>
          <w:numId w:val="1018"/>
        </w:numPr>
        <w:pStyle w:val="Compact"/>
      </w:pPr>
      <w:r>
        <w:rPr>
          <w:bCs/>
          <w:b/>
        </w:rPr>
        <w:t xml:space="preserve">Enhance Circularity:</w:t>
      </w:r>
      <w:r>
        <w:t xml:space="preserve"> </w:t>
      </w:r>
      <w:r>
        <w:t xml:space="preserve">Further develop and promote circular/take-back programs to maximize material recovery and reuse, going beyond the assumed 70% recyclability. Quantify the avoided emissions from these programs.</w:t>
      </w:r>
    </w:p>
    <w:p>
      <w:pPr>
        <w:numPr>
          <w:ilvl w:val="0"/>
          <w:numId w:val="1018"/>
        </w:numPr>
        <w:pStyle w:val="Compact"/>
      </w:pPr>
      <w:r>
        <w:rPr>
          <w:bCs/>
          <w:b/>
        </w:rPr>
        <w:t xml:space="preserve">Data Improvement:</w:t>
      </w:r>
      <w:r>
        <w:t xml:space="preserve"> </w:t>
      </w:r>
      <w:r>
        <w:t xml:space="preserve">Implement robust systems for collecting primary data for all parameters. This includes specific Bill of Materials data (replacing "mnwjkqyi" with actual values), accurate transport distances and modes, verified renewable energy procurement, and precise use-phase energy consumption.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grhfehgdiw</dc:title>
  <dc:creator/>
  <dc:description>High-detail Product Carbon Footprint (PCF) analysis for grhfehgdiw by rmxxgpeqkp, conducted by Senior Sustainability Consultant heouigryrk, adhering to GHG Protocol 2026 updates.</dc:description>
  <dc:language>en</dc:language>
  <cp:keywords/>
  <dcterms:created xsi:type="dcterms:W3CDTF">2026-05-30T19:00:15Z</dcterms:created>
  <dcterms:modified xsi:type="dcterms:W3CDTF">2026-05-30T19:00:15Z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