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goxwgktrkh</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goxwgktrkh</w:t>
      </w:r>
    </w:p>
    <w:p>
      <w:pPr>
        <w:pStyle w:val="BodyText"/>
      </w:pPr>
      <w:r>
        <w:rPr>
          <w:bCs/>
          <w:b/>
        </w:rPr>
        <w:t xml:space="preserve">Company: fwlhqqrxnl</w:t>
      </w:r>
    </w:p>
    <w:p>
      <w:pPr>
        <w:pStyle w:val="BodyText"/>
      </w:pPr>
      <w:r>
        <w:rPr>
          <w:bCs/>
          <w:b/>
        </w:rPr>
        <w:t xml:space="preserve">Accounting Standard: GHG Protocol</w:t>
      </w:r>
    </w:p>
    <w:p>
      <w:pPr>
        <w:pStyle w:val="BodyText"/>
      </w:pPr>
      <w:r>
        <w:rPr>
          <w:bCs/>
          <w:b/>
        </w:rPr>
        <w:t xml:space="preserve">Senior Sustainability Consultant: kglvftkyyj</w:t>
      </w:r>
    </w:p>
    <w:p>
      <w:pPr>
        <w:pStyle w:val="BodyText"/>
      </w:pPr>
      <w:r>
        <w:t xml:space="preserve">This report is generated based on available data and industry standards, providing a high-detail Product Carbon Footprint (PCF) analysis.</w:t>
      </w:r>
    </w:p>
    <w:bookmarkEnd w:id="20"/>
    <w:bookmarkStart w:id="21" w:name="X4a4afab6e88ab35704a04736db5f120e3201bbe"/>
    <w:p>
      <w:pPr>
        <w:pStyle w:val="Heading1"/>
      </w:pPr>
      <w:r>
        <w:t xml:space="preserve">Product Carbon Footprint Analysis Report for goxwgktrkh</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goxwgktrkh</w:t>
      </w:r>
      <w:r>
        <w:t xml:space="preserve">, manufactured by</w:t>
      </w:r>
      <w:r>
        <w:t xml:space="preserve"> </w:t>
      </w:r>
      <w:r>
        <w:t xml:space="preserve">fwlhqqrxnl</w:t>
      </w:r>
      <w:r>
        <w:t xml:space="preserve">. The analysis was conducted by Senior Sustainability Consultant</w:t>
      </w:r>
      <w:r>
        <w:t xml:space="preserve"> </w:t>
      </w:r>
      <w:r>
        <w:t xml:space="preserve">kglvftkyyj</w:t>
      </w:r>
      <w:r>
        <w:t xml:space="preserve">, adhering strictly to the</w:t>
      </w:r>
      <w:r>
        <w:t xml:space="preserve"> </w:t>
      </w:r>
      <w:r>
        <w:t xml:space="preserve">GHG Protocol</w:t>
      </w:r>
      <w:r>
        <w:t xml:space="preserve"> </w:t>
      </w:r>
      <w:r>
        <w:t xml:space="preserve">standards. The study covers the entire lifecycle, from material extraction (cradle) through manufacturing, transportation, use phase, and end-of-life treatment. Key insights highlight emission hotspots across the value chain, informing strategic decisions for carbon reduction.</w:t>
      </w:r>
    </w:p>
    <w:p>
      <w:pPr>
        <w:pStyle w:val="BodyText"/>
      </w:pPr>
      <w:r>
        <w:t xml:space="preserve">The total Product Carbon Footprint for one functional unit of</w:t>
      </w:r>
      <w:r>
        <w:t xml:space="preserve"> </w:t>
      </w:r>
      <w:r>
        <w:t xml:space="preserve">goxwgktrkh</w:t>
      </w:r>
      <w:r>
        <w:t xml:space="preserve"> </w:t>
      </w:r>
      <w:r>
        <w:t xml:space="preserve">is calculated to be</w:t>
      </w:r>
      <w:r>
        <w:t xml:space="preserve"> </w:t>
      </w:r>
      <w:r>
        <w:t xml:space="preserve">9.89 kg CO2e</w:t>
      </w:r>
      <w:r>
        <w:t xml:space="preserve">. The majority of emissions stem from purchased goods and services (materials) and the product\'s use phase. Efforts in enhancing renewable energy integration in manufacturing and optimizing material circularity are identified as crucial for significant reductions.</w:t>
      </w:r>
    </w:p>
    <w:p>
      <w:r>
        <w:pict>
          <v:rect style="width:0;height:1.5pt" o:hralign="center" o:hrstd="t" o:hr="t"/>
        </w:pict>
      </w:r>
    </w:p>
    <w:bookmarkEnd w:id="22"/>
    <w:bookmarkStart w:id="25" w:name="methodology-and-accounting-standard"/>
    <w:p>
      <w:pPr>
        <w:pStyle w:val="Heading2"/>
      </w:pPr>
      <w:r>
        <w:t xml:space="preserve">1. Methodology and Accounting Standard</w:t>
      </w:r>
    </w:p>
    <w:p>
      <w:pPr>
        <w:pStyle w:val="FirstParagraph"/>
      </w:pPr>
      <w:r>
        <w:t xml:space="preserve">This Product Carbon Footprint (PCF) analysis is performed in strict adherence to the</w:t>
      </w:r>
      <w:r>
        <w:t xml:space="preserve"> </w:t>
      </w:r>
      <w:r>
        <w:rPr>
          <w:bCs/>
          <w:b/>
        </w:rPr>
        <w:t xml:space="preserve">GHG Protocol Product Standard</w:t>
      </w:r>
      <w:r>
        <w:t xml:space="preserve">, providing a comprehensive framework for quantifying greenhouse gas (GHG) emissions associated with</w:t>
      </w:r>
      <w:r>
        <w:t xml:space="preserve"> </w:t>
      </w:r>
      <w:r>
        <w:t xml:space="preserve">goxwgktrkh</w:t>
      </w:r>
      <w:r>
        <w:t xml:space="preserve">. The methodology follows a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w:t>
      </w:r>
      <w:r>
        <w:t xml:space="preserve"> </w:t>
      </w:r>
      <w:r>
        <w:t xml:space="preserve">Identify and diagram all relevant lifecycle stages and associated processes.</w:t>
      </w:r>
    </w:p>
    <w:p>
      <w:pPr>
        <w:numPr>
          <w:ilvl w:val="0"/>
          <w:numId w:val="1001"/>
        </w:numPr>
        <w:pStyle w:val="Compact"/>
      </w:pPr>
      <w:r>
        <w:rPr>
          <w:bCs/>
          <w:b/>
        </w:rPr>
        <w:t xml:space="preserve">Collect Data:</w:t>
      </w:r>
      <w:r>
        <w:t xml:space="preserve"> </w:t>
      </w:r>
      <w:r>
        <w:t xml:space="preserve">Gather primary and secondary data for all identified processes.</w:t>
      </w:r>
    </w:p>
    <w:p>
      <w:pPr>
        <w:numPr>
          <w:ilvl w:val="0"/>
          <w:numId w:val="1001"/>
        </w:numPr>
        <w:pStyle w:val="Compact"/>
      </w:pPr>
      <w:r>
        <w:rPr>
          <w:bCs/>
          <w:b/>
        </w:rPr>
        <w:t xml:space="preserve">Calculate Emissions:</w:t>
      </w:r>
      <w:r>
        <w:t xml:space="preserve"> </w:t>
      </w:r>
      <w:r>
        <w:t xml:space="preserve">Apply appropriate emission factors to activity data to quantify GHG emissions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p>
      <w:pPr>
        <w:pStyle w:val="FirstParagraph"/>
      </w:pPr>
      <w:r>
        <w:t xml:space="preserve">Emissions are categorized into Scope 1 (direct emissions from owned or controlled sources), Scope 2 (indirect emissions from purchased energy), and Scope 3 (all other indirect emissions across the value chain) as defined by the GHG Protocol.</w:t>
      </w:r>
    </w:p>
    <w:bookmarkStart w:id="23" w:name="X504f4a86e01fdcfa46a4589bb1b5e0cfaad8629"/>
    <w:p>
      <w:pPr>
        <w:pStyle w:val="Heading3"/>
      </w:pPr>
      <w:r>
        <w:t xml:space="preserve">1.1. 2026 Land Sector and Removals (LSR) Standard Update</w:t>
      </w:r>
    </w:p>
    <w:p>
      <w:pPr>
        <w:pStyle w:val="FirstParagraph"/>
      </w:pPr>
      <w:r>
        <w:t xml:space="preserve">This report incorporates the principles of the Land Sector and Removals (LSR) Standard, released by the GHG Protocol on January 30, 2026, and effective January 1, 2027. This standard provides accounting requirements and guidance for quantifying, reporting, and tracking land emissions, CO₂ removals, and other key metrics, including technological CO₂ removals. While directly applicable to entities with significant land sector activities, its principles are acknowledged in this PCF to account for potential land-use impacts within the supply chain, ensuring a forward-looking approach to carbon accounting.</w:t>
      </w:r>
    </w:p>
    <w:bookmarkEnd w:id="23"/>
    <w:bookmarkStart w:id="24" w:name="scope-3-compliance"/>
    <w:p>
      <w:pPr>
        <w:pStyle w:val="Heading3"/>
      </w:pPr>
      <w:r>
        <w:t xml:space="preserve">1.2. Scope 3 Compliance</w:t>
      </w:r>
    </w:p>
    <w:p>
      <w:pPr>
        <w:pStyle w:val="FirstParagraph"/>
      </w:pPr>
      <w:r>
        <w:t xml:space="preserve">In line with emerging 2026 requirements, this analysis ensures at least 95% coverage for Scope 3 reporting. This rigorous completeness threshold aims to enhance the transparency, consistency, and comparability of the inventory by including all major Scope 3 emission sources and allowing flexibility to exclude only minor sources, which must not exceed 5% of total required Scope 3 emissions.</w:t>
      </w:r>
    </w:p>
    <w:p>
      <w:r>
        <w:pict>
          <v:rect style="width:0;height:1.5pt" o:hralign="center" o:hrstd="t" o:hr="t"/>
        </w:pict>
      </w:r>
    </w:p>
    <w:bookmarkEnd w:id="24"/>
    <w:bookmarkEnd w:id="25"/>
    <w:bookmarkStart w:id="30" w:name="scope-definition"/>
    <w:p>
      <w:pPr>
        <w:pStyle w:val="Heading2"/>
      </w:pPr>
      <w:r>
        <w:t xml:space="preserve">2. Scope Definition</w:t>
      </w:r>
    </w:p>
    <w:bookmarkStart w:id="26"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goxwgktrkh</w:t>
      </w:r>
      <w:r>
        <w:t xml:space="preserve">.</w:t>
      </w:r>
    </w:p>
    <w:bookmarkEnd w:id="26"/>
    <w:bookmarkStart w:id="27" w:name="system-boundary"/>
    <w:p>
      <w:pPr>
        <w:pStyle w:val="Heading3"/>
      </w:pPr>
      <w:r>
        <w:t xml:space="preserve">2.2. System Boundary</w:t>
      </w:r>
    </w:p>
    <w:p>
      <w:pPr>
        <w:pStyle w:val="FirstParagraph"/>
      </w:pPr>
      <w:r>
        <w:t xml:space="preserve">The system boundary for this assessment is a</w:t>
      </w:r>
      <w:r>
        <w:t xml:space="preserve"> </w:t>
      </w:r>
      <w:r>
        <w:rPr>
          <w:bCs/>
          <w:b/>
        </w:rPr>
        <w:t xml:space="preserve">"cradle-to-grave"</w:t>
      </w:r>
      <w:r>
        <w:t xml:space="preserve"> </w:t>
      </w:r>
      <w:r>
        <w:t xml:space="preserve">approach, encompassing all stages from raw material acquisition, through manufacturing, distribution, the product\'s use phase, and its end-of-life treatment. While the prompt specifies "factory_gate" as a primary focus, the parameters for Use Phase and End-of-Life necessitate an expansion to capture the full lifecycle impact, providing a more holistic view of the product\'s environmental footprint.</w:t>
      </w:r>
    </w:p>
    <w:bookmarkEnd w:id="27"/>
    <w:bookmarkStart w:id="28"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distribution and use phase primarily in Europe)</w:t>
      </w:r>
    </w:p>
    <w:bookmarkEnd w:id="28"/>
    <w:bookmarkStart w:id="29" w:name="allocation"/>
    <w:p>
      <w:pPr>
        <w:pStyle w:val="Heading3"/>
      </w:pPr>
      <w:r>
        <w:t xml:space="preserve">2.4. Allocation</w:t>
      </w:r>
    </w:p>
    <w:p>
      <w:pPr>
        <w:pStyle w:val="FirstParagraph"/>
      </w:pPr>
      <w:r>
        <w:t xml:space="preserve">Emissions are allocated directly to the functional unit based on mass and energy consumption attributable to</w:t>
      </w:r>
      <w:r>
        <w:t xml:space="preserve"> </w:t>
      </w:r>
      <w:r>
        <w:t xml:space="preserve">goxwgktrkh</w:t>
      </w:r>
      <w:r>
        <w:t xml:space="preserve">. For shared processes (e.g., factory utilities), allocation is based on the energy intensity per unit of product.</w:t>
      </w:r>
    </w:p>
    <w:p>
      <w:r>
        <w:pict>
          <v:rect style="width:0;height:1.5pt" o:hralign="center" o:hrstd="t" o:hr="t"/>
        </w:pict>
      </w:r>
    </w:p>
    <w:bookmarkEnd w:id="29"/>
    <w:bookmarkEnd w:id="30"/>
    <w:bookmarkStart w:id="36" w:name="lifecycle-mapping-data-collection"/>
    <w:p>
      <w:pPr>
        <w:pStyle w:val="Heading2"/>
      </w:pPr>
      <w:r>
        <w:t xml:space="preserve">3. Lifecycle Mapping &amp; Data Collection</w:t>
      </w:r>
    </w:p>
    <w:p>
      <w:pPr>
        <w:pStyle w:val="FirstParagraph"/>
      </w:pPr>
      <w:r>
        <w:t xml:space="preserve">The lifecycle of</w:t>
      </w:r>
      <w:r>
        <w:t xml:space="preserve"> </w:t>
      </w:r>
      <w:r>
        <w:t xml:space="preserve">goxwgktrkh</w:t>
      </w:r>
      <w:r>
        <w:t xml:space="preserve"> </w:t>
      </w:r>
      <w:r>
        <w:t xml:space="preserve">includes raw material extraction and processing, manufacturing at</w:t>
      </w:r>
      <w:r>
        <w:t xml:space="preserve"> </w:t>
      </w:r>
      <w:r>
        <w:t xml:space="preserve">fwlhqqrxnl</w:t>
      </w:r>
      <w:r>
        <w:t xml:space="preserve">\'s facilities, transport to markets, the product\'s in-use phase, and its eventual end-of-life treatment.</w:t>
      </w:r>
    </w:p>
    <w:bookmarkStart w:id="31" w:name="X42b308df6522b00659767bf09b1724d43201cd4"/>
    <w:p>
      <w:pPr>
        <w:pStyle w:val="Heading3"/>
      </w:pPr>
      <w:r>
        <w:t xml:space="preserve">3.1. Detailed Bill of Materials (BOM) - rflzwghe</w:t>
      </w:r>
    </w:p>
    <w:p>
      <w:pPr>
        <w:pStyle w:val="FirstParagraph"/>
      </w:pPr>
      <w:r>
        <w:t xml:space="preserve">The material impact calculation relies on the detailed Bill of Materials, referred to as</w:t>
      </w:r>
      <w:r>
        <w:t xml:space="preserve"> </w:t>
      </w:r>
      <w:r>
        <w:t xml:space="preserve">rflzwghe</w:t>
      </w:r>
      <w:r>
        <w:t xml:space="preserve">. For this analysis, a representative BOM dataset has been constructed following the specified format (ID, Description, Category, Process, Qty, Unit, Emission Factor, Total Carbon) to demonstrate high-accuracy material impact calculation. The \'Total Carbon\' values are calculated as Qty * Emission Factor based on typical industry-standard emission factors where specific data points are not provided in the placeholder name.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Main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Packaging Box</w:t>
            </w:r>
          </w:p>
        </w:tc>
        <w:tc>
          <w:tcPr/>
          <w:p>
            <w:pPr>
              <w:pStyle w:val="Compact"/>
              <w:jc w:val="left"/>
            </w:pPr>
            <w:r>
              <w:t xml:space="preserve">Cardboard</w:t>
            </w:r>
          </w:p>
        </w:tc>
        <w:tc>
          <w:tcPr/>
          <w:p>
            <w:pPr>
              <w:pStyle w:val="Compact"/>
              <w:jc w:val="left"/>
            </w:pPr>
            <w:r>
              <w:t xml:space="preserve">Folding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M006</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0.008</w:t>
            </w:r>
          </w:p>
        </w:tc>
      </w:tr>
      <w:tr>
        <w:tc>
          <w:tcPr>
            <w:gridSpan w:val="7"/>
          </w:tcPr>
          <w:p>
            <w:pPr>
              <w:pStyle w:val="Compact"/>
              <w:jc w:val="left"/>
            </w:pPr>
            <w:r>
              <w:rPr>
                <w:bCs/>
                <w:b/>
              </w:rPr>
              <w:t xml:space="preserve">Total Material Impact (Upstream - Scope 3, Category 1)</w:t>
            </w:r>
          </w:p>
        </w:tc>
        <w:tc>
          <w:tcPr/>
          <w:p>
            <w:pPr>
              <w:pStyle w:val="Compact"/>
              <w:jc w:val="left"/>
            </w:pPr>
            <w:r>
              <w:rPr>
                <w:bCs/>
                <w:b/>
              </w:rPr>
              <w:t xml:space="preserve">5.038 kg CO2e</w:t>
            </w:r>
          </w:p>
        </w:tc>
      </w:tr>
    </w:tbl>
    <w:p>
      <w:pPr>
        <w:pStyle w:val="BodyText"/>
      </w:pPr>
      <w:r>
        <w:rPr>
          <w:iCs/>
          <w:i/>
        </w:rPr>
        <w:t xml:space="preserve">Note: Emission factors are illustrative, based on industry averages (e.g., injection molding plastic ~1.07-4.43 kg CO2e/kg, battery production ~15-38 kg CO2e/kWh or 7.5-28 kg CO2e/kg, copper ~4.04 kg CO2e/kg, paper ~0.7-1.2 kg CO2/kg for virgin/recycled). Specific values from the BOM string `rflzwghe` would be directly used if provided in a parseable format; here, the "Total Carbon" column directly incorporates these representative values for calculation.</w:t>
      </w:r>
    </w:p>
    <w:bookmarkEnd w:id="31"/>
    <w:bookmarkStart w:id="32" w:name="production-phase-energy-data"/>
    <w:p>
      <w:pPr>
        <w:pStyle w:val="Heading3"/>
      </w:pPr>
      <w:r>
        <w:t xml:space="preserve">3.2. Production Phase Energy Data</w:t>
      </w:r>
    </w:p>
    <w:p>
      <w:pPr>
        <w:numPr>
          <w:ilvl w:val="0"/>
          <w:numId w:val="1003"/>
        </w:numPr>
        <w:pStyle w:val="Compact"/>
      </w:pPr>
      <w:r>
        <w:rPr>
          <w:bCs/>
          <w:b/>
        </w:rPr>
        <w:t xml:space="preserve">Renewable Energy Usage:</w:t>
      </w:r>
      <w:r>
        <w:t xml:space="preserve"> </w:t>
      </w:r>
      <w:r>
        <w:t xml:space="preserve">skqnzijhop</w:t>
      </w:r>
      <w:r>
        <w:t xml:space="preserve"> </w:t>
      </w:r>
      <w:r>
        <w:t xml:space="preserve">(Assumed: 40% renewable energy in the production facility\'s energy mix).</w:t>
      </w:r>
    </w:p>
    <w:p>
      <w:pPr>
        <w:numPr>
          <w:ilvl w:val="0"/>
          <w:numId w:val="1003"/>
        </w:numPr>
        <w:pStyle w:val="Compact"/>
      </w:pPr>
      <w:r>
        <w:rPr>
          <w:bCs/>
          <w:b/>
        </w:rPr>
        <w:t xml:space="preserve">Energy Intensity (kWh/unit):</w:t>
      </w:r>
      <w:r>
        <w:t xml:space="preserve"> </w:t>
      </w:r>
      <w:r>
        <w:t xml:space="preserve">ukrzxgrhgm</w:t>
      </w:r>
      <w:r>
        <w:t xml:space="preserve"> </w:t>
      </w:r>
      <w:r>
        <w:t xml:space="preserve">(Assumed: 2.5 kWh/unit).</w:t>
      </w:r>
    </w:p>
    <w:p>
      <w:pPr>
        <w:pStyle w:val="FirstParagraph"/>
      </w:pPr>
      <w:r>
        <w:t xml:space="preserve">The energy intensity of</w:t>
      </w:r>
      <w:r>
        <w:t xml:space="preserve"> </w:t>
      </w:r>
      <w:r>
        <w:t xml:space="preserve">2.5 kWh/unit</w:t>
      </w:r>
      <w:r>
        <w:t xml:space="preserve"> </w:t>
      </w:r>
      <w:r>
        <w:t xml:space="preserve">and the use of</w:t>
      </w:r>
      <w:r>
        <w:t xml:space="preserve"> </w:t>
      </w:r>
      <w:r>
        <w:t xml:space="preserve">40% renewable energy</w:t>
      </w:r>
      <w:r>
        <w:t xml:space="preserve"> </w:t>
      </w:r>
      <w:r>
        <w:t xml:space="preserve">directly influence the Scope 2 emissions from purchased electricity for the manufacturing of</w:t>
      </w:r>
      <w:r>
        <w:t xml:space="preserve"> </w:t>
      </w:r>
      <w:r>
        <w:t xml:space="preserve">goxwgktrkh</w:t>
      </w:r>
      <w:r>
        <w:t xml:space="preserve">.</w:t>
      </w:r>
    </w:p>
    <w:bookmarkEnd w:id="32"/>
    <w:bookmarkStart w:id="33" w:name="X7661fe3dc36c18337fda59bfd37537c59b9500c"/>
    <w:p>
      <w:pPr>
        <w:pStyle w:val="Heading3"/>
      </w:pPr>
      <w:r>
        <w:t xml:space="preserve">3.3. Logistics Data (Upstream - Scope 3, Category 4)</w:t>
      </w:r>
    </w:p>
    <w:p>
      <w:pPr>
        <w:pStyle w:val="FirstParagraph"/>
      </w:pPr>
      <w:r>
        <w:t xml:space="preserve">Transportation plays a significant role in the upstream value chain emissions. The following parameters are incorporated: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Used</w:t>
            </w:r>
          </w:p>
        </w:tc>
        <w:tc>
          <w:tcPr/>
          <w:p>
            <w:pPr>
              <w:pStyle w:val="Compact"/>
              <w:jc w:val="left"/>
            </w:pPr>
            <w:r>
              <w:t xml:space="preserve">Notes</w:t>
            </w:r>
          </w:p>
        </w:tc>
      </w:tr>
      <w:tr>
        <w:tc>
          <w:tcPr/>
          <w:p>
            <w:pPr>
              <w:pStyle w:val="Compact"/>
              <w:jc w:val="left"/>
            </w:pPr>
            <w:r>
              <w:t xml:space="preserve">Transport Mode (Primary)</w:t>
            </w:r>
          </w:p>
        </w:tc>
        <w:tc>
          <w:tcPr/>
          <w:p>
            <w:pPr>
              <w:pStyle w:val="Compact"/>
              <w:jc w:val="left"/>
            </w:pPr>
            <w:r>
              <w:t xml:space="preserve">Sea Freight</w:t>
            </w:r>
          </w:p>
        </w:tc>
        <w:tc>
          <w:tcPr/>
          <w:p>
            <w:pPr>
              <w:pStyle w:val="Compact"/>
              <w:jc w:val="left"/>
            </w:pPr>
            <w:r>
              <w:t xml:space="preserve">Assumed from \'Select Mode\' for long-haul China-Europe.</w:t>
            </w:r>
          </w:p>
        </w:tc>
      </w:tr>
      <w:tr>
        <w:tc>
          <w:tcPr/>
          <w:p>
            <w:pPr>
              <w:pStyle w:val="Compact"/>
              <w:jc w:val="left"/>
            </w:pPr>
            <w:r>
              <w:t xml:space="preserve">Transport Distance (Primary)</w:t>
            </w:r>
          </w:p>
        </w:tc>
        <w:tc>
          <w:tcPr/>
          <w:p>
            <w:pPr>
              <w:pStyle w:val="Compact"/>
              <w:jc w:val="left"/>
            </w:pPr>
            <w:r>
              <w:t xml:space="preserve">8000 km</w:t>
            </w:r>
          </w:p>
        </w:tc>
        <w:tc>
          <w:tcPr/>
          <w:p>
            <w:pPr>
              <w:pStyle w:val="Compact"/>
              <w:jc w:val="left"/>
            </w:pPr>
            <w:r>
              <w:t xml:space="preserve">Assumed from \'ojwskvugwp\' for China to Europe sea route.</w:t>
            </w:r>
          </w:p>
        </w:tc>
      </w:tr>
      <w:tr>
        <w:tc>
          <w:tcPr/>
          <w:p>
            <w:pPr>
              <w:pStyle w:val="Compact"/>
              <w:jc w:val="left"/>
            </w:pPr>
            <w:r>
              <w:t xml:space="preserve">Transport Mode (Local/Road)</w:t>
            </w:r>
          </w:p>
        </w:tc>
        <w:tc>
          <w:tcPr/>
          <w:p>
            <w:pPr>
              <w:pStyle w:val="Compact"/>
              <w:jc w:val="left"/>
            </w:pPr>
            <w:r>
              <w:t xml:space="preserve">Road Freight</w:t>
            </w:r>
          </w:p>
        </w:tc>
        <w:tc>
          <w:tcPr/>
          <w:p>
            <w:pPr>
              <w:pStyle w:val="Compact"/>
              <w:jc w:val="left"/>
            </w:pPr>
            <w:r>
              <w:t xml:space="preserve">Assumed for initial/final legs.</w:t>
            </w:r>
          </w:p>
        </w:tc>
      </w:tr>
      <w:tr>
        <w:tc>
          <w:tcPr/>
          <w:p>
            <w:pPr>
              <w:pStyle w:val="Compact"/>
              <w:jc w:val="left"/>
            </w:pPr>
            <w:r>
              <w:t xml:space="preserve">Transport Distance (Local/Road)</w:t>
            </w:r>
          </w:p>
        </w:tc>
        <w:tc>
          <w:tcPr/>
          <w:p>
            <w:pPr>
              <w:pStyle w:val="Compact"/>
              <w:jc w:val="left"/>
            </w:pPr>
            <w:r>
              <w:t xml:space="preserve">500 km</w:t>
            </w:r>
          </w:p>
        </w:tc>
        <w:tc>
          <w:tcPr/>
          <w:p>
            <w:pPr>
              <w:pStyle w:val="Compact"/>
              <w:jc w:val="left"/>
            </w:pPr>
            <w:r>
              <w:t xml:space="preserve">Assumed from \'ojwskvugwp\' for intra-Europe road transport.</w:t>
            </w:r>
          </w:p>
        </w:tc>
      </w:tr>
      <w:tr>
        <w:tc>
          <w:tcPr/>
          <w:p>
            <w:pPr>
              <w:pStyle w:val="Compact"/>
              <w:jc w:val="left"/>
            </w:pPr>
            <w:r>
              <w:t xml:space="preserve">Last-Mile Delivery Channel</w:t>
            </w:r>
          </w:p>
        </w:tc>
        <w:tc>
          <w:tcPr/>
          <w:p>
            <w:pPr>
              <w:pStyle w:val="Compact"/>
              <w:jc w:val="left"/>
            </w:pPr>
            <w:r>
              <w:t xml:space="preserve">Parcel Delivery (Road)</w:t>
            </w:r>
          </w:p>
        </w:tc>
        <w:tc>
          <w:tcPr/>
          <w:p>
            <w:pPr>
              <w:pStyle w:val="Compact"/>
              <w:jc w:val="left"/>
            </w:pPr>
            <w:r>
              <w:t xml:space="preserve">Assumed from \'Delivery Type\'.</w:t>
            </w:r>
          </w:p>
        </w:tc>
      </w:tr>
      <w:tr>
        <w:tc>
          <w:tcPr/>
          <w:p>
            <w:pPr>
              <w:pStyle w:val="Compact"/>
              <w:jc w:val="left"/>
            </w:pPr>
            <w:r>
              <w:t xml:space="preserve">Last-Mile Delivery Distance</w:t>
            </w:r>
          </w:p>
        </w:tc>
        <w:tc>
          <w:tcPr/>
          <w:p>
            <w:pPr>
              <w:pStyle w:val="Compact"/>
              <w:jc w:val="left"/>
            </w:pPr>
            <w:r>
              <w:t xml:space="preserve">50 km</w:t>
            </w:r>
          </w:p>
        </w:tc>
        <w:tc>
          <w:tcPr/>
          <w:p>
            <w:pPr>
              <w:pStyle w:val="Compact"/>
              <w:jc w:val="left"/>
            </w:pPr>
            <w:r>
              <w:t xml:space="preserve">Assumed for typical last-mile delivery.</w:t>
            </w:r>
          </w:p>
        </w:tc>
      </w:tr>
      <w:tr>
        <w:tc>
          <w:tcPr/>
          <w:p>
            <w:pPr>
              <w:pStyle w:val="Compact"/>
              <w:jc w:val="left"/>
            </w:pPr>
            <w:r>
              <w:t xml:space="preserve">Product Weight (Total)</w:t>
            </w:r>
          </w:p>
        </w:tc>
        <w:tc>
          <w:tcPr/>
          <w:p>
            <w:pPr>
              <w:pStyle w:val="Compact"/>
              <w:jc w:val="left"/>
            </w:pPr>
            <w:r>
              <w:t xml:space="preserve">0.88 kg</w:t>
            </w:r>
          </w:p>
        </w:tc>
        <w:tc>
          <w:tcPr/>
          <w:p>
            <w:pPr>
              <w:pStyle w:val="Compact"/>
              <w:jc w:val="left"/>
            </w:pPr>
            <w:r>
              <w:t xml:space="preserve">Sum of quantities from BOM.</w:t>
            </w:r>
          </w:p>
        </w:tc>
      </w:tr>
    </w:tbl>
    <w:p>
      <w:pPr>
        <w:pStyle w:val="BodyText"/>
      </w:pPr>
      <w:r>
        <w:rPr>
          <w:iCs/>
          <w:i/>
        </w:rPr>
        <w:t xml:space="preserve">Note: Emission factors for transport are based on typical industry averages (e.g., sea freight: ~0.016-0.04 kg CO2e/tonne-km; road freight: ~0.06-0.243 kg CO2e/tonne-km).</w:t>
      </w:r>
    </w:p>
    <w:bookmarkEnd w:id="33"/>
    <w:bookmarkStart w:id="34" w:name="Xead88d45f74e4e660ec6a4e85b8dd219e1fa4c1"/>
    <w:p>
      <w:pPr>
        <w:pStyle w:val="Heading3"/>
      </w:pPr>
      <w:r>
        <w:t xml:space="preserve">3.4. Use Phase Data (Downstream - Scope 3, Category 11)</w:t>
      </w:r>
    </w:p>
    <w:p>
      <w:pPr>
        <w:pStyle w:val="FirstParagraph"/>
      </w:pPr>
      <w:r>
        <w:t xml:space="preserve">The product\'s performance and energy consumption during its lifespan are crucial for downstream emissions:</w:t>
      </w:r>
    </w:p>
    <w:p>
      <w:pPr>
        <w:numPr>
          <w:ilvl w:val="0"/>
          <w:numId w:val="1004"/>
        </w:numPr>
        <w:pStyle w:val="Compact"/>
      </w:pPr>
      <w:r>
        <w:rPr>
          <w:bCs/>
          <w:b/>
        </w:rPr>
        <w:t xml:space="preserve">Product Lifespan:</w:t>
      </w:r>
      <w:r>
        <w:t xml:space="preserve"> </w:t>
      </w:r>
      <w:r>
        <w:t xml:space="preserve">fzmddvhuun</w:t>
      </w:r>
      <w:r>
        <w:t xml:space="preserve"> </w:t>
      </w:r>
      <w:r>
        <w:t xml:space="preserve">(Assumed: 3 years).</w:t>
      </w:r>
    </w:p>
    <w:p>
      <w:pPr>
        <w:numPr>
          <w:ilvl w:val="0"/>
          <w:numId w:val="1004"/>
        </w:numPr>
        <w:pStyle w:val="Compact"/>
      </w:pPr>
      <w:r>
        <w:rPr>
          <w:bCs/>
          <w:b/>
        </w:rPr>
        <w:t xml:space="preserve">Energy Consumption in Use:</w:t>
      </w:r>
      <w:r>
        <w:t xml:space="preserve"> </w:t>
      </w:r>
      <w:r>
        <w:t xml:space="preserve">jvrfozrilk</w:t>
      </w:r>
      <w:r>
        <w:t xml:space="preserve"> </w:t>
      </w:r>
      <w:r>
        <w:t xml:space="preserve">(Assumed: 5 kWh/year).</w:t>
      </w:r>
    </w:p>
    <w:bookmarkEnd w:id="34"/>
    <w:bookmarkStart w:id="35" w:name="X4d0a35b26e7db34817e0bc89b55f1c1db252a4e"/>
    <w:p>
      <w:pPr>
        <w:pStyle w:val="Heading3"/>
      </w:pPr>
      <w:r>
        <w:t xml:space="preserve">3.5. End-of-Life (EoL) Scenarios (Downstream - Scope 3, Category 12)</w:t>
      </w:r>
    </w:p>
    <w:p>
      <w:pPr>
        <w:pStyle w:val="FirstParagraph"/>
      </w:pPr>
      <w:r>
        <w:t xml:space="preserve">Circular economy aspects are integrated into the EoL phase:</w:t>
      </w:r>
    </w:p>
    <w:p>
      <w:pPr>
        <w:numPr>
          <w:ilvl w:val="0"/>
          <w:numId w:val="1005"/>
        </w:numPr>
        <w:pStyle w:val="Compact"/>
      </w:pPr>
      <w:r>
        <w:rPr>
          <w:bCs/>
          <w:b/>
        </w:rPr>
        <w:t xml:space="preserve">Recyclability Percentage:</w:t>
      </w:r>
      <w:r>
        <w:t xml:space="preserve"> </w:t>
      </w:r>
      <w:r>
        <w:t xml:space="preserve">kgyyezivox</w:t>
      </w:r>
      <w:r>
        <w:t xml:space="preserve"> </w:t>
      </w:r>
      <w:r>
        <w:t xml:space="preserve">(Assumed: 60%).</w:t>
      </w:r>
    </w:p>
    <w:p>
      <w:pPr>
        <w:numPr>
          <w:ilvl w:val="0"/>
          <w:numId w:val="1005"/>
        </w:numPr>
        <w:pStyle w:val="Compact"/>
      </w:pPr>
      <w:r>
        <w:rPr>
          <w:bCs/>
          <w:b/>
        </w:rPr>
        <w:t xml:space="preserve">Circular/Take-back Programs:</w:t>
      </w:r>
      <w:r>
        <w:t xml:space="preserve"> </w:t>
      </w:r>
      <w:r>
        <w:t xml:space="preserve">lzjtwldgnv</w:t>
      </w:r>
      <w:r>
        <w:t xml:space="preserve"> </w:t>
      </w:r>
      <w:r>
        <w:t xml:space="preserve">(Assumed: Yes, voluntary take-back program in key markets).</w:t>
      </w:r>
    </w:p>
    <w:p>
      <w:pPr>
        <w:pStyle w:val="FirstParagraph"/>
      </w:pPr>
      <w:r>
        <w:rPr>
          <w:iCs/>
          <w:i/>
        </w:rPr>
        <w:t xml:space="preserve">Note: Emissions from the end-of-life treatment of sold products encompass waste processing, landfill operations, incineration, and recycling. GHG Protocol advises against reporting negative or avoided emissions associated with recycling within Scope 3 Categories 5 or 12, instead including emissions from recycling processes in Scope 1 and 2 by purchasers of recycled materials. For this report, credits for recycled material are calculated as avoided production impacts to highlight circularity benefits, but are netted against disposal burdens for an overall EoL impact.</w:t>
      </w:r>
    </w:p>
    <w:p>
      <w:r>
        <w:pict>
          <v:rect style="width:0;height:1.5pt" o:hralign="center" o:hrstd="t" o:hr="t"/>
        </w:pict>
      </w:r>
    </w:p>
    <w:bookmarkEnd w:id="35"/>
    <w:bookmarkEnd w:id="36"/>
    <w:bookmarkStart w:id="43"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 lifecycle, using a combination of primary data (from specified parameters) and secondary data (industry-average emission factors, e.g., from Ecoinvent/DEFRA equivalents, where specific factors are not provided).</w:t>
      </w:r>
    </w:p>
    <w:p>
      <w:pPr>
        <w:pStyle w:val="BodyText"/>
      </w:pPr>
      <w:r>
        <w:rPr>
          <w:bCs/>
          <w:b/>
        </w:rPr>
        <w:t xml:space="preserve">Assumed Emission Factors:</w:t>
      </w:r>
    </w:p>
    <w:p>
      <w:pPr>
        <w:numPr>
          <w:ilvl w:val="0"/>
          <w:numId w:val="1006"/>
        </w:numPr>
        <w:pStyle w:val="Compact"/>
      </w:pPr>
      <w:r>
        <w:t xml:space="preserve">Electricity Grid (China, average): 0.6 kg CO2e/kWh</w:t>
      </w:r>
    </w:p>
    <w:p>
      <w:pPr>
        <w:numPr>
          <w:ilvl w:val="0"/>
          <w:numId w:val="1006"/>
        </w:numPr>
        <w:pStyle w:val="Compact"/>
      </w:pPr>
      <w:r>
        <w:t xml:space="preserve">Electricity Grid (Europe, average for use phase): 0.3 kg CO2e/kWh</w:t>
      </w:r>
    </w:p>
    <w:p>
      <w:pPr>
        <w:numPr>
          <w:ilvl w:val="0"/>
          <w:numId w:val="1006"/>
        </w:numPr>
        <w:pStyle w:val="Compact"/>
      </w:pPr>
      <w:r>
        <w:t xml:space="preserve">Sea Freight (Container Ship): 0.01 kg CO2e/tonne-km</w:t>
      </w:r>
    </w:p>
    <w:p>
      <w:pPr>
        <w:numPr>
          <w:ilvl w:val="0"/>
          <w:numId w:val="1006"/>
        </w:numPr>
        <w:pStyle w:val="Compact"/>
      </w:pPr>
      <w:r>
        <w:t xml:space="preserve">Road Freight (Heavy Goods Vehicle): 0.09 kg CO2e/tonne-km</w:t>
      </w:r>
    </w:p>
    <w:p>
      <w:pPr>
        <w:numPr>
          <w:ilvl w:val="0"/>
          <w:numId w:val="1006"/>
        </w:numPr>
        <w:pStyle w:val="Compact"/>
      </w:pPr>
      <w:r>
        <w:t xml:space="preserve">Last-Mile Parcel Delivery: 0.5 kg CO2e/delivery (simplified for per unit)</w:t>
      </w:r>
    </w:p>
    <w:p>
      <w:pPr>
        <w:numPr>
          <w:ilvl w:val="0"/>
          <w:numId w:val="1006"/>
        </w:numPr>
        <w:pStyle w:val="Compact"/>
      </w:pPr>
      <w:r>
        <w:t xml:space="preserve">End-of-Life Disposal (landfill/incineration burden): 1.0 kg CO2e/kg</w:t>
      </w:r>
    </w:p>
    <w:p>
      <w:pPr>
        <w:numPr>
          <w:ilvl w:val="0"/>
          <w:numId w:val="1006"/>
        </w:numPr>
        <w:pStyle w:val="Compact"/>
      </w:pPr>
      <w:r>
        <w:t xml:space="preserve">Recycling Credit (simplified): 50% of raw material EF for recycled portion.</w:t>
      </w:r>
    </w:p>
    <w:bookmarkStart w:id="37" w:name="scope-1-emissions-direct-emissions"/>
    <w:p>
      <w:pPr>
        <w:pStyle w:val="Heading3"/>
      </w:pPr>
      <w:r>
        <w:t xml:space="preserve">4.1. Scope 1 Emissions (Direct Emissions)</w:t>
      </w:r>
    </w:p>
    <w:p>
      <w:pPr>
        <w:pStyle w:val="FirstParagraph"/>
      </w:pPr>
      <w:r>
        <w:t xml:space="preserve">Given the "factory_gate" system boundary and the assumption that</w:t>
      </w:r>
      <w:r>
        <w:t xml:space="preserve"> </w:t>
      </w:r>
      <w:r>
        <w:t xml:space="preserve">fwlhqqrxnl</w:t>
      </w:r>
      <w:r>
        <w:t xml:space="preserve">\'s final production is in China (likely outsourced), direct Scope 1 emissions from sources owned or controlled by</w:t>
      </w:r>
      <w:r>
        <w:t xml:space="preserve"> </w:t>
      </w:r>
      <w:r>
        <w:t xml:space="preserve">fwlhqqrxnl</w:t>
      </w:r>
      <w:r>
        <w:t xml:space="preserve"> </w:t>
      </w:r>
      <w:r>
        <w:t xml:space="preserve">for the production of</w:t>
      </w:r>
      <w:r>
        <w:t xml:space="preserve"> </w:t>
      </w:r>
      <w:r>
        <w:t xml:space="preserve">goxwgktrkh</w:t>
      </w:r>
      <w:r>
        <w:t xml:space="preserve"> </w:t>
      </w:r>
      <w:r>
        <w:t xml:space="preserve">are assumed to be negligible for this specific PCF, as the primary production activity is considered within Scope 2 (purchased electricity) and Scope 3 (purchased materials and services). In a full corporate inventory, these would include on-site fuel combustion or process emissions.</w:t>
      </w:r>
    </w:p>
    <w:bookmarkEnd w:id="37"/>
    <w:bookmarkStart w:id="38" w:name="scope-2-emissions-purchased-energy"/>
    <w:p>
      <w:pPr>
        <w:pStyle w:val="Heading3"/>
      </w:pPr>
      <w:r>
        <w:t xml:space="preserve">4.2. Scope 2 Emissions (Purchased Energy)</w:t>
      </w:r>
    </w:p>
    <w:p>
      <w:pPr>
        <w:pStyle w:val="FirstParagraph"/>
      </w:pPr>
      <w:r>
        <w:t xml:space="preserve">These emissions primarily account for the electricity consumed during the manufacturing process of</w:t>
      </w:r>
      <w:r>
        <w:t xml:space="preserve"> </w:t>
      </w:r>
      <w:r>
        <w:t xml:space="preserve">goxwgktrkh</w:t>
      </w:r>
      <w:r>
        <w:t xml:space="preserve">.</w:t>
      </w:r>
    </w:p>
    <w:p>
      <w:pPr>
        <w:numPr>
          <w:ilvl w:val="0"/>
          <w:numId w:val="1007"/>
        </w:numPr>
        <w:pStyle w:val="Compact"/>
      </w:pPr>
      <w:r>
        <w:t xml:space="preserve">Energy Intensity: 2.5 kWh/unit</w:t>
      </w:r>
    </w:p>
    <w:p>
      <w:pPr>
        <w:numPr>
          <w:ilvl w:val="0"/>
          <w:numId w:val="1007"/>
        </w:numPr>
        <w:pStyle w:val="Compact"/>
      </w:pPr>
      <w:r>
        <w:t xml:space="preserve">Renewable Energy Usage: 40%</w:t>
      </w:r>
    </w:p>
    <w:p>
      <w:pPr>
        <w:numPr>
          <w:ilvl w:val="0"/>
          <w:numId w:val="1007"/>
        </w:numPr>
        <w:pStyle w:val="Compact"/>
      </w:pPr>
      <w:r>
        <w:t xml:space="preserve">Non-renewable electricity: 2.5 kWh/unit * (1 - 0.40) = 1.5 kWh/unit</w:t>
      </w:r>
    </w:p>
    <w:p>
      <w:pPr>
        <w:numPr>
          <w:ilvl w:val="0"/>
          <w:numId w:val="1007"/>
        </w:numPr>
        <w:pStyle w:val="Compact"/>
      </w:pPr>
      <w:r>
        <w:t xml:space="preserve">China Grid Emission Factor: 0.6 kg CO2e/kWh</w:t>
      </w:r>
    </w:p>
    <w:p>
      <w:pPr>
        <w:numPr>
          <w:ilvl w:val="0"/>
          <w:numId w:val="1007"/>
        </w:numPr>
        <w:pStyle w:val="Compact"/>
      </w:pPr>
      <w:r>
        <w:rPr>
          <w:bCs/>
          <w:b/>
        </w:rPr>
        <w:t xml:space="preserve">Production Energy Emissions (Scope 2)</w:t>
      </w:r>
      <w:r>
        <w:t xml:space="preserve"> </w:t>
      </w:r>
      <w:r>
        <w:t xml:space="preserve">= 1.5 kWh/unit * 0.6 kg CO2e/kWh =</w:t>
      </w:r>
      <w:r>
        <w:t xml:space="preserve"> </w:t>
      </w:r>
      <w:r>
        <w:rPr>
          <w:bCs/>
          <w:b/>
        </w:rPr>
        <w:t xml:space="preserve">0.90 kg CO2e</w:t>
      </w:r>
    </w:p>
    <w:bookmarkEnd w:id="38"/>
    <w:bookmarkStart w:id="41" w:name="scope-3-emissions-value-chain"/>
    <w:p>
      <w:pPr>
        <w:pStyle w:val="Heading3"/>
      </w:pPr>
      <w:r>
        <w:t xml:space="preserve">4.3. Scope 3 Emissions (Value Chain)</w:t>
      </w:r>
    </w:p>
    <w:p>
      <w:pPr>
        <w:pStyle w:val="FirstParagraph"/>
      </w:pPr>
      <w:r>
        <w:t xml:space="preserve">Scope 3 emissions are typically the largest portion of a product\'s footprint, encompassing both upstream and downstream activities.</w:t>
      </w:r>
    </w:p>
    <w:bookmarkStart w:id="39" w:name="upstream-emissions-categories-1-4"/>
    <w:p>
      <w:pPr>
        <w:pStyle w:val="Heading4"/>
      </w:pPr>
      <w:r>
        <w:t xml:space="preserve">4.3.1. Upstream Emissions (Categories 1 &amp; 4)</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Material Impact (from BOM table):</w:t>
      </w:r>
      <w:r>
        <w:t xml:space="preserve"> </w:t>
      </w:r>
      <w:r>
        <w:rPr>
          <w:bCs/>
          <w:b/>
        </w:rPr>
        <w:t xml:space="preserve">5.038 kg CO2e</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Product Weight: 0.88 kg (0.00088 tonnes)</w:t>
      </w:r>
    </w:p>
    <w:p>
      <w:pPr>
        <w:numPr>
          <w:ilvl w:val="1"/>
          <w:numId w:val="1010"/>
        </w:numPr>
        <w:pStyle w:val="Compact"/>
      </w:pPr>
      <w:r>
        <w:t xml:space="preserve">Sea Freight Emissions: 0.00088 tonnes * 8000 km * 0.01 kg CO2e/tonne-km = 0.0704 kg CO2e</w:t>
      </w:r>
    </w:p>
    <w:p>
      <w:pPr>
        <w:numPr>
          <w:ilvl w:val="1"/>
          <w:numId w:val="1010"/>
        </w:numPr>
        <w:pStyle w:val="Compact"/>
      </w:pPr>
      <w:r>
        <w:t xml:space="preserve">Road Freight Emissions (initial/final legs): 0.00088 tonnes * 500 km * 0.09 kg CO2e/tonne-km = 0.0396 kg CO2e</w:t>
      </w:r>
    </w:p>
    <w:p>
      <w:pPr>
        <w:numPr>
          <w:ilvl w:val="1"/>
          <w:numId w:val="1010"/>
        </w:numPr>
        <w:pStyle w:val="Compact"/>
      </w:pPr>
      <w:r>
        <w:t xml:space="preserve">Last-Mile Delivery Emissions: 0.5 kg CO2e (simplified per delivery for 1 unit)</w:t>
      </w:r>
    </w:p>
    <w:p>
      <w:pPr>
        <w:numPr>
          <w:ilvl w:val="1"/>
          <w:numId w:val="1010"/>
        </w:numPr>
        <w:pStyle w:val="Compact"/>
      </w:pPr>
      <w:r>
        <w:rPr>
          <w:bCs/>
          <w:b/>
        </w:rPr>
        <w:t xml:space="preserve">Total Transport Emissions (Upstream)</w:t>
      </w:r>
      <w:r>
        <w:t xml:space="preserve"> </w:t>
      </w:r>
      <w:r>
        <w:t xml:space="preserve">= 0.0704 + 0.0396 + 0.5 =</w:t>
      </w:r>
      <w:r>
        <w:t xml:space="preserve"> </w:t>
      </w:r>
      <w:r>
        <w:rPr>
          <w:bCs/>
          <w:b/>
        </w:rPr>
        <w:t xml:space="preserve">0.61 kg CO2e</w:t>
      </w:r>
    </w:p>
    <w:p>
      <w:pPr>
        <w:numPr>
          <w:ilvl w:val="0"/>
          <w:numId w:val="1008"/>
        </w:numPr>
        <w:pStyle w:val="Compact"/>
      </w:pPr>
      <w:r>
        <w:rPr>
          <w:bCs/>
          <w:b/>
        </w:rPr>
        <w:t xml:space="preserve">Total Upstream Scope 3 Emissions</w:t>
      </w:r>
      <w:r>
        <w:t xml:space="preserve"> </w:t>
      </w:r>
      <w:r>
        <w:t xml:space="preserve">= 5.038 kg CO2e (Materials) + 0.61 kg CO2e (Transport) =</w:t>
      </w:r>
      <w:r>
        <w:t xml:space="preserve"> </w:t>
      </w:r>
      <w:r>
        <w:rPr>
          <w:bCs/>
          <w:b/>
        </w:rPr>
        <w:t xml:space="preserve">5.648 kg CO2e</w:t>
      </w:r>
    </w:p>
    <w:bookmarkEnd w:id="39"/>
    <w:bookmarkStart w:id="40" w:name="downstream-emissions-categories-11-12"/>
    <w:p>
      <w:pPr>
        <w:pStyle w:val="Heading4"/>
      </w:pPr>
      <w:r>
        <w:t xml:space="preserve">4.3.2. Downstream Emissions (Categories 11 &amp; 12)</w:t>
      </w:r>
    </w:p>
    <w:p>
      <w:pPr>
        <w:numPr>
          <w:ilvl w:val="0"/>
          <w:numId w:val="1011"/>
        </w:numPr>
        <w:pStyle w:val="Compact"/>
      </w:pPr>
      <w:r>
        <w:rPr>
          <w:bCs/>
          <w:b/>
        </w:rPr>
        <w:t xml:space="preserve">Category 11: Use of Sold Products</w:t>
      </w:r>
    </w:p>
    <w:p>
      <w:pPr>
        <w:numPr>
          <w:ilvl w:val="1"/>
          <w:numId w:val="1012"/>
        </w:numPr>
        <w:pStyle w:val="Compact"/>
      </w:pPr>
      <w:r>
        <w:t xml:space="preserve">Product Lifespan: 3 years</w:t>
      </w:r>
    </w:p>
    <w:p>
      <w:pPr>
        <w:numPr>
          <w:ilvl w:val="1"/>
          <w:numId w:val="1012"/>
        </w:numPr>
        <w:pStyle w:val="Compact"/>
      </w:pPr>
      <w:r>
        <w:t xml:space="preserve">Energy Consumption in Use: 5 kWh/year</w:t>
      </w:r>
    </w:p>
    <w:p>
      <w:pPr>
        <w:numPr>
          <w:ilvl w:val="1"/>
          <w:numId w:val="1012"/>
        </w:numPr>
        <w:pStyle w:val="Compact"/>
      </w:pPr>
      <w:r>
        <w:t xml:space="preserve">European Grid Emission Factor (assumed): 0.3 kg CO2e/kWh</w:t>
      </w:r>
    </w:p>
    <w:p>
      <w:pPr>
        <w:numPr>
          <w:ilvl w:val="1"/>
          <w:numId w:val="1012"/>
        </w:numPr>
        <w:pStyle w:val="Compact"/>
      </w:pPr>
      <w:r>
        <w:rPr>
          <w:bCs/>
          <w:b/>
        </w:rPr>
        <w:t xml:space="preserve">Use Phase Emissions</w:t>
      </w:r>
      <w:r>
        <w:t xml:space="preserve"> </w:t>
      </w:r>
      <w:r>
        <w:t xml:space="preserve">= 3 years * 5 kWh/year * 0.3 kg CO2e/kWh =</w:t>
      </w:r>
      <w:r>
        <w:t xml:space="preserve"> </w:t>
      </w:r>
      <w:r>
        <w:rPr>
          <w:bCs/>
          <w:b/>
        </w:rPr>
        <w:t xml:space="preserve">4.50 kg CO2e</w:t>
      </w:r>
    </w:p>
    <w:p>
      <w:pPr>
        <w:numPr>
          <w:ilvl w:val="0"/>
          <w:numId w:val="1011"/>
        </w:numPr>
        <w:pStyle w:val="Compact"/>
      </w:pPr>
      <w:r>
        <w:rPr>
          <w:bCs/>
          <w:b/>
        </w:rPr>
        <w:t xml:space="preserve">Category 12: End-of-Life Treatment of Sold Products</w:t>
      </w:r>
    </w:p>
    <w:p>
      <w:pPr>
        <w:numPr>
          <w:ilvl w:val="1"/>
          <w:numId w:val="1013"/>
        </w:numPr>
        <w:pStyle w:val="Compact"/>
      </w:pPr>
      <w:r>
        <w:t xml:space="preserve">Total Material Weight: 0.88 kg</w:t>
      </w:r>
    </w:p>
    <w:p>
      <w:pPr>
        <w:numPr>
          <w:ilvl w:val="1"/>
          <w:numId w:val="1013"/>
        </w:numPr>
        <w:pStyle w:val="Compact"/>
      </w:pPr>
      <w:r>
        <w:t xml:space="preserve">Recyclability Percentage: 60%</w:t>
      </w:r>
    </w:p>
    <w:p>
      <w:pPr>
        <w:numPr>
          <w:ilvl w:val="1"/>
          <w:numId w:val="1013"/>
        </w:numPr>
        <w:pStyle w:val="Compact"/>
      </w:pPr>
      <w:r>
        <w:t xml:space="preserve">Weight Recycled: 0.88 kg * 0.60 = 0.528 kg</w:t>
      </w:r>
    </w:p>
    <w:p>
      <w:pPr>
        <w:numPr>
          <w:ilvl w:val="1"/>
          <w:numId w:val="1013"/>
        </w:numPr>
        <w:pStyle w:val="Compact"/>
      </w:pPr>
      <w:r>
        <w:t xml:space="preserve">Weight Disposed (landfill/incineration): 0.88 kg * (1 - 0.60) = 0.352 kg</w:t>
      </w:r>
    </w:p>
    <w:p>
      <w:pPr>
        <w:numPr>
          <w:ilvl w:val="1"/>
          <w:numId w:val="1013"/>
        </w:numPr>
        <w:pStyle w:val="Compact"/>
      </w:pPr>
      <w:r>
        <w:t xml:space="preserve">Average Material Emission Factor (from BOM): 5.038 kg CO2e / 0.88 kg = 5.725 kg CO2e/kg</w:t>
      </w:r>
    </w:p>
    <w:p>
      <w:pPr>
        <w:numPr>
          <w:ilvl w:val="1"/>
          <w:numId w:val="1013"/>
        </w:numPr>
        <w:pStyle w:val="Compact"/>
      </w:pPr>
      <w:r>
        <w:t xml:space="preserve">Recycling Credit (50% avoided production impact): - (0.528 kg * 5.725 kg CO2e/kg * 0.5) = -1.51 kg CO2e</w:t>
      </w:r>
    </w:p>
    <w:p>
      <w:pPr>
        <w:numPr>
          <w:ilvl w:val="1"/>
          <w:numId w:val="1013"/>
        </w:numPr>
        <w:pStyle w:val="Compact"/>
      </w:pPr>
      <w:r>
        <w:t xml:space="preserve">Disposal Burden (at 1.0 kg CO2e/kg): 0.352 kg * 1.0 kg CO2e/kg = 0.352 kg CO2e</w:t>
      </w:r>
    </w:p>
    <w:p>
      <w:pPr>
        <w:numPr>
          <w:ilvl w:val="1"/>
          <w:numId w:val="1013"/>
        </w:numPr>
        <w:pStyle w:val="Compact"/>
      </w:pPr>
      <w:r>
        <w:rPr>
          <w:bCs/>
          <w:b/>
        </w:rPr>
        <w:t xml:space="preserve">Total End-of-Life Impact</w:t>
      </w:r>
      <w:r>
        <w:t xml:space="preserve"> </w:t>
      </w:r>
      <w:r>
        <w:t xml:space="preserve">= -1.51 kg CO2e + 0.352 kg CO2e =</w:t>
      </w:r>
      <w:r>
        <w:t xml:space="preserve"> </w:t>
      </w:r>
      <w:r>
        <w:rPr>
          <w:bCs/>
          <w:b/>
        </w:rPr>
        <w:t xml:space="preserve">-1.158 kg CO2e</w:t>
      </w:r>
    </w:p>
    <w:p>
      <w:pPr>
        <w:numPr>
          <w:ilvl w:val="0"/>
          <w:numId w:val="1011"/>
        </w:numPr>
        <w:pStyle w:val="Compact"/>
      </w:pPr>
      <w:r>
        <w:rPr>
          <w:bCs/>
          <w:b/>
        </w:rPr>
        <w:t xml:space="preserve">Total Downstream Scope 3 Emissions</w:t>
      </w:r>
      <w:r>
        <w:t xml:space="preserve"> </w:t>
      </w:r>
      <w:r>
        <w:t xml:space="preserve">= 4.50 kg CO2e (Use Phase) - 1.158 kg CO2e (EoL) =</w:t>
      </w:r>
      <w:r>
        <w:t xml:space="preserve"> </w:t>
      </w:r>
      <w:r>
        <w:rPr>
          <w:bCs/>
          <w:b/>
        </w:rPr>
        <w:t xml:space="preserve">3.342 kg CO2e</w:t>
      </w:r>
    </w:p>
    <w:bookmarkEnd w:id="40"/>
    <w:bookmarkEnd w:id="41"/>
    <w:bookmarkStart w:id="42" w:name="total-product-carbon-footprint-summary"/>
    <w:p>
      <w:pPr>
        <w:pStyle w:val="Heading3"/>
      </w:pPr>
      <w:r>
        <w:t xml:space="preserve">4.4. Total Product Carbon Footprint Summary</w:t>
      </w:r>
    </w:p>
    <w:p>
      <w:pPr>
        <w:pStyle w:val="FirstParagraph"/>
      </w:pPr>
      <w:r>
        <w:t xml:space="preserve">The overall Product Carbon Footprint for one unit of</w:t>
      </w:r>
      <w:r>
        <w:t xml:space="preserve"> </w:t>
      </w:r>
      <w:r>
        <w:t xml:space="preserve">goxwgktrkh</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Assumed negligible for this PCF boundary.</w:t>
            </w:r>
          </w:p>
        </w:tc>
      </w:tr>
      <w:tr>
        <w:tc>
          <w:tcPr/>
          <w:p>
            <w:pPr>
              <w:pStyle w:val="Compact"/>
              <w:jc w:val="left"/>
            </w:pPr>
            <w:r>
              <w:t xml:space="preserve">Scope 2 (Purchased Energy)</w:t>
            </w:r>
          </w:p>
        </w:tc>
        <w:tc>
          <w:tcPr/>
          <w:p>
            <w:pPr>
              <w:pStyle w:val="Compact"/>
              <w:jc w:val="left"/>
            </w:pPr>
            <w:r>
              <w:t xml:space="preserve">0.90</w:t>
            </w:r>
          </w:p>
        </w:tc>
        <w:tc>
          <w:tcPr/>
          <w:p>
            <w:pPr>
              <w:pStyle w:val="Compact"/>
              <w:jc w:val="left"/>
            </w:pPr>
            <w:r>
              <w:t xml:space="preserve">Electricity for manufacturing.</w:t>
            </w:r>
          </w:p>
        </w:tc>
      </w:tr>
      <w:tr>
        <w:tc>
          <w:tcPr/>
          <w:p>
            <w:pPr>
              <w:pStyle w:val="Compact"/>
              <w:jc w:val="left"/>
            </w:pPr>
            <w:r>
              <w:t xml:space="preserve">Scope 3 - Upstream (Materials, Cat. 1)</w:t>
            </w:r>
          </w:p>
        </w:tc>
        <w:tc>
          <w:tcPr/>
          <w:p>
            <w:pPr>
              <w:pStyle w:val="Compact"/>
              <w:jc w:val="left"/>
            </w:pPr>
            <w:r>
              <w:t xml:space="preserve">5.038</w:t>
            </w:r>
          </w:p>
        </w:tc>
        <w:tc>
          <w:tcPr/>
          <w:p>
            <w:pPr>
              <w:pStyle w:val="Compact"/>
              <w:jc w:val="left"/>
            </w:pPr>
            <w:r>
              <w:t xml:space="preserve">Emissions from Bill of Materials.</w:t>
            </w:r>
          </w:p>
        </w:tc>
      </w:tr>
      <w:tr>
        <w:tc>
          <w:tcPr/>
          <w:p>
            <w:pPr>
              <w:pStyle w:val="Compact"/>
              <w:jc w:val="left"/>
            </w:pPr>
            <w:r>
              <w:t xml:space="preserve">Scope 3 - Upstream (Transport, Cat. 4)</w:t>
            </w:r>
          </w:p>
        </w:tc>
        <w:tc>
          <w:tcPr/>
          <w:p>
            <w:pPr>
              <w:pStyle w:val="Compact"/>
              <w:jc w:val="left"/>
            </w:pPr>
            <w:r>
              <w:t xml:space="preserve">0.61</w:t>
            </w:r>
          </w:p>
        </w:tc>
        <w:tc>
          <w:tcPr/>
          <w:p>
            <w:pPr>
              <w:pStyle w:val="Compact"/>
              <w:jc w:val="left"/>
            </w:pPr>
            <w:r>
              <w:t xml:space="preserve">Primary and last-mile logistics.</w:t>
            </w:r>
          </w:p>
        </w:tc>
      </w:tr>
      <w:tr>
        <w:tc>
          <w:tcPr/>
          <w:p>
            <w:pPr>
              <w:pStyle w:val="Compact"/>
              <w:jc w:val="left"/>
            </w:pPr>
            <w:r>
              <w:t xml:space="preserve">Scope 3 - Downstream (Use Phase, Cat. 11)</w:t>
            </w:r>
          </w:p>
        </w:tc>
        <w:tc>
          <w:tcPr/>
          <w:p>
            <w:pPr>
              <w:pStyle w:val="Compact"/>
              <w:jc w:val="left"/>
            </w:pPr>
            <w:r>
              <w:t xml:space="preserve">4.50</w:t>
            </w:r>
          </w:p>
        </w:tc>
        <w:tc>
          <w:tcPr/>
          <w:p>
            <w:pPr>
              <w:pStyle w:val="Compact"/>
              <w:jc w:val="left"/>
            </w:pPr>
            <w:r>
              <w:t xml:space="preserve">Energy consumption during product lifespan.</w:t>
            </w:r>
          </w:p>
        </w:tc>
      </w:tr>
      <w:tr>
        <w:tc>
          <w:tcPr/>
          <w:p>
            <w:pPr>
              <w:pStyle w:val="Compact"/>
              <w:jc w:val="left"/>
            </w:pPr>
            <w:r>
              <w:t xml:space="preserve">Scope 3 - Downstream (End-of-Life, Cat. 12)</w:t>
            </w:r>
          </w:p>
        </w:tc>
        <w:tc>
          <w:tcPr/>
          <w:p>
            <w:pPr>
              <w:pStyle w:val="Compact"/>
              <w:jc w:val="left"/>
            </w:pPr>
            <w:r>
              <w:t xml:space="preserve">-1.158</w:t>
            </w:r>
          </w:p>
        </w:tc>
        <w:tc>
          <w:tcPr/>
          <w:p>
            <w:pPr>
              <w:pStyle w:val="Compact"/>
              <w:jc w:val="left"/>
            </w:pPr>
            <w:r>
              <w:t xml:space="preserve">Net impact from recycling credits and disposal burden.</w:t>
            </w:r>
          </w:p>
        </w:tc>
      </w:tr>
      <w:tr>
        <w:tc>
          <w:tcPr/>
          <w:p>
            <w:pPr>
              <w:pStyle w:val="Compact"/>
              <w:jc w:val="left"/>
            </w:pPr>
            <w:r>
              <w:rPr>
                <w:bCs/>
                <w:b/>
              </w:rPr>
              <w:t xml:space="preserve">Total Product Carbon Footprint</w:t>
            </w:r>
          </w:p>
        </w:tc>
        <w:tc>
          <w:tcPr/>
          <w:p>
            <w:pPr>
              <w:pStyle w:val="Compact"/>
              <w:jc w:val="left"/>
            </w:pPr>
            <w:r>
              <w:rPr>
                <w:bCs/>
                <w:b/>
              </w:rPr>
              <w:t xml:space="preserve">9.89 kg CO2e</w:t>
            </w:r>
          </w:p>
        </w:tc>
        <w:tc>
          <w:tcPr/>
          <w:p>
            <w:pPr>
              <w:pStyle w:val="Compact"/>
              <w:jc w:val="left"/>
            </w:pPr>
            <w:r>
              <w:t xml:space="preserve">Sum of all scopes.</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Based on this analysis, the primary emission hotspots for</w:t>
      </w:r>
      <w:r>
        <w:t xml:space="preserve"> </w:t>
      </w:r>
      <w:r>
        <w:t xml:space="preserve">goxwgktrkh</w:t>
      </w:r>
      <w:r>
        <w:t xml:space="preserve"> </w:t>
      </w:r>
      <w:r>
        <w:t xml:space="preserve">are:</w:t>
      </w:r>
    </w:p>
    <w:p>
      <w:pPr>
        <w:numPr>
          <w:ilvl w:val="0"/>
          <w:numId w:val="1014"/>
        </w:numPr>
        <w:pStyle w:val="Compact"/>
      </w:pPr>
      <w:r>
        <w:rPr>
          <w:bCs/>
          <w:b/>
        </w:rPr>
        <w:t xml:space="preserve">Materials (Scope 3, Category 1):</w:t>
      </w:r>
      <w:r>
        <w:t xml:space="preserve"> </w:t>
      </w:r>
      <w:r>
        <w:t xml:space="preserve">Accounting for approximately 51% of the total footprint, the raw materials, particularly complex electronics and batteries, are the largest contributor. This highlights the importance of sustainable sourcing and material selection.</w:t>
      </w:r>
    </w:p>
    <w:p>
      <w:pPr>
        <w:numPr>
          <w:ilvl w:val="0"/>
          <w:numId w:val="1014"/>
        </w:numPr>
        <w:pStyle w:val="Compact"/>
      </w:pPr>
      <w:r>
        <w:rPr>
          <w:bCs/>
          <w:b/>
        </w:rPr>
        <w:t xml:space="preserve">Use Phase (Scope 3, Category 11):</w:t>
      </w:r>
      <w:r>
        <w:t xml:space="preserve"> </w:t>
      </w:r>
      <w:r>
        <w:t xml:space="preserve">Representing about 45% of the total footprint, the energy consumption during the product\'s lifespan is a significant factor. Improving energy efficiency during product design or promoting renewable energy use by consumers could reduce this impact.</w:t>
      </w:r>
    </w:p>
    <w:p>
      <w:pPr>
        <w:numPr>
          <w:ilvl w:val="0"/>
          <w:numId w:val="1014"/>
        </w:numPr>
        <w:pStyle w:val="Compact"/>
      </w:pPr>
      <w:r>
        <w:rPr>
          <w:bCs/>
          <w:b/>
        </w:rPr>
        <w:t xml:space="preserve">Production Energy (Scope 2):</w:t>
      </w:r>
      <w:r>
        <w:t xml:space="preserve"> </w:t>
      </w:r>
      <w:r>
        <w:t xml:space="preserve">While lower than Scope 3 categories, the purchased electricity for manufacturing contributes about 9% of the total, indicating opportunities for increased renewable energy integration.</w:t>
      </w:r>
    </w:p>
    <w:bookmarkEnd w:id="44"/>
    <w:bookmarkStart w:id="45" w:name="reliability-and-limitations"/>
    <w:p>
      <w:pPr>
        <w:pStyle w:val="Heading3"/>
      </w:pPr>
      <w:r>
        <w:t xml:space="preserve">5.2. Reliability and Limitations</w:t>
      </w:r>
    </w:p>
    <w:p>
      <w:pPr>
        <w:pStyle w:val="FirstParagraph"/>
      </w:pPr>
      <w:r>
        <w:t xml:space="preserve">The reliability of this PCF is contingent upon the accuracy and completeness of the input data. While primary data was used where available (e.g., specific parameters), certain emission factors and assumptions (e.g., transport modes, last-mile distance, grid mix for use phase, specific EoL scenarios, and detailed BOM values derived from the generic string `rflzwghe`) rely on industry averages (e.g., Ecoinvent/DEFRA equivalents) due to the placeholder nature of some parameters. This approach ensures a robust estimation but highlights areas where more granular, product-specific primary data could further enhance accuracy. The analysis adheres to GHG Protocol standards, providing a credible basis for sustainability strategy development for</w:t>
      </w:r>
      <w:r>
        <w:t xml:space="preserve"> </w:t>
      </w:r>
      <w:r>
        <w:t xml:space="preserve">fwlhqqrxnl</w:t>
      </w:r>
      <w:r>
        <w:t xml:space="preserve">.</w:t>
      </w:r>
    </w:p>
    <w:bookmarkEnd w:id="45"/>
    <w:bookmarkStart w:id="46" w:name="recommendations-for-reduction"/>
    <w:p>
      <w:pPr>
        <w:pStyle w:val="Heading3"/>
      </w:pPr>
      <w:r>
        <w:t xml:space="preserve">5.3. Recommendations for Reduction</w:t>
      </w:r>
    </w:p>
    <w:p>
      <w:pPr>
        <w:numPr>
          <w:ilvl w:val="0"/>
          <w:numId w:val="1015"/>
        </w:numPr>
        <w:pStyle w:val="Compact"/>
      </w:pPr>
      <w:r>
        <w:rPr>
          <w:bCs/>
          <w:b/>
        </w:rPr>
        <w:t xml:space="preserve">Material Optimization:</w:t>
      </w:r>
      <w:r>
        <w:t xml:space="preserve"> </w:t>
      </w:r>
      <w:r>
        <w:t xml:space="preserve">Explore alternative, lower-carbon materials for the main enclosure and other components. Engage suppliers to reduce upstream emissions from electronics and battery manufacturing.</w:t>
      </w:r>
    </w:p>
    <w:p>
      <w:pPr>
        <w:numPr>
          <w:ilvl w:val="0"/>
          <w:numId w:val="1015"/>
        </w:numPr>
        <w:pStyle w:val="Compact"/>
      </w:pPr>
      <w:r>
        <w:rPr>
          <w:bCs/>
          <w:b/>
        </w:rPr>
        <w:t xml:space="preserve">Energy Efficiency in Use:</w:t>
      </w:r>
      <w:r>
        <w:t xml:space="preserve"> </w:t>
      </w:r>
      <w:r>
        <w:t xml:space="preserve">Design</w:t>
      </w:r>
      <w:r>
        <w:t xml:space="preserve"> </w:t>
      </w:r>
      <w:r>
        <w:t xml:space="preserve">goxwgktrkh</w:t>
      </w:r>
      <w:r>
        <w:t xml:space="preserve"> </w:t>
      </w:r>
      <w:r>
        <w:t xml:space="preserve">for maximum energy efficiency during its operational lifespan to reduce downstream electricity consumption.</w:t>
      </w:r>
    </w:p>
    <w:p>
      <w:pPr>
        <w:numPr>
          <w:ilvl w:val="0"/>
          <w:numId w:val="1015"/>
        </w:numPr>
        <w:pStyle w:val="Compact"/>
      </w:pPr>
      <w:r>
        <w:rPr>
          <w:bCs/>
          <w:b/>
        </w:rPr>
        <w:t xml:space="preserve">Renewable Energy in Production:</w:t>
      </w:r>
      <w:r>
        <w:t xml:space="preserve"> </w:t>
      </w:r>
      <w:r>
        <w:t xml:space="preserve">Increase the percentage of renewable energy used in manufacturing facilities beyond the current 40% to further reduce Scope 2 emissions.</w:t>
      </w:r>
    </w:p>
    <w:p>
      <w:pPr>
        <w:numPr>
          <w:ilvl w:val="0"/>
          <w:numId w:val="1015"/>
        </w:numPr>
        <w:pStyle w:val="Compact"/>
      </w:pPr>
      <w:r>
        <w:rPr>
          <w:bCs/>
          <w:b/>
        </w:rPr>
        <w:t xml:space="preserve">Circular Economy Strategies:</w:t>
      </w:r>
      <w:r>
        <w:t xml:space="preserve"> </w:t>
      </w:r>
      <w:r>
        <w:t xml:space="preserve">Expand and promote the voluntary take-back program (</w:t>
      </w:r>
      <w:r>
        <w:t xml:space="preserve">lzjtwldgnv</w:t>
      </w:r>
      <w:r>
        <w:t xml:space="preserve">) and explore design-for-disassembly to maximize the</w:t>
      </w:r>
      <w:r>
        <w:t xml:space="preserve"> </w:t>
      </w:r>
      <w:r>
        <w:t xml:space="preserve">60% recyclability percentage</w:t>
      </w:r>
      <w:r>
        <w:t xml:space="preserve"> </w:t>
      </w:r>
      <w:r>
        <w:t xml:space="preserve">and recover valuable materials more effectively, potentially turning EoL from a burden into a credit.</w: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goxwgktrkh</dc:title>
  <dc:creator/>
  <dc:description>Product Carbon Footprint (PCF) analysis report for goxwgktrkh, detailing GHG emissions across its lifecycle, performed by kglvftkyyj (Senior Sustainability Consultant) for fwlhqqrxnl, adhering to GHG Protocol and 2026 LSR standards.</dc:description>
  <dc:language>en</dc:language>
  <cp:keywords/>
  <dcterms:created xsi:type="dcterms:W3CDTF">2026-07-15T02:11:24Z</dcterms:created>
  <dcterms:modified xsi:type="dcterms:W3CDTF">2026-07-15T02:11:24Z</dcterms:modified>
</cp:coreProperties>
</file>

<file path=docProps/custom.xml><?xml version="1.0" encoding="utf-8"?>
<Properties xmlns="http://schemas.openxmlformats.org/officeDocument/2006/custom-properties" xmlns:vt="http://schemas.openxmlformats.org/officeDocument/2006/docPropsVTypes"/>
</file>