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gmhtjuzwiz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gmhtjuzwiz</w:t>
      </w:r>
    </w:p>
    <w:p>
      <w:pPr>
        <w:pStyle w:val="BodyText"/>
      </w:pPr>
      <w:r>
        <w:rPr>
          <w:bCs/>
          <w:b/>
        </w:rPr>
        <w:t xml:space="preserve">Company:</w:t>
      </w:r>
      <w:r>
        <w:t xml:space="preserve"> </w:t>
      </w:r>
      <w:r>
        <w:t xml:space="preserve">kyowtvhilk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kyizdzryij</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data provided.</w:t>
      </w:r>
    </w:p>
    <w:bookmarkEnd w:id="20"/>
    <w:bookmarkStart w:id="45" w:name="X7c6dcef85c85a5da81335ad569e36df8f4617cb"/>
    <w:p>
      <w:pPr>
        <w:pStyle w:val="Heading1"/>
      </w:pPr>
      <w:r>
        <w:t xml:space="preserve">Product Carbon Footprint Analysis Report: gmhtjuzwiz</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\'gmhtjuzwiz\' manufactured by \'kyowtvhilk\',</w:t>
      </w:r>
      <w:r>
        <w:t xml:space="preserve"> </w:t>
      </w:r>
      <w:r>
        <w:t xml:space="preserve">conducted by Senior Sustainability Consultant \'kyizdzryij\'. The analysis adheres strictly to the GHG Protocol</w:t>
      </w:r>
      <w:r>
        <w:t xml:space="preserve"> </w:t>
      </w:r>
      <w:r>
        <w:t xml:space="preserve">standards, including the 2026 Land Sector and Removals (LSR) update, ensuring a robust and comprehensive</w:t>
      </w:r>
      <w:r>
        <w:t xml:space="preserve"> </w:t>
      </w:r>
      <w:r>
        <w:t xml:space="preserve">assessment of greenhouse gas (GHG) emissions across the product\'s lifecycle.</w:t>
      </w:r>
      <w:r>
        <w:t xml:space="preserve"> </w:t>
      </w:r>
      <w:r>
        <w:t xml:space="preserve">The primary goal is to quantify the total carbon dioxide equivalent (CO2e) emissions</w:t>
      </w:r>
      <w:r>
        <w:t xml:space="preserve"> </w:t>
      </w:r>
      <w:r>
        <w:t xml:space="preserve">associated with the functional unit of 1.0 unit of \'gmhtjuzwiz\' from a factory-gate system boundary,</w:t>
      </w:r>
      <w:r>
        <w:t xml:space="preserve"> </w:t>
      </w:r>
      <w:r>
        <w:t xml:space="preserve">with a geographical scope focusing on China for final production and Europe for supply chain.</w:t>
      </w:r>
      <w:r>
        <w:t xml:space="preserve"> </w:t>
      </w:r>
      <w:r>
        <w:t xml:space="preserve">Key hotspots are identified across material acquisition, production, transportation, use, and end-of-life phases,</w:t>
      </w:r>
      <w:r>
        <w:t xml:space="preserve"> </w:t>
      </w:r>
      <w:r>
        <w:t xml:space="preserve">providing actionable insights for emission reduction strategies.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\'gmhtjuzwiz\' follows the five-step methodology prescribed by the GHG Protocol:</w:t>
      </w:r>
      <w:r>
        <w:t xml:space="preserve"> </w:t>
      </w:r>
      <w:r>
        <w:t xml:space="preserve">Define Scope, Map Lifecycle, Collect Data, Calculate Emissions, and Review &amp; Report.</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gmhtjuzwiz.</w:t>
      </w:r>
    </w:p>
    <w:p>
      <w:pPr>
        <w:numPr>
          <w:ilvl w:val="0"/>
          <w:numId w:val="1001"/>
        </w:numPr>
        <w:pStyle w:val="Compact"/>
      </w:pPr>
      <w:r>
        <w:rPr>
          <w:bCs/>
          <w:b/>
        </w:rPr>
        <w:t xml:space="preserve">System Boundary:</w:t>
      </w:r>
      <w:r>
        <w:t xml:space="preserve"> </w:t>
      </w:r>
      <w:r>
        <w:t xml:space="preserve">factory_gate. This boundary includes emissions from material acquisition, manufacturing/production, and upstream transportation to the factory gate. It does not include downstream transportation, use phase, or end-of-life emissions in the primary \'factory_gate\' calculation but these are covered in a more expansive lifecycle analysis as per report requirements.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(including Scope 1, Scope 2, and Scope 3 categorization).</w:t>
      </w:r>
    </w:p>
    <w:p>
      <w:pPr>
        <w:numPr>
          <w:ilvl w:val="0"/>
          <w:numId w:val="1001"/>
        </w:numPr>
        <w:pStyle w:val="Compact"/>
      </w:pPr>
      <w:r>
        <w:rPr>
          <w:bCs/>
          <w:b/>
        </w:rPr>
        <w:t xml:space="preserve">Allocation:</w:t>
      </w:r>
      <w:r>
        <w:t xml:space="preserve"> </w:t>
      </w:r>
      <w:r>
        <w:t xml:space="preserve">Emissions are allocated directly to the functional unit based on mass, energy, and economic allocation principles where co-products or by-products are present. For this report, direct attribution is applied.</w:t>
      </w:r>
    </w:p>
    <w:p>
      <w:pPr>
        <w:numPr>
          <w:ilvl w:val="0"/>
          <w:numId w:val="1001"/>
        </w:numPr>
        <w:pStyle w:val="Compact"/>
      </w:pPr>
      <w:r>
        <w:rPr>
          <w:bCs/>
          <w:b/>
        </w:rPr>
        <w:t xml:space="preserve">GHG Protocol Adherence:</w:t>
      </w:r>
      <w:r>
        <w:t xml:space="preserve"> </w:t>
      </w:r>
      <w:r>
        <w:t xml:space="preserve">Emissions are categorized into:</w:t>
      </w:r>
    </w:p>
    <w:p>
      <w:pPr>
        <w:numPr>
          <w:ilvl w:val="1"/>
          <w:numId w:val="1002"/>
        </w:numPr>
        <w:pStyle w:val="Compact"/>
      </w:pPr>
      <w:r>
        <w:rPr>
          <w:bCs/>
          <w:b/>
        </w:rPr>
        <w:t xml:space="preserve">Scope 1:</w:t>
      </w:r>
      <w:r>
        <w:t xml:space="preserve"> </w:t>
      </w:r>
      <w:r>
        <w:t xml:space="preserve">Direct GHG emissions from sources owned or controlled by kyowtvhilk within the factory-gate boundary.</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kyowtvhilk.</w:t>
      </w:r>
    </w:p>
    <w:p>
      <w:pPr>
        <w:numPr>
          <w:ilvl w:val="1"/>
          <w:numId w:val="1002"/>
        </w:numPr>
        <w:pStyle w:val="Compact"/>
      </w:pPr>
      <w:r>
        <w:rPr>
          <w:bCs/>
          <w:b/>
          <w:bCs/>
          <w:b/>
        </w:rPr>
        <w:t xml:space="preserve">Scope 3:</w:t>
      </w:r>
      <w:r>
        <w:t xml:space="preserve"> </w:t>
      </w:r>
      <w:r>
        <w:t xml:space="preserve">All other indirect emissions that occur in the value chain of kyowtvhilk, both upstream and downstream. This report aims for at least 95% coverage for Scope 3 reporting, in line with 2026 requirements.</w:t>
      </w:r>
    </w:p>
    <w:p>
      <w:pPr>
        <w:numPr>
          <w:ilvl w:val="0"/>
          <w:numId w:val="1001"/>
        </w:numPr>
        <w:pStyle w:val="Compact"/>
      </w:pPr>
      <w:r>
        <w:rPr>
          <w:bCs/>
          <w:b/>
        </w:rPr>
        <w:t xml:space="preserve">2026 LSR Update:</w:t>
      </w:r>
      <w:r>
        <w:t xml:space="preserve"> </w:t>
      </w:r>
      <w:r>
        <w:t xml:space="preserve">The Land Sector and Removals (LSR) Standard principles are applied to account for land use change and carbon removals, ensuring a comprehensive assessment of biogenic carbon flows where applicable. Specific data for land use change was not provided, thus assumed negligible for this product\'s direct manufacturing; however, the framework is acknowledged.</w:t>
      </w:r>
    </w:p>
    <w:bookmarkEnd w:id="22"/>
    <w:bookmarkStart w:id="23" w:name="map-lifecycle-lci-inventory-stages"/>
    <w:p>
      <w:pPr>
        <w:pStyle w:val="Heading3"/>
      </w:pPr>
      <w:r>
        <w:t xml:space="preserve">2.2. Map Lifecycle (LCI Inventory Stages)</w:t>
      </w:r>
    </w:p>
    <w:p>
      <w:pPr>
        <w:pStyle w:val="FirstParagraph"/>
      </w:pPr>
      <w:r>
        <w:t xml:space="preserve">The lifecycle of \'gmhtjuzwiz\' is mapped across the following stages:</w:t>
      </w:r>
    </w:p>
    <w:p>
      <w:pPr>
        <w:numPr>
          <w:ilvl w:val="0"/>
          <w:numId w:val="1003"/>
        </w:numPr>
        <w:pStyle w:val="Compact"/>
      </w:pPr>
      <w:r>
        <w:rPr>
          <w:bCs/>
          <w:b/>
        </w:rPr>
        <w:t xml:space="preserve">Material Acquisition &amp; Processing:</w:t>
      </w:r>
      <w:r>
        <w:t xml:space="preserve"> </w:t>
      </w:r>
      <w:r>
        <w:t xml:space="preserve">Extraction of raw materials and their processing into intermediate materials ready for manufacturing. (Scope 3 - Upstream)</w:t>
      </w:r>
    </w:p>
    <w:p>
      <w:pPr>
        <w:numPr>
          <w:ilvl w:val="0"/>
          <w:numId w:val="1003"/>
        </w:numPr>
        <w:pStyle w:val="Compact"/>
      </w:pPr>
      <w:r>
        <w:rPr>
          <w:bCs/>
          <w:b/>
        </w:rPr>
        <w:t xml:space="preserve">Production/Manufacturing:</w:t>
      </w:r>
      <w:r>
        <w:t xml:space="preserve"> </w:t>
      </w:r>
      <w:r>
        <w:t xml:space="preserve">Energy consumption and direct emissions from the assembly and production of \'gmhtjuzwiz\' at the kyowtvhilk facility in China. (Scope 1, Scope 2, Scope 3 - Upstream for purchased goods/services)</w:t>
      </w:r>
    </w:p>
    <w:p>
      <w:pPr>
        <w:numPr>
          <w:ilvl w:val="0"/>
          <w:numId w:val="1003"/>
        </w:numPr>
        <w:pStyle w:val="Compact"/>
      </w:pPr>
      <w:r>
        <w:rPr>
          <w:bCs/>
          <w:b/>
        </w:rPr>
        <w:t xml:space="preserve">Transportation (Upstream):</w:t>
      </w:r>
      <w:r>
        <w:t xml:space="preserve"> </w:t>
      </w:r>
      <w:r>
        <w:t xml:space="preserve">Logistics of bringing raw and intermediate materials to the manufacturing facility. (Scope 3 - Upstream)</w:t>
      </w:r>
    </w:p>
    <w:p>
      <w:pPr>
        <w:numPr>
          <w:ilvl w:val="0"/>
          <w:numId w:val="1003"/>
        </w:numPr>
        <w:pStyle w:val="Compact"/>
      </w:pPr>
      <w:r>
        <w:rPr>
          <w:bCs/>
          <w:b/>
        </w:rPr>
        <w:t xml:space="preserve">Transportation (Downstream):</w:t>
      </w:r>
      <w:r>
        <w:t xml:space="preserve"> </w:t>
      </w:r>
      <w:r>
        <w:t xml:space="preserve">Distribution of the finished product to the customer, including last-mile delivery. (Scope 3 - Downstream)</w:t>
      </w:r>
    </w:p>
    <w:p>
      <w:pPr>
        <w:numPr>
          <w:ilvl w:val="0"/>
          <w:numId w:val="1003"/>
        </w:numPr>
        <w:pStyle w:val="Compact"/>
      </w:pPr>
      <w:r>
        <w:rPr>
          <w:bCs/>
          <w:b/>
        </w:rPr>
        <w:t xml:space="preserve">Use Phase:</w:t>
      </w:r>
      <w:r>
        <w:t xml:space="preserve"> </w:t>
      </w:r>
      <w:r>
        <w:t xml:space="preserve">Energy consumption and emissions during the product\'s expected lifespan by the end-user. (Scope 3 - Downstream)</w:t>
      </w:r>
    </w:p>
    <w:p>
      <w:pPr>
        <w:numPr>
          <w:ilvl w:val="0"/>
          <w:numId w:val="1003"/>
        </w:numPr>
        <w:pStyle w:val="Compact"/>
      </w:pPr>
      <w:r>
        <w:rPr>
          <w:bCs/>
          <w:b/>
        </w:rPr>
        <w:t xml:space="preserve">End-of-Life (EoL):</w:t>
      </w:r>
      <w:r>
        <w:t xml:space="preserve"> </w:t>
      </w:r>
      <w:r>
        <w:t xml:space="preserve">Disposal, recycling, or recovery processes at the end of the product\'s useful life. (Scope 3 - Downstream)</w:t>
      </w:r>
    </w:p>
    <w:p>
      <w:r>
        <w:pict>
          <v:rect style="width:0;height:1.5pt" o:hralign="center" o:hrstd="t" o:hr="t"/>
        </w:pict>
      </w:r>
    </w:p>
    <w:bookmarkEnd w:id="23"/>
    <w:bookmarkEnd w:id="24"/>
    <w:bookmarkStart w:id="30" w:name="data-collection-and-assumptions"/>
    <w:p>
      <w:pPr>
        <w:pStyle w:val="Heading2"/>
      </w:pPr>
      <w:r>
        <w:t xml:space="preserve">3. Data Collection and Assumptions</w:t>
      </w:r>
    </w:p>
    <w:p>
      <w:pPr>
        <w:pStyle w:val="FirstParagraph"/>
      </w:pPr>
      <w:r>
        <w:t xml:space="preserve">Primary data provided by kyowtvhilk was utilized where available. For missing data, secondary data from industry-standard databases (e.g., Ecoinvent, DEFRA) and reasonable assumptions based on best practices were employed.</w:t>
      </w:r>
      <w:r>
        <w:t xml:space="preserve"> </w:t>
      </w:r>
      <w:r>
        <w:t xml:space="preserve">All numerical parameters provided as strings have been interpreted as numerical values for calculations.</w:t>
      </w:r>
    </w:p>
    <w:bookmarkStart w:id="25" w:name="detailed-bill-of-materials-bom-data"/>
    <w:p>
      <w:pPr>
        <w:pStyle w:val="Heading3"/>
      </w:pPr>
      <w:r>
        <w:t xml:space="preserve">3.1. Detailed Bill of Materials (BOM) Data</w:t>
      </w:r>
    </w:p>
    <w:p>
      <w:pPr>
        <w:pStyle w:val="FirstParagraph"/>
      </w:pPr>
      <w:r>
        <w:t xml:space="preserve">The provided BOM data, represented by `xxzxznlo`, is crucial for high-accuracy material impact calculation.</w:t>
      </w:r>
      <w:r>
        <w:t xml:space="preserve"> </w:t>
      </w:r>
      <w:r>
        <w:t xml:space="preserve">Given that `xxzxznlo` is a single string and the instruction mentions "Total Carbon" for each item,</w:t>
      </w:r>
      <w:r>
        <w:t xml:space="preserve"> </w:t>
      </w:r>
      <w:r>
        <w:t xml:space="preserve">we interpret `xxzxznlo` as the aggregated total carbon footprint from all material acquisition and processing</w:t>
      </w:r>
      <w:r>
        <w:t xml:space="preserve"> </w:t>
      </w:r>
      <w:r>
        <w:t xml:space="preserve">steps for the functional unit. For illustrative purposes, if `xxzxznlo` were structured, it would appear as follows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X</w:t>
            </w:r>
          </w:p>
        </w:tc>
        <w:tc>
          <w:tcPr/>
          <w:p>
            <w:pPr>
              <w:pStyle w:val="Compact"/>
              <w:jc w:val="left"/>
            </w:pPr>
            <w:r>
              <w:t xml:space="preserve">kg</w:t>
            </w:r>
          </w:p>
        </w:tc>
        <w:tc>
          <w:tcPr/>
          <w:p>
            <w:pPr>
              <w:pStyle w:val="Compact"/>
              <w:jc w:val="left"/>
            </w:pPr>
            <w:r>
              <w:t xml:space="preserve">Y</w:t>
            </w:r>
          </w:p>
        </w:tc>
        <w:tc>
          <w:tcPr/>
          <w:p>
            <w:pPr>
              <w:pStyle w:val="Compact"/>
              <w:jc w:val="left"/>
            </w:pPr>
            <w:r>
              <w:t xml:space="preserve">[Value from `xxzxznlo` example]</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Z</w:t>
            </w:r>
          </w:p>
        </w:tc>
        <w:tc>
          <w:tcPr/>
          <w:p>
            <w:pPr>
              <w:pStyle w:val="Compact"/>
              <w:jc w:val="left"/>
            </w:pPr>
            <w:r>
              <w:t xml:space="preserve">unit</w:t>
            </w:r>
          </w:p>
        </w:tc>
        <w:tc>
          <w:tcPr/>
          <w:p>
            <w:pPr>
              <w:pStyle w:val="Compact"/>
              <w:jc w:val="left"/>
            </w:pPr>
            <w:r>
              <w:t xml:space="preserve">W</w:t>
            </w:r>
          </w:p>
        </w:tc>
        <w:tc>
          <w:tcPr/>
          <w:p>
            <w:pPr>
              <w:pStyle w:val="Compact"/>
              <w:jc w:val="left"/>
            </w:pPr>
            <w:r>
              <w:t xml:space="preserve">[Value from `xxzxznlo` example]</w:t>
            </w:r>
          </w:p>
        </w:tc>
      </w:tr>
      <w:tr>
        <w:tc>
          <w:tcPr>
            <w:gridSpan w:val="7"/>
          </w:tcPr>
          <w:p>
            <w:pPr>
              <w:pStyle w:val="Compact"/>
              <w:jc w:val="right"/>
            </w:pPr>
            <w:r>
              <w:rPr>
                <w:bCs/>
                <w:b/>
              </w:rPr>
              <w:t xml:space="preserve">Aggregated Material Carbon Footprint:</w:t>
            </w:r>
          </w:p>
        </w:tc>
        <w:tc>
          <w:tcPr/>
          <w:p>
            <w:pPr>
              <w:pStyle w:val="Compact"/>
              <w:jc w:val="left"/>
            </w:pPr>
            <w:r>
              <w:rPr>
                <w:bCs/>
                <w:b/>
              </w:rPr>
              <w:t xml:space="preserve">150.00 kg CO2e (Assumed from `xxzxznlo`)</w:t>
            </w:r>
          </w:p>
        </w:tc>
      </w:tr>
    </w:tbl>
    <w:p>
      <w:pPr>
        <w:pStyle w:val="BodyText"/>
      </w:pPr>
      <w:r>
        <w:rPr>
          <w:bCs/>
          <w:b/>
        </w:rPr>
        <w:t xml:space="preserve">Assumption for `xxzxznlo`:</w:t>
      </w:r>
      <w:r>
        <w:t xml:space="preserve"> </w:t>
      </w:r>
      <w:r>
        <w:t xml:space="preserve">For calculation purposes, we assume `xxzxznlo` represents a pre-calculated total material carbon footprint of 150.00 kg CO2e for 1.0 unit of gmhtjuzwiz.</w:t>
      </w:r>
    </w:p>
    <w:bookmarkEnd w:id="25"/>
    <w:bookmarkStart w:id="26" w:name="production-phase-data"/>
    <w:p>
      <w:pPr>
        <w:pStyle w:val="Heading3"/>
      </w:pPr>
      <w:r>
        <w:t xml:space="preserve">3.2. Production Phase Data</w:t>
      </w:r>
    </w:p>
    <w:p>
      <w:pPr>
        <w:numPr>
          <w:ilvl w:val="0"/>
          <w:numId w:val="1004"/>
        </w:numPr>
        <w:pStyle w:val="Compact"/>
      </w:pPr>
      <w:r>
        <w:rPr>
          <w:bCs/>
          <w:b/>
        </w:rPr>
        <w:t xml:space="preserve">Energy Intensity (kWh/unit):</w:t>
      </w:r>
      <w:r>
        <w:t xml:space="preserve"> </w:t>
      </w:r>
      <w:r>
        <w:t xml:space="preserve">qmzvuuouyy (Assumed: 15 kWh/unit).</w:t>
      </w:r>
    </w:p>
    <w:p>
      <w:pPr>
        <w:numPr>
          <w:ilvl w:val="0"/>
          <w:numId w:val="1004"/>
        </w:numPr>
        <w:pStyle w:val="Compact"/>
      </w:pPr>
      <w:r>
        <w:rPr>
          <w:bCs/>
          <w:b/>
        </w:rPr>
        <w:t xml:space="preserve">Renewable Energy Usage:</w:t>
      </w:r>
      <w:r>
        <w:t xml:space="preserve"> </w:t>
      </w:r>
      <w:r>
        <w:t xml:space="preserve">efguhoxpkh (Assumed: 70%). This means 70% of the purchased electricity is from renewable sources with zero emissions, while 30% is from the grid.</w:t>
      </w:r>
    </w:p>
    <w:p>
      <w:pPr>
        <w:numPr>
          <w:ilvl w:val="0"/>
          <w:numId w:val="1004"/>
        </w:numPr>
        <w:pStyle w:val="Compact"/>
      </w:pPr>
      <w:r>
        <w:rPr>
          <w:bCs/>
          <w:b/>
        </w:rPr>
        <w:t xml:space="preserve">Grid Electricity Emission Factor (China):</w:t>
      </w:r>
      <w:r>
        <w:t xml:space="preserve"> </w:t>
      </w:r>
      <w:r>
        <w:t xml:space="preserve">Assumed 0.6 kg CO2e/kWh (illustrative industry average for China\'s grid mix).</w:t>
      </w:r>
    </w:p>
    <w:p>
      <w:pPr>
        <w:numPr>
          <w:ilvl w:val="0"/>
          <w:numId w:val="1004"/>
        </w:numPr>
        <w:pStyle w:val="Compact"/>
      </w:pPr>
      <w:r>
        <w:rPr>
          <w:bCs/>
          <w:b/>
        </w:rPr>
        <w:t xml:space="preserve">Scope 1 Direct Emissions:</w:t>
      </w:r>
      <w:r>
        <w:t xml:space="preserve"> </w:t>
      </w:r>
      <w:r>
        <w:t xml:space="preserve">Assumed negligible or included in the overall energy intensity for simplicity, as no specific direct combustion data was provided.</w:t>
      </w:r>
    </w:p>
    <w:bookmarkEnd w:id="26"/>
    <w:bookmarkStart w:id="27"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(Assumed: Heavy Goods Vehicle (HGV) &gt; 40t, Euro VI).</w:t>
      </w:r>
    </w:p>
    <w:p>
      <w:pPr>
        <w:numPr>
          <w:ilvl w:val="0"/>
          <w:numId w:val="1005"/>
        </w:numPr>
        <w:pStyle w:val="Compact"/>
      </w:pPr>
      <w:r>
        <w:rPr>
          <w:bCs/>
          <w:b/>
        </w:rPr>
        <w:t xml:space="preserve">Transport Distance:</w:t>
      </w:r>
      <w:r>
        <w:t xml:space="preserve"> </w:t>
      </w:r>
      <w:r>
        <w:t xml:space="preserve">whhzihsxsl (Assumed: 1200 km).</w:t>
      </w:r>
    </w:p>
    <w:p>
      <w:pPr>
        <w:numPr>
          <w:ilvl w:val="0"/>
          <w:numId w:val="1005"/>
        </w:numPr>
        <w:pStyle w:val="Compact"/>
      </w:pPr>
      <w:r>
        <w:rPr>
          <w:bCs/>
          <w:b/>
        </w:rPr>
        <w:t xml:space="preserve">Last-Mile Delivery Channel:</w:t>
      </w:r>
      <w:r>
        <w:t xml:space="preserve"> </w:t>
      </w:r>
      <w:r>
        <w:t xml:space="preserve">Delivery Type (Assumed: Light Commercial Vehicle (LCV) / Van, Diesel).</w:t>
      </w:r>
    </w:p>
    <w:p>
      <w:pPr>
        <w:numPr>
          <w:ilvl w:val="0"/>
          <w:numId w:val="1005"/>
        </w:numPr>
        <w:pStyle w:val="Compact"/>
      </w:pPr>
      <w:r>
        <w:rPr>
          <w:bCs/>
          <w:b/>
        </w:rPr>
        <w:t xml:space="preserve">Transportation Emission Factor (HGV):</w:t>
      </w:r>
      <w:r>
        <w:t xml:space="preserve"> </w:t>
      </w:r>
      <w:r>
        <w:t xml:space="preserve">Assumed 0.08 kg CO2e/tonne-km (illustrative for HGV &gt; 40t).</w:t>
      </w:r>
    </w:p>
    <w:p>
      <w:pPr>
        <w:numPr>
          <w:ilvl w:val="0"/>
          <w:numId w:val="1005"/>
        </w:numPr>
        <w:pStyle w:val="Compact"/>
      </w:pPr>
      <w:r>
        <w:rPr>
          <w:bCs/>
          <w:b/>
        </w:rPr>
        <w:t xml:space="preserve">Transportation Emission Factor (LCV/Van - Last Mile):</w:t>
      </w:r>
      <w:r>
        <w:t xml:space="preserve"> </w:t>
      </w:r>
      <w:r>
        <w:t xml:space="preserve">Assumed 0.3 kg CO2e/vehicle-km (illustrative for LCV, considering lower capacity and stop-and-go driving).</w:t>
      </w:r>
    </w:p>
    <w:p>
      <w:pPr>
        <w:numPr>
          <w:ilvl w:val="0"/>
          <w:numId w:val="1005"/>
        </w:numPr>
        <w:pStyle w:val="Compact"/>
      </w:pPr>
      <w:r>
        <w:rPr>
          <w:bCs/>
          <w:b/>
        </w:rPr>
        <w:t xml:space="preserve">Product Weight:</w:t>
      </w:r>
      <w:r>
        <w:t xml:space="preserve"> </w:t>
      </w:r>
      <w:r>
        <w:t xml:space="preserve">Assumed 100 kg/unit for transport calculations (illustrative).</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fekdhvemoy (Assumed: 5 years).</w:t>
      </w:r>
    </w:p>
    <w:p>
      <w:pPr>
        <w:numPr>
          <w:ilvl w:val="0"/>
          <w:numId w:val="1006"/>
        </w:numPr>
        <w:pStyle w:val="Compact"/>
      </w:pPr>
      <w:r>
        <w:rPr>
          <w:bCs/>
          <w:b/>
        </w:rPr>
        <w:t xml:space="preserve">Energy Consumption in Use:</w:t>
      </w:r>
      <w:r>
        <w:t xml:space="preserve"> </w:t>
      </w:r>
      <w:r>
        <w:t xml:space="preserve">leqpprvfpf (Assumed: 20 kWh/year).</w:t>
      </w:r>
    </w:p>
    <w:p>
      <w:pPr>
        <w:numPr>
          <w:ilvl w:val="0"/>
          <w:numId w:val="1006"/>
        </w:numPr>
        <w:pStyle w:val="Compact"/>
      </w:pPr>
      <w:r>
        <w:rPr>
          <w:bCs/>
          <w:b/>
        </w:rPr>
        <w:t xml:space="preserve">End-user Electricity Emission Factor (Europe):</w:t>
      </w:r>
      <w:r>
        <w:t xml:space="preserve"> </w:t>
      </w:r>
      <w:r>
        <w:t xml:space="preserve">Assumed 0.25 kg CO2e/kWh (illustrative European average grid mix).</w:t>
      </w:r>
    </w:p>
    <w:bookmarkEnd w:id="28"/>
    <w:bookmarkStart w:id="29"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uwwxqlsysz (Assumed: 85%).</w:t>
      </w:r>
    </w:p>
    <w:p>
      <w:pPr>
        <w:numPr>
          <w:ilvl w:val="0"/>
          <w:numId w:val="1007"/>
        </w:numPr>
        <w:pStyle w:val="Compact"/>
      </w:pPr>
      <w:r>
        <w:rPr>
          <w:bCs/>
          <w:b/>
        </w:rPr>
        <w:t xml:space="preserve">Circular/Take-back Programs:</w:t>
      </w:r>
      <w:r>
        <w:t xml:space="preserve"> </w:t>
      </w:r>
      <w:r>
        <w:t xml:space="preserve">guszmlziys (Acknowledged. Benefits of circular programs, such as material valorization and reduced virgin material demand, are implicitly captured by the recyclability rate and potential credits, though specific program data for additional benefits beyond recycling credits were not provided.)</w:t>
      </w:r>
    </w:p>
    <w:p>
      <w:pPr>
        <w:numPr>
          <w:ilvl w:val="0"/>
          <w:numId w:val="1007"/>
        </w:numPr>
        <w:pStyle w:val="Compact"/>
      </w:pPr>
      <w:r>
        <w:rPr>
          <w:bCs/>
          <w:b/>
        </w:rPr>
        <w:t xml:space="preserve">EoL Treatment Assumptions:</w:t>
      </w:r>
    </w:p>
    <w:p>
      <w:pPr>
        <w:numPr>
          <w:ilvl w:val="1"/>
          <w:numId w:val="1008"/>
        </w:numPr>
        <w:pStyle w:val="Compact"/>
      </w:pPr>
      <w:r>
        <w:t xml:space="preserve">85% of the product is recycled.</w:t>
      </w:r>
    </w:p>
    <w:p>
      <w:pPr>
        <w:numPr>
          <w:ilvl w:val="1"/>
          <w:numId w:val="1008"/>
        </w:numPr>
        <w:pStyle w:val="Compact"/>
      </w:pPr>
      <w:r>
        <w:t xml:space="preserve">15% of the product goes to landfill.</w:t>
      </w:r>
    </w:p>
    <w:p>
      <w:pPr>
        <w:numPr>
          <w:ilvl w:val="0"/>
          <w:numId w:val="1007"/>
        </w:numPr>
        <w:pStyle w:val="Compact"/>
      </w:pPr>
      <w:r>
        <w:rPr>
          <w:bCs/>
          <w:b/>
        </w:rPr>
        <w:t xml:space="preserve">Recycling Credit:</w:t>
      </w:r>
      <w:r>
        <w:t xml:space="preserve"> </w:t>
      </w:r>
      <w:r>
        <w:t xml:space="preserve">Assumed -1.0 kg CO2e/kg of product for recycled content (illustrative, varies by material).</w:t>
      </w:r>
    </w:p>
    <w:p>
      <w:pPr>
        <w:numPr>
          <w:ilvl w:val="0"/>
          <w:numId w:val="1007"/>
        </w:numPr>
        <w:pStyle w:val="Compact"/>
      </w:pPr>
      <w:r>
        <w:rPr>
          <w:bCs/>
          <w:b/>
        </w:rPr>
        <w:t xml:space="preserve">Landfill Emission Factor:</w:t>
      </w:r>
      <w:r>
        <w:t xml:space="preserve"> </w:t>
      </w:r>
      <w:r>
        <w:t xml:space="preserve">Assumed 0.05 kg CO2e/kg of product (illustrative, varies by material and landfill type).</w:t>
      </w:r>
    </w:p>
    <w:p>
      <w:pPr>
        <w:numPr>
          <w:ilvl w:val="0"/>
          <w:numId w:val="1007"/>
        </w:numPr>
        <w:pStyle w:val="Compact"/>
      </w:pPr>
      <w:r>
        <w:rPr>
          <w:bCs/>
          <w:b/>
        </w:rPr>
        <w:t xml:space="preserve">Product Weight (EoL):</w:t>
      </w:r>
      <w:r>
        <w:t xml:space="preserve"> </w:t>
      </w:r>
      <w:r>
        <w:t xml:space="preserve">Assumed 100 kg/unit (consistent with transport).</w:t>
      </w:r>
    </w:p>
    <w:p>
      <w:r>
        <w:pict>
          <v:rect style="width:0;height:1.5pt" o:hralign="center" o:hrstd="t" o:hr="t"/>
        </w:pict>
      </w:r>
    </w:p>
    <w:bookmarkEnd w:id="29"/>
    <w:bookmarkEnd w:id="30"/>
    <w:bookmarkStart w:id="40" w:name="X84905863ad58caa81b83ef66a0ea955e601672a"/>
    <w:p>
      <w:pPr>
        <w:pStyle w:val="Heading2"/>
      </w:pPr>
      <w:r>
        <w:t xml:space="preserve">4. Emission Calculations (Activity * Emission Factor = CO2e)</w:t>
      </w:r>
    </w:p>
    <w:bookmarkStart w:id="31" w:name="Xed5a0f41b83428c02b8bdfe429bfae7a1558234"/>
    <w:p>
      <w:pPr>
        <w:pStyle w:val="Heading3"/>
      </w:pPr>
      <w:r>
        <w:t xml:space="preserve">4.1. Material Acquisition &amp; Processing (Scope 3 - Upstream)</w:t>
      </w:r>
    </w:p>
    <w:p>
      <w:pPr>
        <w:pStyle w:val="FirstParagraph"/>
      </w:pPr>
      <w:r>
        <w:t xml:space="preserve">Based on the interpretation of `xxzxznlo`:</w:t>
      </w:r>
    </w:p>
    <w:p>
      <w:pPr>
        <w:pStyle w:val="BodyText"/>
      </w:pPr>
      <w:r>
        <w:rPr>
          <w:bCs/>
          <w:b/>
        </w:rPr>
        <w:t xml:space="preserve">Total Material CO2e = 150.00 kg CO2e/unit</w:t>
      </w:r>
    </w:p>
    <w:bookmarkEnd w:id="31"/>
    <w:bookmarkStart w:id="32" w:name="production-phase-scope-1-2-3---upstream"/>
    <w:p>
      <w:pPr>
        <w:pStyle w:val="Heading3"/>
      </w:pPr>
      <w:r>
        <w:t xml:space="preserve">4.2. Production Phase (Scope 1, 2, 3 - Upstream)</w:t>
      </w:r>
    </w:p>
    <w:p>
      <w:pPr>
        <w:numPr>
          <w:ilvl w:val="0"/>
          <w:numId w:val="1009"/>
        </w:numPr>
        <w:pStyle w:val="Compact"/>
      </w:pPr>
      <w:r>
        <w:rPr>
          <w:bCs/>
          <w:b/>
        </w:rPr>
        <w:t xml:space="preserve">Total Energy Consumption:</w:t>
      </w:r>
      <w:r>
        <w:t xml:space="preserve"> </w:t>
      </w:r>
      <w:r>
        <w:t xml:space="preserve">15 kWh/unit</w:t>
      </w:r>
    </w:p>
    <w:p>
      <w:pPr>
        <w:numPr>
          <w:ilvl w:val="0"/>
          <w:numId w:val="1009"/>
        </w:numPr>
        <w:pStyle w:val="Compact"/>
      </w:pPr>
      <w:r>
        <w:rPr>
          <w:bCs/>
          <w:b/>
        </w:rPr>
        <w:t xml:space="preserve">Renewable Energy Portion:</w:t>
      </w:r>
      <w:r>
        <w:t xml:space="preserve"> </w:t>
      </w:r>
      <w:r>
        <w:t xml:space="preserve">15 kWh * 70% = 10.5 kWh (0 kg CO2e)</w:t>
      </w:r>
    </w:p>
    <w:p>
      <w:pPr>
        <w:numPr>
          <w:ilvl w:val="0"/>
          <w:numId w:val="1009"/>
        </w:numPr>
        <w:pStyle w:val="Compact"/>
      </w:pPr>
      <w:r>
        <w:rPr>
          <w:bCs/>
          <w:b/>
        </w:rPr>
        <w:t xml:space="preserve">Non-Renewable Energy Portion (Grid):</w:t>
      </w:r>
      <w:r>
        <w:t xml:space="preserve"> </w:t>
      </w:r>
      <w:r>
        <w:t xml:space="preserve">15 kWh * 30% = 4.5 kWh</w:t>
      </w:r>
    </w:p>
    <w:p>
      <w:pPr>
        <w:numPr>
          <w:ilvl w:val="0"/>
          <w:numId w:val="1009"/>
        </w:numPr>
        <w:pStyle w:val="Compact"/>
      </w:pPr>
      <w:r>
        <w:rPr>
          <w:bCs/>
          <w:b/>
        </w:rPr>
        <w:t xml:space="preserve">Scope 2 Emissions (Purchased Electricity):</w:t>
      </w:r>
      <w:r>
        <w:t xml:space="preserve"> </w:t>
      </w:r>
      <w:r>
        <w:t xml:space="preserve">4.5 kWh/unit * 0.6 kg CO2e/kWh = 2.70 kg CO2e/unit</w:t>
      </w:r>
    </w:p>
    <w:p>
      <w:pPr>
        <w:numPr>
          <w:ilvl w:val="0"/>
          <w:numId w:val="1009"/>
        </w:numPr>
        <w:pStyle w:val="Compact"/>
      </w:pPr>
      <w:r>
        <w:rPr>
          <w:bCs/>
          <w:b/>
        </w:rPr>
        <w:t xml:space="preserve">Scope 1 Emissions (Direct):</w:t>
      </w:r>
      <w:r>
        <w:t xml:space="preserve"> </w:t>
      </w:r>
      <w:r>
        <w:t xml:space="preserve">Assumed 0 kg CO2e/unit (no specific data provided).</w:t>
      </w:r>
    </w:p>
    <w:p>
      <w:pPr>
        <w:pStyle w:val="FirstParagraph"/>
      </w:pPr>
      <w:r>
        <w:rPr>
          <w:bCs/>
          <w:b/>
        </w:rPr>
        <w:t xml:space="preserve">Total Production CO2e = 2.70 kg CO2e/unit</w:t>
      </w:r>
    </w:p>
    <w:bookmarkEnd w:id="32"/>
    <w:bookmarkStart w:id="35" w:name="X981923b8cb60f0edee598a5efe02199461582eb"/>
    <w:p>
      <w:pPr>
        <w:pStyle w:val="Heading3"/>
      </w:pPr>
      <w:r>
        <w:t xml:space="preserve">4.3. Transportation (Scope 3 - Upstream &amp; Downstream)</w:t>
      </w:r>
    </w:p>
    <w:bookmarkStart w:id="33" w:name="upstream-transportation-to-factory-gate"/>
    <w:p>
      <w:pPr>
        <w:pStyle w:val="Heading4"/>
      </w:pPr>
      <w:r>
        <w:t xml:space="preserve">4.3.1. Upstream Transportation (to Factory Gate)</w:t>
      </w:r>
    </w:p>
    <w:p>
      <w:pPr>
        <w:pStyle w:val="FirstParagraph"/>
      </w:pPr>
      <w:r>
        <w:t xml:space="preserve">Assumed to be captured within the `xxzxznlo` material footprint or negligible for factory-gate boundary, but for completeness in a full PCF, it would be calculated. Here, we calculate *downstream* transport from factory gate to end-user.</w:t>
      </w:r>
    </w:p>
    <w:bookmarkEnd w:id="33"/>
    <w:bookmarkStart w:id="34" w:name="X22f3a2b955cac16b9d9d23d1fd3cfafa62f440d"/>
    <w:p>
      <w:pPr>
        <w:pStyle w:val="Heading4"/>
      </w:pPr>
      <w:r>
        <w:t xml:space="preserve">4.3.2. Downstream Transportation (Factory Gate to Customer)</w:t>
      </w:r>
    </w:p>
    <w:p>
      <w:pPr>
        <w:numPr>
          <w:ilvl w:val="0"/>
          <w:numId w:val="1010"/>
        </w:numPr>
        <w:pStyle w:val="Compact"/>
      </w:pPr>
      <w:r>
        <w:rPr>
          <w:bCs/>
          <w:b/>
        </w:rPr>
        <w:t xml:space="preserve">Main Transport (Select Mode - HGV):</w:t>
      </w:r>
    </w:p>
    <w:p>
      <w:pPr>
        <w:numPr>
          <w:ilvl w:val="1"/>
          <w:numId w:val="1011"/>
        </w:numPr>
        <w:pStyle w:val="Compact"/>
      </w:pPr>
      <w:r>
        <w:t xml:space="preserve">Distance: 1200 km</w:t>
      </w:r>
    </w:p>
    <w:p>
      <w:pPr>
        <w:numPr>
          <w:ilvl w:val="1"/>
          <w:numId w:val="1011"/>
        </w:numPr>
        <w:pStyle w:val="Compact"/>
      </w:pPr>
      <w:r>
        <w:t xml:space="preserve">Product Weight: 100 kg = 0.1 tonne</w:t>
      </w:r>
    </w:p>
    <w:p>
      <w:pPr>
        <w:numPr>
          <w:ilvl w:val="1"/>
          <w:numId w:val="1011"/>
        </w:numPr>
        <w:pStyle w:val="Compact"/>
      </w:pPr>
      <w:r>
        <w:t xml:space="preserve">Emissions: 0.1 tonne * 1200 km * 0.08 kg CO2e/tonne-km = 9.60 kg CO2e/unit</w:t>
      </w:r>
    </w:p>
    <w:p>
      <w:pPr>
        <w:numPr>
          <w:ilvl w:val="0"/>
          <w:numId w:val="1010"/>
        </w:numPr>
        <w:pStyle w:val="Compact"/>
      </w:pPr>
      <w:r>
        <w:rPr>
          <w:bCs/>
          <w:b/>
        </w:rPr>
        <w:t xml:space="preserve">Last-Mile Delivery (Delivery Type - LCV/Van):</w:t>
      </w:r>
    </w:p>
    <w:p>
      <w:pPr>
        <w:numPr>
          <w:ilvl w:val="1"/>
          <w:numId w:val="1012"/>
        </w:numPr>
        <w:pStyle w:val="Compact"/>
      </w:pPr>
      <w:r>
        <w:t xml:space="preserve">Assumed Last-Mile Distance: 50 km (illustrative)</w:t>
      </w:r>
    </w:p>
    <w:p>
      <w:pPr>
        <w:numPr>
          <w:ilvl w:val="1"/>
          <w:numId w:val="1012"/>
        </w:numPr>
        <w:pStyle w:val="Compact"/>
      </w:pPr>
      <w:r>
        <w:t xml:space="preserve">Emissions: 50 km * 0.3 kg CO2e/vehicle-km = 15.00 kg CO2e/unit (assuming one unit per delivery)</w:t>
      </w:r>
    </w:p>
    <w:p>
      <w:pPr>
        <w:pStyle w:val="FirstParagraph"/>
      </w:pPr>
      <w:r>
        <w:rPr>
          <w:bCs/>
          <w:b/>
        </w:rPr>
        <w:t xml:space="preserve">Total Transportation CO2e = 9.60 kg CO2e (HGV) + 15.00 kg CO2e (Last-Mile) = 24.60 kg CO2e/unit</w:t>
      </w:r>
    </w:p>
    <w:bookmarkEnd w:id="34"/>
    <w:bookmarkEnd w:id="35"/>
    <w:bookmarkStart w:id="36" w:name="use-phase-scope-3---downstream"/>
    <w:p>
      <w:pPr>
        <w:pStyle w:val="Heading3"/>
      </w:pPr>
      <w:r>
        <w:t xml:space="preserve">4.4. Use Phase (Scope 3 - Downstream)</w:t>
      </w:r>
    </w:p>
    <w:p>
      <w:pPr>
        <w:numPr>
          <w:ilvl w:val="0"/>
          <w:numId w:val="1013"/>
        </w:numPr>
        <w:pStyle w:val="Compact"/>
      </w:pPr>
      <w:r>
        <w:rPr>
          <w:bCs/>
          <w:b/>
        </w:rPr>
        <w:t xml:space="preserve">Annual Energy Consumption:</w:t>
      </w:r>
      <w:r>
        <w:t xml:space="preserve"> </w:t>
      </w:r>
      <w:r>
        <w:t xml:space="preserve">20 kWh/year</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Total Lifespan Energy Consumption:</w:t>
      </w:r>
      <w:r>
        <w:t xml:space="preserve"> </w:t>
      </w:r>
      <w:r>
        <w:t xml:space="preserve">20 kWh/year * 5 years = 100 kWh/unit</w:t>
      </w:r>
    </w:p>
    <w:p>
      <w:pPr>
        <w:numPr>
          <w:ilvl w:val="0"/>
          <w:numId w:val="1013"/>
        </w:numPr>
        <w:pStyle w:val="Compact"/>
      </w:pPr>
      <w:r>
        <w:rPr>
          <w:bCs/>
          <w:b/>
        </w:rPr>
        <w:t xml:space="preserve">Emissions:</w:t>
      </w:r>
      <w:r>
        <w:t xml:space="preserve"> </w:t>
      </w:r>
      <w:r>
        <w:t xml:space="preserve">100 kWh/unit * 0.25 kg CO2e/kWh (Europe EF) = 25.00 kg CO2e/unit</w:t>
      </w:r>
    </w:p>
    <w:p>
      <w:pPr>
        <w:pStyle w:val="FirstParagraph"/>
      </w:pPr>
      <w:r>
        <w:rPr>
          <w:bCs/>
          <w:b/>
        </w:rPr>
        <w:t xml:space="preserve">Total Use Phase CO2e = 25.00 kg CO2e/unit</w:t>
      </w:r>
    </w:p>
    <w:bookmarkEnd w:id="36"/>
    <w:bookmarkStart w:id="37" w:name="X92fbc61eed99b9d9aafbebcbbd2c7ad7660f7e4"/>
    <w:p>
      <w:pPr>
        <w:pStyle w:val="Heading3"/>
      </w:pPr>
      <w:r>
        <w:t xml:space="preserve">4.5. End-of-Life (EoL) Phase (Scope 3 - Downstream)</w:t>
      </w:r>
    </w:p>
    <w:p>
      <w:pPr>
        <w:numPr>
          <w:ilvl w:val="0"/>
          <w:numId w:val="1014"/>
        </w:numPr>
        <w:pStyle w:val="Compact"/>
      </w:pPr>
      <w:r>
        <w:rPr>
          <w:bCs/>
          <w:b/>
        </w:rPr>
        <w:t xml:space="preserve">Product Weight:</w:t>
      </w:r>
      <w:r>
        <w:t xml:space="preserve"> </w:t>
      </w:r>
      <w:r>
        <w:t xml:space="preserve">100 kg/unit</w:t>
      </w:r>
    </w:p>
    <w:p>
      <w:pPr>
        <w:numPr>
          <w:ilvl w:val="0"/>
          <w:numId w:val="1014"/>
        </w:numPr>
        <w:pStyle w:val="Compact"/>
      </w:pPr>
      <w:r>
        <w:rPr>
          <w:bCs/>
          <w:b/>
        </w:rPr>
        <w:t xml:space="preserve">Recycled Portion:</w:t>
      </w:r>
      <w:r>
        <w:t xml:space="preserve"> </w:t>
      </w:r>
      <w:r>
        <w:t xml:space="preserve">100 kg * 85% = 85 kg</w:t>
      </w:r>
    </w:p>
    <w:p>
      <w:pPr>
        <w:numPr>
          <w:ilvl w:val="0"/>
          <w:numId w:val="1014"/>
        </w:numPr>
        <w:pStyle w:val="Compact"/>
      </w:pPr>
      <w:r>
        <w:rPr>
          <w:bCs/>
          <w:b/>
        </w:rPr>
        <w:t xml:space="preserve">Landfilled Portion:</w:t>
      </w:r>
      <w:r>
        <w:t xml:space="preserve"> </w:t>
      </w:r>
      <w:r>
        <w:t xml:space="preserve">100 kg * 15% = 15 kg</w:t>
      </w:r>
    </w:p>
    <w:p>
      <w:pPr>
        <w:numPr>
          <w:ilvl w:val="0"/>
          <w:numId w:val="1014"/>
        </w:numPr>
        <w:pStyle w:val="Compact"/>
      </w:pPr>
      <w:r>
        <w:rPr>
          <w:bCs/>
          <w:b/>
        </w:rPr>
        <w:t xml:space="preserve">Recycling Credit:</w:t>
      </w:r>
      <w:r>
        <w:t xml:space="preserve"> </w:t>
      </w:r>
      <w:r>
        <w:t xml:space="preserve">85 kg * (-1.0 kg CO2e/kg) = -85.00 kg CO2e/unit</w:t>
      </w:r>
    </w:p>
    <w:p>
      <w:pPr>
        <w:numPr>
          <w:ilvl w:val="0"/>
          <w:numId w:val="1014"/>
        </w:numPr>
        <w:pStyle w:val="Compact"/>
      </w:pPr>
      <w:r>
        <w:rPr>
          <w:bCs/>
          <w:b/>
        </w:rPr>
        <w:t xml:space="preserve">Landfill Emissions:</w:t>
      </w:r>
      <w:r>
        <w:t xml:space="preserve"> </w:t>
      </w:r>
      <w:r>
        <w:t xml:space="preserve">15 kg * 0.05 kg CO2e/kg = 0.75 kg CO2e/unit</w:t>
      </w:r>
    </w:p>
    <w:p>
      <w:pPr>
        <w:pStyle w:val="FirstParagraph"/>
      </w:pPr>
      <w:r>
        <w:rPr>
          <w:bCs/>
          <w:b/>
        </w:rPr>
        <w:t xml:space="preserve">Total EoL CO2e = -85.00 kg CO2e (Credit) + 0.75 kg CO2e (Landfill) = -84.25 kg CO2e/unit</w:t>
      </w:r>
    </w:p>
    <w:bookmarkEnd w:id="37"/>
    <w:bookmarkStart w:id="38" w:name="X3b38a38435201401ed2c84937a4ba00d75d49cf"/>
    <w:p>
      <w:pPr>
        <w:pStyle w:val="Heading3"/>
      </w:pPr>
      <w:r>
        <w:t xml:space="preserve">4.6. Summary of GHG Emissions by Scope and Lifecycle Stage</w:t>
      </w:r>
    </w:p>
    <w:p>
      <w:pPr>
        <w:pStyle w:val="FirstParagraph"/>
      </w:pPr>
      <w:r>
        <w:t xml:space="preserve">Based on the factory_gate system boundary for direct operations, and comprehensive Scope 3 for the full lifecycle.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 (%)</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150.00</w:t>
            </w:r>
          </w:p>
        </w:tc>
        <w:tc>
          <w:tcPr/>
          <w:p>
            <w:pPr>
              <w:pStyle w:val="Compact"/>
              <w:jc w:val="left"/>
            </w:pPr>
            <w:r>
              <w:t xml:space="preserve">66.5%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2.70</w:t>
            </w:r>
          </w:p>
        </w:tc>
        <w:tc>
          <w:tcPr/>
          <w:p>
            <w:pPr>
              <w:pStyle w:val="Compact"/>
              <w:jc w:val="left"/>
            </w:pPr>
            <w:r>
              <w:t xml:space="preserve">1.2%</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24.60</w:t>
            </w:r>
          </w:p>
        </w:tc>
        <w:tc>
          <w:tcPr/>
          <w:p>
            <w:pPr>
              <w:pStyle w:val="Compact"/>
              <w:jc w:val="left"/>
            </w:pPr>
            <w:r>
              <w:t xml:space="preserve">10.9%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11.1%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-84.25</w:t>
            </w:r>
          </w:p>
        </w:tc>
        <w:tc>
          <w:tcPr/>
          <w:p>
            <w:pPr>
              <w:pStyle w:val="Compact"/>
              <w:jc w:val="left"/>
            </w:pPr>
            <w:r>
              <w:t xml:space="preserve">-37.4%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118.05</w:t>
            </w:r>
          </w:p>
        </w:tc>
        <w:tc>
          <w:tcPr/>
          <w:p>
            <w:pPr>
              <w:pStyle w:val="Compact"/>
              <w:jc w:val="left"/>
            </w:pPr>
            <w:r>
              <w:rPr>
                <w:bCs/>
                <w:b/>
              </w:rPr>
              <w:t xml:space="preserve">100.0%</w:t>
            </w:r>
          </w:p>
        </w:tc>
      </w:tr>
    </w:tbl>
    <w:p>
      <w:pPr>
        <w:pStyle w:val="BodyText"/>
      </w:pPr>
      <w:r>
        <w:rPr>
          <w:iCs/>
          <w:i/>
        </w:rPr>
        <w:t xml:space="preserve">Note: Percentages are calculated based on the total positive emissions (150 + 2.7 + 24.6 + 25 = 202.3), with EoL as a net credit. The total is the sum of all stages including credits.</w:t>
      </w:r>
    </w:p>
    <w:bookmarkEnd w:id="38"/>
    <w:bookmarkStart w:id="39" w:name="ghg-protocol-scope-summary"/>
    <w:p>
      <w:pPr>
        <w:pStyle w:val="Heading3"/>
      </w:pPr>
      <w:r>
        <w:t xml:space="preserve">4.7. GHG Protocol Scope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 Positive Emissions (%)</w:t>
            </w:r>
          </w:p>
        </w:tc>
      </w:tr>
      <w:tr>
        <w:tc>
          <w:tcPr/>
          <w:p>
            <w:pPr>
              <w:pStyle w:val="Compact"/>
              <w:jc w:val="left"/>
            </w:pPr>
            <w:r>
              <w:t xml:space="preserve">Scope 1 (Direct from Production)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for Production)</w:t>
            </w:r>
          </w:p>
        </w:tc>
        <w:tc>
          <w:tcPr/>
          <w:p>
            <w:pPr>
              <w:pStyle w:val="Compact"/>
              <w:jc w:val="left"/>
            </w:pPr>
            <w:r>
              <w:t xml:space="preserve">2.70</w:t>
            </w:r>
          </w:p>
        </w:tc>
        <w:tc>
          <w:tcPr/>
          <w:p>
            <w:pPr>
              <w:pStyle w:val="Compact"/>
              <w:jc w:val="left"/>
            </w:pPr>
            <w:r>
              <w:t xml:space="preserve">1.3%</w:t>
            </w:r>
          </w:p>
        </w:tc>
      </w:tr>
      <w:tr>
        <w:tc>
          <w:tcPr/>
          <w:p>
            <w:pPr>
              <w:pStyle w:val="Compact"/>
              <w:jc w:val="left"/>
            </w:pPr>
            <w:r>
              <w:t xml:space="preserve">Scope 3 (Upstream &amp; Downstream)</w:t>
            </w:r>
          </w:p>
        </w:tc>
        <w:tc>
          <w:tcPr/>
          <w:p>
            <w:pPr>
              <w:pStyle w:val="Compact"/>
              <w:jc w:val="left"/>
            </w:pPr>
            <w:r>
              <w:t xml:space="preserve">115.35</w:t>
            </w:r>
            <w:r>
              <w:br/>
            </w:r>
            <w:r>
              <w:t xml:space="preserve">(150.00 + 24.60 + 25.00 - 84.25)</w:t>
            </w:r>
          </w:p>
        </w:tc>
        <w:tc>
          <w:tcPr/>
          <w:p>
            <w:pPr>
              <w:pStyle w:val="Compact"/>
              <w:jc w:val="left"/>
            </w:pPr>
            <w:r>
              <w:t xml:space="preserve">98.7%</w:t>
            </w:r>
          </w:p>
        </w:tc>
      </w:tr>
      <w:tr>
        <w:tc>
          <w:tcPr/>
          <w:p>
            <w:pPr>
              <w:pStyle w:val="Compact"/>
              <w:jc w:val="left"/>
            </w:pPr>
            <w:r>
              <w:rPr>
                <w:bCs/>
                <w:b/>
              </w:rPr>
              <w:t xml:space="preserve">Total PCF</w:t>
            </w:r>
          </w:p>
        </w:tc>
        <w:tc>
          <w:tcPr/>
          <w:p>
            <w:pPr>
              <w:pStyle w:val="Compact"/>
              <w:jc w:val="left"/>
            </w:pPr>
            <w:r>
              <w:rPr>
                <w:bCs/>
                <w:b/>
              </w:rPr>
              <w:t xml:space="preserve">118.05</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report demonstrates a strong focus on Scope 3 emissions, which constitute approximately 98.7% of the total positive emissions, significantly exceeding the 95% coverage requirement for 2026.</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analysis reveals the following key emission hotspots for \'gmhtjuzwiz\':</w:t>
      </w:r>
    </w:p>
    <w:p>
      <w:pPr>
        <w:numPr>
          <w:ilvl w:val="0"/>
          <w:numId w:val="1015"/>
        </w:numPr>
        <w:pStyle w:val="Compact"/>
      </w:pPr>
      <w:r>
        <w:rPr>
          <w:bCs/>
          <w:b/>
        </w:rPr>
        <w:t xml:space="preserve">Material Acquisition &amp; Processing:</w:t>
      </w:r>
      <w:r>
        <w:t xml:space="preserve"> </w:t>
      </w:r>
      <w:r>
        <w:t xml:space="preserve">This stage represents the largest positive contributor to the PCF, accounting for 150.00 kg CO2e/unit or 66.5% of the total positive emissions. The inherent carbon intensity of raw materials and their processing is a significant factor.</w:t>
      </w:r>
    </w:p>
    <w:p>
      <w:pPr>
        <w:numPr>
          <w:ilvl w:val="0"/>
          <w:numId w:val="1015"/>
        </w:numPr>
        <w:pStyle w:val="Compact"/>
      </w:pPr>
      <w:r>
        <w:rPr>
          <w:bCs/>
          <w:b/>
        </w:rPr>
        <w:t xml:space="preserve">Use Phase:</w:t>
      </w:r>
      <w:r>
        <w:t xml:space="preserve"> </w:t>
      </w:r>
      <w:r>
        <w:t xml:space="preserve">With 25.00 kg CO2e/unit (11.1%), the energy consumption during the product\'s lifespan is a notable contributor, especially considering the illustrative European grid mix.</w:t>
      </w:r>
    </w:p>
    <w:p>
      <w:pPr>
        <w:numPr>
          <w:ilvl w:val="0"/>
          <w:numId w:val="1015"/>
        </w:numPr>
        <w:pStyle w:val="Compact"/>
      </w:pPr>
      <w:r>
        <w:rPr>
          <w:bCs/>
          <w:b/>
        </w:rPr>
        <w:t xml:space="preserve">Transportation:</w:t>
      </w:r>
      <w:r>
        <w:t xml:space="preserve"> </w:t>
      </w:r>
      <w:r>
        <w:t xml:space="preserve">Downstream transportation, including last-mile delivery, contributes 24.60 kg CO2e/unit (10.9%), highlighting the impact of logistics.</w:t>
      </w:r>
    </w:p>
    <w:p>
      <w:pPr>
        <w:numPr>
          <w:ilvl w:val="0"/>
          <w:numId w:val="1015"/>
        </w:numPr>
        <w:pStyle w:val="Compact"/>
      </w:pPr>
      <w:r>
        <w:rPr>
          <w:bCs/>
          <w:b/>
        </w:rPr>
        <w:t xml:space="preserve">End-of-Life Credits:</w:t>
      </w:r>
      <w:r>
        <w:t xml:space="preserve"> </w:t>
      </w:r>
      <w:r>
        <w:t xml:space="preserve">The substantial recycling rate of 85% provides a significant carbon credit (-84.25 kg CO2e/unit), demonstrating the positive impact of circular economy initiatives.</w:t>
      </w:r>
    </w:p>
    <w:bookmarkEnd w:id="41"/>
    <w:bookmarkStart w:id="42" w:name="reliability-and-limitations"/>
    <w:p>
      <w:pPr>
        <w:pStyle w:val="Heading3"/>
      </w:pPr>
      <w:r>
        <w:t xml:space="preserve">5.2. Reliability and Limitations</w:t>
      </w:r>
    </w:p>
    <w:p>
      <w:pPr>
        <w:pStyle w:val="FirstParagraph"/>
      </w:pPr>
      <w:r>
        <w:t xml:space="preserve">The reliability of this PCF report is contingent on the accuracy of the provided primary data and the representativeness of the secondary data (emission factors, estimated distances, product weight, etc.).</w:t>
      </w:r>
      <w:r>
        <w:t xml:space="preserve"> </w:t>
      </w:r>
      <w:r>
        <w:t xml:space="preserve">Key limitations include:</w:t>
      </w:r>
    </w:p>
    <w:p>
      <w:pPr>
        <w:numPr>
          <w:ilvl w:val="0"/>
          <w:numId w:val="1016"/>
        </w:numPr>
        <w:pStyle w:val="Compact"/>
      </w:pPr>
      <w:r>
        <w:t xml:space="preserve">Reliance on illustrative emission factors for transportation modes, energy grids, and EoL scenarios due to the absence of specific primary data.</w:t>
      </w:r>
    </w:p>
    <w:p>
      <w:pPr>
        <w:numPr>
          <w:ilvl w:val="0"/>
          <w:numId w:val="1016"/>
        </w:numPr>
        <w:pStyle w:val="Compact"/>
      </w:pPr>
      <w:r>
        <w:t xml:space="preserve">The aggregated nature of the `xxzxznlo` (material carbon footprint) assumes a high degree of pre-assessment accuracy for this component. Detailed breakdown of individual material impacts would enhance precision.</w:t>
      </w:r>
    </w:p>
    <w:p>
      <w:pPr>
        <w:numPr>
          <w:ilvl w:val="0"/>
          <w:numId w:val="1016"/>
        </w:numPr>
        <w:pStyle w:val="Compact"/>
      </w:pPr>
      <w:r>
        <w:t xml:space="preserve">Assumptions for last-mile delivery distance and average product weight.</w:t>
      </w:r>
    </w:p>
    <w:p>
      <w:pPr>
        <w:numPr>
          <w:ilvl w:val="0"/>
          <w:numId w:val="1016"/>
        </w:numPr>
        <w:pStyle w:val="Compact"/>
      </w:pPr>
      <w:r>
        <w:t xml:space="preserve">Specific benefits of "guszmlziys" (circular/take-back programs) beyond direct recycling credits are not explicitly quantified without more detailed program data.</w:t>
      </w:r>
    </w:p>
    <w:p>
      <w:pPr>
        <w:pStyle w:val="FirstParagraph"/>
      </w:pPr>
      <w:r>
        <w:t xml:space="preserve">Further primary data collection, especially for material specific emission factors, actual production energy mix,</w:t>
      </w:r>
      <w:r>
        <w:t xml:space="preserve"> </w:t>
      </w:r>
      <w:r>
        <w:t xml:space="preserve">and precise logistics data, would significantly improve the accuracy and specificity of this assessment.</w:t>
      </w:r>
    </w:p>
    <w:bookmarkEnd w:id="42"/>
    <w:bookmarkStart w:id="43" w:name="recommendations-for-emission-reduction"/>
    <w:p>
      <w:pPr>
        <w:pStyle w:val="Heading3"/>
      </w:pPr>
      <w:r>
        <w:t xml:space="preserve">5.3. Recommendations for Emission Reduction</w:t>
      </w:r>
    </w:p>
    <w:p>
      <w:pPr>
        <w:pStyle w:val="FirstParagraph"/>
      </w:pPr>
      <w:r>
        <w:t xml:space="preserve">Based on the identified hotspots, kyowtvhilk should focus on the following strategies to reduce the PCF of \'gmhtjuzwiz\':</w:t>
      </w:r>
    </w:p>
    <w:p>
      <w:pPr>
        <w:numPr>
          <w:ilvl w:val="0"/>
          <w:numId w:val="1017"/>
        </w:numPr>
        <w:pStyle w:val="Compact"/>
      </w:pPr>
      <w:r>
        <w:rPr>
          <w:bCs/>
          <w:b/>
        </w:rPr>
        <w:t xml:space="preserve">Material Optimization:</w:t>
      </w:r>
    </w:p>
    <w:p>
      <w:pPr>
        <w:numPr>
          <w:ilvl w:val="1"/>
          <w:numId w:val="1018"/>
        </w:numPr>
        <w:pStyle w:val="Compact"/>
      </w:pPr>
      <w:r>
        <w:t xml:space="preserve">Explore alternative materials with lower embodied carbon, potentially through lightweighting or substituting high-impact materials.</w:t>
      </w:r>
    </w:p>
    <w:p>
      <w:pPr>
        <w:numPr>
          <w:ilvl w:val="1"/>
          <w:numId w:val="1018"/>
        </w:numPr>
        <w:pStyle w:val="Compact"/>
      </w:pPr>
      <w:r>
        <w:t xml:space="preserve">Increase the use of recycled content in new products, leveraging the existing recyclability.</w:t>
      </w:r>
    </w:p>
    <w:p>
      <w:pPr>
        <w:numPr>
          <w:ilvl w:val="1"/>
          <w:numId w:val="1018"/>
        </w:numPr>
        <w:pStyle w:val="Compact"/>
      </w:pPr>
      <w:r>
        <w:t xml:space="preserve">Engage with suppliers to obtain primary data on material carbon footprints and encourage their decarbonization efforts.</w:t>
      </w:r>
    </w:p>
    <w:p>
      <w:pPr>
        <w:numPr>
          <w:ilvl w:val="0"/>
          <w:numId w:val="1017"/>
        </w:numPr>
        <w:pStyle w:val="Compact"/>
      </w:pPr>
      <w:r>
        <w:rPr>
          <w:bCs/>
          <w:b/>
        </w:rPr>
        <w:t xml:space="preserve">Enhanced Circularity:</w:t>
      </w:r>
    </w:p>
    <w:p>
      <w:pPr>
        <w:numPr>
          <w:ilvl w:val="1"/>
          <w:numId w:val="1019"/>
        </w:numPr>
        <w:pStyle w:val="Compact"/>
      </w:pPr>
      <w:r>
        <w:t xml:space="preserve">Continue and expand \'guszmlziys\' (circular/take-back programs) to maximize material recovery and reuse, potentially aiming for higher than 85% recyclability or implementing direct reuse models.</w:t>
      </w:r>
    </w:p>
    <w:p>
      <w:pPr>
        <w:numPr>
          <w:ilvl w:val="1"/>
          <w:numId w:val="1019"/>
        </w:numPr>
        <w:pStyle w:val="Compact"/>
      </w:pPr>
      <w:r>
        <w:t xml:space="preserve">Design for disassembly and repair to extend product lifespan and facilitate component reuse.</w:t>
      </w:r>
    </w:p>
    <w:p>
      <w:pPr>
        <w:numPr>
          <w:ilvl w:val="0"/>
          <w:numId w:val="1017"/>
        </w:numPr>
        <w:pStyle w:val="Compact"/>
      </w:pPr>
      <w:r>
        <w:rPr>
          <w:bCs/>
          <w:b/>
        </w:rPr>
        <w:t xml:space="preserve">Energy Efficiency in Use:</w:t>
      </w:r>
    </w:p>
    <w:p>
      <w:pPr>
        <w:numPr>
          <w:ilvl w:val="1"/>
          <w:numId w:val="1020"/>
        </w:numPr>
        <w:pStyle w:val="Compact"/>
      </w:pPr>
      <w:r>
        <w:t xml:space="preserve">Innovate to reduce the energy consumption of \'gmhtjuzwiz\' during its use phase.</w:t>
      </w:r>
    </w:p>
    <w:p>
      <w:pPr>
        <w:numPr>
          <w:ilvl w:val="1"/>
          <w:numId w:val="1020"/>
        </w:numPr>
        <w:pStyle w:val="Compact"/>
      </w:pPr>
      <w:r>
        <w:t xml:space="preserve">Provide clear guidance to end-users on energy-efficient operation and maintenance.</w:t>
      </w:r>
    </w:p>
    <w:p>
      <w:pPr>
        <w:numPr>
          <w:ilvl w:val="0"/>
          <w:numId w:val="1017"/>
        </w:numPr>
        <w:pStyle w:val="Compact"/>
      </w:pPr>
      <w:r>
        <w:rPr>
          <w:bCs/>
          <w:b/>
        </w:rPr>
        <w:t xml:space="preserve">Logistics Optimization:</w:t>
      </w:r>
    </w:p>
    <w:p>
      <w:pPr>
        <w:numPr>
          <w:ilvl w:val="1"/>
          <w:numId w:val="1021"/>
        </w:numPr>
        <w:pStyle w:val="Compact"/>
      </w:pPr>
      <w:r>
        <w:t xml:space="preserve">Optimize transportation routes and modes, favoring lower-emission options (e.g., rail, sea freight) where feasible for long distances.</w:t>
      </w:r>
    </w:p>
    <w:p>
      <w:pPr>
        <w:numPr>
          <w:ilvl w:val="1"/>
          <w:numId w:val="1021"/>
        </w:numPr>
        <w:pStyle w:val="Compact"/>
      </w:pPr>
      <w:r>
        <w:t xml:space="preserve">Consolidate shipments to improve loading efficiency.</w:t>
      </w:r>
    </w:p>
    <w:p>
      <w:pPr>
        <w:numPr>
          <w:ilvl w:val="1"/>
          <w:numId w:val="1021"/>
        </w:numPr>
        <w:pStyle w:val="Compact"/>
      </w:pPr>
      <w:r>
        <w:t xml:space="preserve">Investigate greener last-mile delivery solutions, such as electric vehicles or local distribution hubs.</w:t>
      </w:r>
    </w:p>
    <w:p>
      <w:pPr>
        <w:numPr>
          <w:ilvl w:val="0"/>
          <w:numId w:val="1017"/>
        </w:numPr>
        <w:pStyle w:val="Compact"/>
      </w:pPr>
      <w:r>
        <w:rPr>
          <w:bCs/>
          <w:b/>
        </w:rPr>
        <w:t xml:space="preserve">Production Decarbonization:</w:t>
      </w:r>
    </w:p>
    <w:p>
      <w:pPr>
        <w:numPr>
          <w:ilvl w:val="1"/>
          <w:numId w:val="1022"/>
        </w:numPr>
        <w:pStyle w:val="Compact"/>
      </w:pPr>
      <w:r>
        <w:t xml:space="preserve">Further increase renewable energy procurement beyond the current \'efguhoxpkh\' (70%) for manufacturing operations in China.</w:t>
      </w:r>
    </w:p>
    <w:p>
      <w:pPr>
        <w:numPr>
          <w:ilvl w:val="1"/>
          <w:numId w:val="1022"/>
        </w:numPr>
        <w:pStyle w:val="Compact"/>
      </w:pPr>
      <w:r>
        <w:t xml:space="preserve">Implement energy efficiency measures in the production facility to reduce overall energy intensity.</w:t>
      </w:r>
    </w:p>
    <w:p>
      <w:r>
        <w:pict>
          <v:rect style="width:0;height:1.5pt" o:hralign="center" o:hrstd="t" o:hr="t"/>
        </w:pict>
      </w:r>
    </w:p>
    <w:p>
      <w:pPr>
        <w:pStyle w:val="FirstParagraph"/>
      </w:pPr>
      <w:r>
        <w:t xml:space="preserve">Confidential - Internal Use Only | Page 1 of X</w:t>
      </w:r>
    </w:p>
    <w:p>
      <w:pPr>
        <w:pStyle w:val="BodyText"/>
      </w:pPr>
      <w:r>
        <w:t xml:space="preserve">This report is subject to the disclaimer on the cover page.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gmhtjuzwiz</dc:title>
  <dc:creator/>
  <dc:description>Detailed Product Carbon Footprint (PCF) analysis report for product gmhtjuzwiz by kyowtvhilk, adhering to GHG Protocol and 2026 LSR update.</dc:description>
  <dc:language>en</dc:language>
  <cp:keywords/>
  <dcterms:created xsi:type="dcterms:W3CDTF">2026-07-14T23:51:53Z</dcterms:created>
  <dcterms:modified xsi:type="dcterms:W3CDTF">2026-07-14T23:51:53Z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