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gdtsodsmsw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gdtsodsmsw</w:t>
      </w:r>
    </w:p>
    <w:p>
      <w:pPr>
        <w:pStyle w:val="BodyText"/>
      </w:pPr>
      <w:r>
        <w:rPr>
          <w:bCs/>
          <w:b/>
        </w:rPr>
        <w:t xml:space="preserve">Company Name:</w:t>
      </w:r>
      <w:r>
        <w:t xml:space="preserve"> </w:t>
      </w:r>
      <w:r>
        <w:t xml:space="preserve">hxtrsvkoqz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sznsovtgkf</w:t>
      </w:r>
    </w:p>
    <w:p>
      <w:pPr>
        <w:pStyle w:val="BodyText"/>
      </w:pPr>
      <w:r>
        <w:t xml:space="preserve">This report is generated based on available data and industry standards. While every effort has been made to ensure accuracy, the actual carbon footprint may vary based on real-time operational specifics and data granularity.</w:t>
      </w:r>
    </w:p>
    <w:bookmarkEnd w:id="20"/>
    <w:p>
      <w:pPr>
        <w:pStyle w:val="BodyText"/>
      </w:pPr>
      <w:r>
        <w:t xml:space="preserve">Carbon Footprint Report - gdtsodsmsw | Generated Date: May 21, 2026</w:t>
      </w:r>
    </w:p>
    <w:bookmarkStart w:id="44" w:name="executive-summary"/>
    <w:p>
      <w:pPr>
        <w:pStyle w:val="Heading1"/>
      </w:pPr>
      <w:r>
        <w:t xml:space="preserve">Executive Summary</w:t>
      </w:r>
    </w:p>
    <w:p>
      <w:pPr>
        <w:pStyle w:val="FirstParagraph"/>
      </w:pPr>
      <w:r>
        <w:t xml:space="preserve">This report presents a high-detail Product Carbon Footprint (PCF) analysis for \'gdtsodsmsw\' manufactured by hxtrsvkoqz. Conducted by Senior Sustainability Consultant sznsovtgkf, the analysis adheres strictly to the GHG Protocol, including the 2026 Land Sector and Removals (LSR) Standard, with a focus on achieving at least 95% Scope 3 coverage. The system boundary for this assessment is defined as \'factory_gate\' for core production, extended to a cradle-to-grave perspective for a comprehensive lifecycle view, with a primary geographic scope of China for final production and a supply chain focus on Europe. The primary objective is to identify key emission hotspots across the product\'s lifecycle from raw material acquisition to end-of-life, enabling hxtrsvkoqz to develop targeted decarbonization strategies.</w:t>
      </w:r>
    </w:p>
    <w:p>
      <w:r>
        <w:pict>
          <v:rect style="width:0;height:1.5pt" o:hralign="center" o:hrstd="t" o:hr="t"/>
        </w:pict>
      </w:r>
    </w:p>
    <w:bookmarkStart w:id="22" w:name="methodology-and-scope-definition"/>
    <w:p>
      <w:pPr>
        <w:pStyle w:val="Heading2"/>
      </w:pPr>
      <w:r>
        <w:t xml:space="preserve">1. Methodology and Scope Definition</w:t>
      </w:r>
    </w:p>
    <w:p>
      <w:pPr>
        <w:pStyle w:val="FirstParagraph"/>
      </w:pPr>
      <w:r>
        <w:t xml:space="preserve">The Product Carbon Footprint (PCF) analysis for gdtsodsmsw follows a five-step methodology in accordance with the GHG Protocol Product Standard, ensuring robust and transparent reporting.</w:t>
      </w:r>
    </w:p>
    <w:bookmarkStart w:id="21"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gdtsodsmsw, serving as the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The system boundary is defined as \'factory_gate\' for the core manufacturing process. For a comprehensive understanding of the product\'s environmental impact, the analysis extends to a cradle-to-grave perspective, encompassing raw material extraction, manufacturing, transport, the use phase, and end-of-life scenarios. This full lifecycle approach allows for a holistic assessment of greenhouse gas (GHG) emissions.</w:t>
      </w:r>
    </w:p>
    <w:p>
      <w:pPr>
        <w:numPr>
          <w:ilvl w:val="0"/>
          <w:numId w:val="1001"/>
        </w:numPr>
        <w:pStyle w:val="Compact"/>
      </w:pPr>
      <w:r>
        <w:rPr>
          <w:bCs/>
          <w:b/>
        </w:rPr>
        <w:t xml:space="preserve">Geographic Scope:</w:t>
      </w:r>
      <w:r>
        <w:t xml:space="preserve"> </w:t>
      </w:r>
      <w:r>
        <w:t xml:space="preserve">The final production country for gdtsodsmsw is China. The supply chain focus primarily involves material sourcing and initial processing within Europe, followed by transport to China for final assembly. Use phase and End-of-Life impacts are considered globally, with a European context for consumer energy grids and waste management where relevant.</w:t>
      </w:r>
    </w:p>
    <w:p>
      <w:pPr>
        <w:numPr>
          <w:ilvl w:val="0"/>
          <w:numId w:val="1001"/>
        </w:numPr>
        <w:pStyle w:val="Compact"/>
      </w:pPr>
      <w:r>
        <w:rPr>
          <w:bCs/>
          <w:b/>
        </w:rPr>
        <w:t xml:space="preserve">Allocation:</w:t>
      </w:r>
      <w:r>
        <w:t xml:space="preserve"> </w:t>
      </w:r>
      <w:r>
        <w:t xml:space="preserve">Emissions are allocated directly to the functional unit (1.0 unit of gdtsodsmsw). In cases of co-production or multi-output processes within the supply chain, allocation methods (e.g., mass-based, economic-based) are applied according to GHG Protocol guidelines to ensure fair distribution of environmental burdens.</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All emissions are categorized into Scope 1 (direct emissions from owned or controlled sources), Scope 2 (indirect emissions from the generation of purchased energy), and Scope 3 (all other indirect emissions in the value chain, both upstream and downstream). The 2026 Land Sector and Removals (LSR) Standard is applied to account for land use change impacts and potential carbon removals, ensuring a comprehensive assessment of biogenic carbon flows. Furthermore, this report aims for at least 95% coverage for Scope 3 reporting, as per enhanced 2026 requirements, to ensure a complete picture of value chain emissions.</w:t>
      </w:r>
    </w:p>
    <w:p>
      <w:r>
        <w:pict>
          <v:rect style="width:0;height:1.5pt" o:hralign="center" o:hrstd="t" o:hr="t"/>
        </w:pict>
      </w:r>
    </w:p>
    <w:bookmarkEnd w:id="21"/>
    <w:bookmarkEnd w:id="22"/>
    <w:bookmarkStart w:id="23" w:name="lifecycle-mapping-lci-inventory-stages"/>
    <w:p>
      <w:pPr>
        <w:pStyle w:val="Heading2"/>
      </w:pPr>
      <w:r>
        <w:t xml:space="preserve">2. Lifecycle Mapping (LCI Inventory Stages)</w:t>
      </w:r>
    </w:p>
    <w:p>
      <w:pPr>
        <w:pStyle w:val="FirstParagraph"/>
      </w:pPr>
      <w:r>
        <w:t xml:space="preserve">The lifecycle of gdtsodsmsw is mapped across five distinct stages to capture all relevant GHG emissions.</w:t>
      </w:r>
    </w:p>
    <w:p>
      <w:pPr>
        <w:numPr>
          <w:ilvl w:val="0"/>
          <w:numId w:val="1002"/>
        </w:numPr>
        <w:pStyle w:val="Compact"/>
      </w:pPr>
      <w:r>
        <w:rPr>
          <w:bCs/>
          <w:b/>
        </w:rPr>
        <w:t xml:space="preserve">Material Acquisition &amp; Pre-processing:</w:t>
      </w:r>
      <w:r>
        <w:t xml:space="preserve"> </w:t>
      </w:r>
      <w:r>
        <w:t xml:space="preserve">This stage includes the extraction of raw materials, their initial processing, and the manufacturing of intermediate components. Emissions here are primarily associated with energy consumption, chemical reactions, and land use changes.</w:t>
      </w:r>
    </w:p>
    <w:p>
      <w:pPr>
        <w:numPr>
          <w:ilvl w:val="0"/>
          <w:numId w:val="1002"/>
        </w:numPr>
        <w:pStyle w:val="Compact"/>
      </w:pPr>
      <w:r>
        <w:rPr>
          <w:bCs/>
          <w:b/>
        </w:rPr>
        <w:t xml:space="preserve">Manufacturing/Production:</w:t>
      </w:r>
      <w:r>
        <w:t xml:space="preserve"> </w:t>
      </w:r>
      <w:r>
        <w:t xml:space="preserve">Encompasses all activities at the hxtrsvkoqz production facility in China, including assembly, fabrication, and finishing. Key emission sources include purchased electricity, direct fuel combustion, and process emissions.</w:t>
      </w:r>
    </w:p>
    <w:p>
      <w:pPr>
        <w:numPr>
          <w:ilvl w:val="0"/>
          <w:numId w:val="1002"/>
        </w:numPr>
        <w:pStyle w:val="Compact"/>
      </w:pPr>
      <w:r>
        <w:rPr>
          <w:bCs/>
          <w:b/>
        </w:rPr>
        <w:t xml:space="preserve">Transport:</w:t>
      </w:r>
      <w:r>
        <w:t xml:space="preserve"> </w:t>
      </w:r>
      <w:r>
        <w:t xml:space="preserve">Covers the transportation of raw materials and components from suppliers (Europe Focused) to the manufacturing plant in China, as well as the transport of the finished product to distribution centers and ultimately to the end-consumer (Last-Mile Delivery).</w:t>
      </w:r>
    </w:p>
    <w:p>
      <w:pPr>
        <w:numPr>
          <w:ilvl w:val="0"/>
          <w:numId w:val="1002"/>
        </w:numPr>
        <w:pStyle w:val="Compact"/>
      </w:pPr>
      <w:r>
        <w:rPr>
          <w:bCs/>
          <w:b/>
        </w:rPr>
        <w:t xml:space="preserve">Use Phase:</w:t>
      </w:r>
      <w:r>
        <w:t xml:space="preserve"> </w:t>
      </w:r>
      <w:r>
        <w:t xml:space="preserve">Accounts for emissions generated during the product\'s active lifespan, primarily from energy consumption required for its operation by the end-user.</w:t>
      </w:r>
    </w:p>
    <w:p>
      <w:pPr>
        <w:numPr>
          <w:ilvl w:val="0"/>
          <w:numId w:val="1002"/>
        </w:numPr>
        <w:pStyle w:val="Compact"/>
      </w:pPr>
      <w:r>
        <w:rPr>
          <w:bCs/>
          <w:b/>
        </w:rPr>
        <w:t xml:space="preserve">End-of-Life (EoL):</w:t>
      </w:r>
      <w:r>
        <w:t xml:space="preserve"> </w:t>
      </w:r>
      <w:r>
        <w:t xml:space="preserve">Addresses the emissions associated with the disposal, recycling, or recovery of the product and its components at the end of its functional life.</w:t>
      </w:r>
    </w:p>
    <w:p>
      <w:r>
        <w:pict>
          <v:rect style="width:0;height:1.5pt" o:hralign="center" o:hrstd="t" o:hr="t"/>
        </w:pict>
      </w:r>
    </w:p>
    <w:bookmarkEnd w:id="23"/>
    <w:bookmarkStart w:id="26" w:name="X7b6d01ce7b6bfe45f00681616505557cddf238f"/>
    <w:p>
      <w:pPr>
        <w:pStyle w:val="Heading2"/>
      </w:pPr>
      <w:r>
        <w:t xml:space="preserve">3. Data Collection (Primary/Secondary Data Points)</w:t>
      </w:r>
    </w:p>
    <w:p>
      <w:pPr>
        <w:pStyle w:val="FirstParagraph"/>
      </w:pPr>
      <w:r>
        <w:t xml:space="preserve">Data was collected from various sources, prioritizing primary data where available and supplementing with robust secondary data (industry-average emission factors) from reputable databases like Ecoinvent and DEFRA.</w:t>
      </w:r>
    </w:p>
    <w:bookmarkStart w:id="24" w:name="detailed-bill-of-materials-bom-analysis"/>
    <w:p>
      <w:pPr>
        <w:pStyle w:val="Heading3"/>
      </w:pPr>
      <w:r>
        <w:t xml:space="preserve">3.1. Detailed Bill of Materials (BOM) Analysis</w:t>
      </w:r>
    </w:p>
    <w:p>
      <w:pPr>
        <w:pStyle w:val="FirstParagraph"/>
      </w:pPr>
      <w:r>
        <w:t xml:space="preserve">The provided Detailed Bill of Materials (gztiqhsd) is crucial for accurate material impact calculations. While the specific data for \'gztiqhsd\' is a placeholder string, the following illustrative BOM data (following the specified format) demonstrates the approach taken for material impact calculation. The \'Total Carbon\' for each item is derived directly from the provided \'Qty\' multiplied by its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c>
          <w:tcPr/>
          <w:p>
            <w:pPr>
              <w:pStyle w:val="Compact"/>
              <w:jc w:val="left"/>
            </w:pPr>
            <w:r>
              <w:t xml:space="preserve">Scope Classification</w:t>
            </w:r>
          </w:p>
        </w:tc>
      </w:tr>
      <w:tr>
        <w:tc>
          <w:tcPr/>
          <w:p>
            <w:pPr>
              <w:pStyle w:val="Compact"/>
              <w:jc w:val="left"/>
            </w:pPr>
            <w:r>
              <w:t xml:space="preserve">M001</w:t>
            </w:r>
          </w:p>
        </w:tc>
        <w:tc>
          <w:tcPr/>
          <w:p>
            <w:pPr>
              <w:pStyle w:val="Compact"/>
              <w:jc w:val="left"/>
            </w:pPr>
            <w:r>
              <w:t xml:space="preserve">Aluminum Alloy (Recycled Content)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c>
          <w:tcPr/>
          <w:p>
            <w:pPr>
              <w:pStyle w:val="Compact"/>
              <w:jc w:val="left"/>
            </w:pPr>
            <w:r>
              <w:t xml:space="preserve">Scope 3 (Upstream)</w:t>
            </w:r>
          </w:p>
        </w:tc>
      </w:tr>
      <w:tr>
        <w:tc>
          <w:tcPr/>
          <w:p>
            <w:pPr>
              <w:pStyle w:val="Compact"/>
              <w:jc w:val="left"/>
            </w:pPr>
            <w:r>
              <w:t xml:space="preserve">M002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5.2</w:t>
            </w:r>
          </w:p>
        </w:tc>
        <w:tc>
          <w:tcPr/>
          <w:p>
            <w:pPr>
              <w:pStyle w:val="Compact"/>
              <w:jc w:val="left"/>
            </w:pPr>
            <w:r>
              <w:t xml:space="preserve">1.56</w:t>
            </w:r>
          </w:p>
        </w:tc>
        <w:tc>
          <w:tcPr/>
          <w:p>
            <w:pPr>
              <w:pStyle w:val="Compact"/>
              <w:jc w:val="left"/>
            </w:pPr>
            <w:r>
              <w:t xml:space="preserve">Scope 3 (Upstream)</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2.8</w:t>
            </w:r>
          </w:p>
        </w:tc>
        <w:tc>
          <w:tcPr/>
          <w:p>
            <w:pPr>
              <w:pStyle w:val="Compact"/>
              <w:jc w:val="left"/>
            </w:pPr>
            <w:r>
              <w:t xml:space="preserve">0.28</w:t>
            </w:r>
          </w:p>
        </w:tc>
        <w:tc>
          <w:tcPr/>
          <w:p>
            <w:pPr>
              <w:pStyle w:val="Compact"/>
              <w:jc w:val="left"/>
            </w:pPr>
            <w:r>
              <w:t xml:space="preserve">Scope 3 (Upstream)</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w:t>
            </w:r>
          </w:p>
        </w:tc>
        <w:tc>
          <w:tcPr/>
          <w:p>
            <w:pPr>
              <w:pStyle w:val="Compact"/>
              <w:jc w:val="left"/>
            </w:pPr>
            <w:r>
              <w:t xml:space="preserve">Scope 3 (Upstream)</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0.6</w:t>
            </w:r>
          </w:p>
        </w:tc>
        <w:tc>
          <w:tcPr/>
          <w:p>
            <w:pPr>
              <w:pStyle w:val="Compact"/>
              <w:jc w:val="left"/>
            </w:pPr>
            <w:r>
              <w:t xml:space="preserve">0.12</w:t>
            </w:r>
          </w:p>
        </w:tc>
        <w:tc>
          <w:tcPr/>
          <w:p>
            <w:pPr>
              <w:pStyle w:val="Compact"/>
              <w:jc w:val="left"/>
            </w:pPr>
            <w:r>
              <w:t xml:space="preserve">Scope 3 (Upstream)</w:t>
            </w:r>
          </w:p>
        </w:tc>
      </w:tr>
    </w:tbl>
    <w:p>
      <w:pPr>
        <w:pStyle w:val="BodyText"/>
      </w:pPr>
      <w:r>
        <w:rPr>
          <w:iCs/>
          <w:i/>
        </w:rPr>
        <w:t xml:space="preserve">Note: The specific values above are illustrative, demonstrating how the BOM data format (ID, Description, Category, Process, Qty, Unit, Emission Factor, Total Carbon) would be directly utilized for material impact calculation.</w:t>
      </w:r>
    </w:p>
    <w:bookmarkEnd w:id="24"/>
    <w:bookmarkStart w:id="25" w:name="energy-and-logistics-data"/>
    <w:p>
      <w:pPr>
        <w:pStyle w:val="Heading3"/>
      </w:pPr>
      <w:r>
        <w:t xml:space="preserve">3.2. Energy and Logistics Data</w:t>
      </w:r>
    </w:p>
    <w:p>
      <w:pPr>
        <w:pStyle w:val="FirstParagraph"/>
      </w:pPr>
      <w:r>
        <w:t xml:space="preserve">The following specific data points were incorporated:</w:t>
      </w:r>
    </w:p>
    <w:p>
      <w:pPr>
        <w:numPr>
          <w:ilvl w:val="0"/>
          <w:numId w:val="1003"/>
        </w:numPr>
        <w:pStyle w:val="Compact"/>
      </w:pPr>
      <w:r>
        <w:rPr>
          <w:bCs/>
          <w:b/>
        </w:rPr>
        <w:t xml:space="preserve">Transport Mode:</w:t>
      </w:r>
      <w:r>
        <w:t xml:space="preserve"> </w:t>
      </w:r>
      <w:r>
        <w:t xml:space="preserve">Road freight (Heavy Goods Vehicle &gt;16t). This mode is assumed for primary transport within the supply chain.</w:t>
      </w:r>
    </w:p>
    <w:p>
      <w:pPr>
        <w:numPr>
          <w:ilvl w:val="0"/>
          <w:numId w:val="1003"/>
        </w:numPr>
        <w:pStyle w:val="Compact"/>
      </w:pPr>
      <w:r>
        <w:rPr>
          <w:bCs/>
          <w:b/>
        </w:rPr>
        <w:t xml:space="preserve">Transport Distance:</w:t>
      </w:r>
      <w:r>
        <w:t xml:space="preserve"> </w:t>
      </w:r>
      <w:r>
        <w:t xml:space="preserve">An illustrative total of 2000 km is used, comprising 1500 km for international freight to the final production country (China) and 500 km for intra-European supply chain movements. This covers the most impactful segments.</w:t>
      </w:r>
    </w:p>
    <w:p>
      <w:pPr>
        <w:numPr>
          <w:ilvl w:val="0"/>
          <w:numId w:val="1003"/>
        </w:numPr>
        <w:pStyle w:val="Compact"/>
      </w:pPr>
      <w:r>
        <w:rPr>
          <w:bCs/>
          <w:b/>
        </w:rPr>
        <w:t xml:space="preserve">Last-Mile Delivery Channel:</w:t>
      </w:r>
      <w:r>
        <w:t xml:space="preserve"> </w:t>
      </w:r>
      <w:r>
        <w:t xml:space="preserve">Parcel service (van). This accounts for the final distribution to the end-consumer.</w:t>
      </w:r>
    </w:p>
    <w:p>
      <w:pPr>
        <w:numPr>
          <w:ilvl w:val="0"/>
          <w:numId w:val="1003"/>
        </w:numPr>
        <w:pStyle w:val="Compact"/>
      </w:pPr>
      <w:r>
        <w:rPr>
          <w:bCs/>
          <w:b/>
        </w:rPr>
        <w:t xml:space="preserve">Renewable Energy Usage (Production):</w:t>
      </w:r>
      <w:r>
        <w:t xml:space="preserve"> </w:t>
      </w:r>
      <w:r>
        <w:t xml:space="preserve">fjfnoiqwnt (illustrative: 75%). This represents the percentage of renewable electricity utilized at the hxtrsvkoqz production facility in China.</w:t>
      </w:r>
    </w:p>
    <w:p>
      <w:pPr>
        <w:numPr>
          <w:ilvl w:val="0"/>
          <w:numId w:val="1003"/>
        </w:numPr>
        <w:pStyle w:val="Compact"/>
      </w:pPr>
      <w:r>
        <w:rPr>
          <w:bCs/>
          <w:b/>
        </w:rPr>
        <w:t xml:space="preserve">Energy Intensity (kWh/unit, Production):</w:t>
      </w:r>
      <w:r>
        <w:t xml:space="preserve"> </w:t>
      </w:r>
      <w:r>
        <w:t xml:space="preserve">nrqdgvgxwd (illustrative: 1.2 kWh/unit). This is the electricity consumption per unit of gdtsodsmsw during the manufacturing phase.</w:t>
      </w:r>
    </w:p>
    <w:p>
      <w:pPr>
        <w:numPr>
          <w:ilvl w:val="0"/>
          <w:numId w:val="1003"/>
        </w:numPr>
        <w:pStyle w:val="Compact"/>
      </w:pPr>
      <w:r>
        <w:rPr>
          <w:bCs/>
          <w:b/>
        </w:rPr>
        <w:t xml:space="preserve">Product Lifespan:</w:t>
      </w:r>
      <w:r>
        <w:t xml:space="preserve"> </w:t>
      </w:r>
      <w:r>
        <w:t xml:space="preserve">lexopzsxij (illustrative: 5 years). This dictates the duration over which use-phase energy consumption is calculated.</w:t>
      </w:r>
    </w:p>
    <w:p>
      <w:pPr>
        <w:numPr>
          <w:ilvl w:val="0"/>
          <w:numId w:val="1003"/>
        </w:numPr>
        <w:pStyle w:val="Compact"/>
      </w:pPr>
      <w:r>
        <w:rPr>
          <w:bCs/>
          <w:b/>
        </w:rPr>
        <w:t xml:space="preserve">Energy Consumption in Use:</w:t>
      </w:r>
      <w:r>
        <w:t xml:space="preserve"> </w:t>
      </w:r>
      <w:r>
        <w:t xml:space="preserve">ggxfeqiloi (illustrative: 10 kWh/year). This is the annual electricity consumption of gdtsodsmsw during its operational life.</w:t>
      </w:r>
    </w:p>
    <w:p>
      <w:pPr>
        <w:numPr>
          <w:ilvl w:val="0"/>
          <w:numId w:val="1003"/>
        </w:numPr>
        <w:pStyle w:val="Compact"/>
      </w:pPr>
      <w:r>
        <w:rPr>
          <w:bCs/>
          <w:b/>
        </w:rPr>
        <w:t xml:space="preserve">Recyclability Percentage:</w:t>
      </w:r>
      <w:r>
        <w:t xml:space="preserve"> </w:t>
      </w:r>
      <w:r>
        <w:t xml:space="preserve">joerzmzdph (illustrative: 60%). This represents the proportion of the product (by mass) that is estimated to be recycled at its end-of-life.</w:t>
      </w:r>
    </w:p>
    <w:p>
      <w:pPr>
        <w:numPr>
          <w:ilvl w:val="0"/>
          <w:numId w:val="1003"/>
        </w:numPr>
        <w:pStyle w:val="Compact"/>
      </w:pPr>
      <w:r>
        <w:rPr>
          <w:bCs/>
          <w:b/>
        </w:rPr>
        <w:t xml:space="preserve">Circular/Take-back Programs:</w:t>
      </w:r>
      <w:r>
        <w:t xml:space="preserve"> </w:t>
      </w:r>
      <w:r>
        <w:t xml:space="preserve">lseopsvnhd (Product take-back program in place for high-value components). This indicates the presence of initiatives to recover materials.</w:t>
      </w:r>
    </w:p>
    <w:p>
      <w:r>
        <w:pict>
          <v:rect style="width:0;height:1.5pt" o:hralign="center" o:hrstd="t" o:hr="t"/>
        </w:pict>
      </w:r>
    </w:p>
    <w:bookmarkEnd w:id="25"/>
    <w:bookmarkEnd w:id="26"/>
    <w:bookmarkStart w:id="39" w:name="emissions-calculation"/>
    <w:p>
      <w:pPr>
        <w:pStyle w:val="Heading2"/>
      </w:pPr>
      <w:r>
        <w:t xml:space="preserve">4. Emissions Calculation</w:t>
      </w:r>
    </w:p>
    <w:p>
      <w:pPr>
        <w:pStyle w:val="FirstParagraph"/>
      </w:pPr>
      <w:r>
        <w:t xml:space="preserve">Emissions are calculated for each life cycle stage using the formula: Activity Data × Emission Factor = CO2e. All emissions are categorized according to the GHG Protocol Scopes. Illustrative emission factors are used from industry standards (e.g., Ecoinvent, DEFRA) for demonstration purposes.</w:t>
      </w:r>
    </w:p>
    <w:bookmarkStart w:id="27" w:name="scope-1-emissions-direct-emissions"/>
    <w:p>
      <w:pPr>
        <w:pStyle w:val="Heading3"/>
      </w:pPr>
      <w:r>
        <w:t xml:space="preserve">4.1. Scope 1 Emissions (Direct Emissions)</w:t>
      </w:r>
    </w:p>
    <w:p>
      <w:pPr>
        <w:pStyle w:val="FirstParagraph"/>
      </w:pPr>
      <w:r>
        <w:t xml:space="preserve">For a product carbon footprint, direct Scope 1 emissions from the manufacturing process are generally low or integrated into the Scope 2 or 3 calculations if the facility is not directly owned or operates primarily on purchased electricity. If hxtrsvkoqz owns and operates facilities in China that burn fossil fuels directly for production, these would be accounted for here. For this analysis, assuming purchased energy, direct on-site combustion is considered negligible or handled within Scope 2/3 for simplicity unless specific data for fuel consumption was provided.</w:t>
      </w:r>
    </w:p>
    <w:bookmarkEnd w:id="27"/>
    <w:bookmarkStart w:id="28"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of gdtsodsmsw at the facility in China.</w:t>
      </w:r>
    </w:p>
    <w:p>
      <w:pPr>
        <w:numPr>
          <w:ilvl w:val="0"/>
          <w:numId w:val="1004"/>
        </w:numPr>
        <w:pStyle w:val="Compact"/>
      </w:pPr>
      <w:r>
        <w:rPr>
          <w:bCs/>
          <w:b/>
        </w:rPr>
        <w:t xml:space="preserve">Energy Intensity:</w:t>
      </w:r>
      <w:r>
        <w:t xml:space="preserve"> </w:t>
      </w:r>
      <w:r>
        <w:t xml:space="preserve">1.2 kWh/unit [cite: nrqdgvgxwd]</w:t>
      </w:r>
    </w:p>
    <w:p>
      <w:pPr>
        <w:numPr>
          <w:ilvl w:val="0"/>
          <w:numId w:val="1004"/>
        </w:numPr>
        <w:pStyle w:val="Compact"/>
      </w:pPr>
      <w:r>
        <w:rPr>
          <w:bCs/>
          <w:b/>
        </w:rPr>
        <w:t xml:space="preserve">Renewable Energy Usage:</w:t>
      </w:r>
      <w:r>
        <w:t xml:space="preserve"> </w:t>
      </w:r>
      <w:r>
        <w:t xml:space="preserve">75% [cite: fjfnoiqwnt]</w:t>
      </w:r>
    </w:p>
    <w:p>
      <w:pPr>
        <w:numPr>
          <w:ilvl w:val="0"/>
          <w:numId w:val="1004"/>
        </w:numPr>
        <w:pStyle w:val="Compact"/>
      </w:pPr>
      <w:r>
        <w:rPr>
          <w:bCs/>
          <w:b/>
        </w:rPr>
        <w:t xml:space="preserve">Non-Renewable Energy Usage:</w:t>
      </w:r>
      <w:r>
        <w:t xml:space="preserve"> </w:t>
      </w:r>
      <w:r>
        <w:t xml:space="preserve">100% - 75% = 25%</w:t>
      </w:r>
    </w:p>
    <w:p>
      <w:pPr>
        <w:numPr>
          <w:ilvl w:val="0"/>
          <w:numId w:val="1004"/>
        </w:numPr>
        <w:pStyle w:val="Compact"/>
      </w:pPr>
      <w:r>
        <w:rPr>
          <w:bCs/>
          <w:b/>
        </w:rPr>
        <w:t xml:space="preserve">Illustrative China Grid Emission Factor:</w:t>
      </w:r>
      <w:r>
        <w:t xml:space="preserve"> </w:t>
      </w:r>
      <w:r>
        <w:t xml:space="preserve">0.7 kg CO2e/kWh</w:t>
      </w:r>
    </w:p>
    <w:p>
      <w:pPr>
        <w:numPr>
          <w:ilvl w:val="0"/>
          <w:numId w:val="1004"/>
        </w:numPr>
        <w:pStyle w:val="Compact"/>
      </w:pPr>
      <w:r>
        <w:rPr>
          <w:bCs/>
          <w:b/>
        </w:rPr>
        <w:t xml:space="preserve">Illustrative Renewable Energy Emission Factor:</w:t>
      </w:r>
      <w:r>
        <w:t xml:space="preserve"> </w:t>
      </w:r>
      <w:r>
        <w:t xml:space="preserve">0.02 kg CO2e/kWh (accounting for upstream impacts of renewable infrastructure)</w:t>
      </w:r>
    </w:p>
    <w:p>
      <w:pPr>
        <w:pStyle w:val="FirstParagraph"/>
      </w:pPr>
      <w:r>
        <w:rPr>
          <w:bCs/>
          <w:b/>
        </w:rPr>
        <w:t xml:space="preserve">Calculation:</w:t>
      </w:r>
    </w:p>
    <w:p>
      <w:pPr>
        <w:pStyle w:val="SourceCode"/>
      </w:pPr>
      <w:r>
        <w:rPr>
          <w:rStyle w:val="VerbatimChar"/>
        </w:rPr>
        <w:t xml:space="preserve">        Scope 2 Emissions = (Energy Intensity * Non-Renewable Usage * China Grid EF) + (Energy Intensity * Renewable Usage * Renewable EF)</w:t>
      </w:r>
      <w:r>
        <w:br/>
      </w:r>
      <w:r>
        <w:rPr>
          <w:rStyle w:val="VerbatimChar"/>
        </w:rPr>
        <w:t xml:space="preserve">                          = (1.2 kWh/unit * 0.25 * 0.7 kg CO2e/kWh) + (1.2 kWh/unit * 0.75 * 0.02 kg CO2e/kWh)</w:t>
      </w:r>
      <w:r>
        <w:br/>
      </w:r>
      <w:r>
        <w:rPr>
          <w:rStyle w:val="VerbatimChar"/>
        </w:rPr>
        <w:t xml:space="preserve">                          = (0.21 kg CO2e/unit) + (0.018 kg CO2e/unit)</w:t>
      </w:r>
      <w:r>
        <w:br/>
      </w:r>
      <w:r>
        <w:rPr>
          <w:rStyle w:val="VerbatimChar"/>
        </w:rPr>
        <w:t xml:space="preserve">                          = 0.228 kg CO2e/unit</w:t>
      </w:r>
      <w:r>
        <w:br/>
      </w:r>
      <w:r>
        <w:rPr>
          <w:rStyle w:val="VerbatimChar"/>
        </w:rPr>
        <w:t xml:space="preserve">        </w:t>
      </w:r>
    </w:p>
    <w:p>
      <w:pPr>
        <w:pStyle w:val="FirstParagraph"/>
      </w:pPr>
      <w:r>
        <w:rPr>
          <w:bCs/>
          <w:b/>
        </w:rPr>
        <w:t xml:space="preserve">Total Scope 2 Emissions: 0.228 kg CO2e per unit.</w:t>
      </w:r>
    </w:p>
    <w:bookmarkEnd w:id="28"/>
    <w:bookmarkStart w:id="36" w:name="scope-3-emissions-value-chain-emissions"/>
    <w:p>
      <w:pPr>
        <w:pStyle w:val="Heading3"/>
      </w:pPr>
      <w:r>
        <w:t xml:space="preserve">4.3. Scope 3 Emissions (Value Chain Emissions)</w:t>
      </w:r>
    </w:p>
    <w:p>
      <w:pPr>
        <w:pStyle w:val="FirstParagraph"/>
      </w:pPr>
      <w:r>
        <w:t xml:space="preserve">Scope 3 emissions constitute the largest portion of a product\'s carbon footprint and are critical for achieving 95% coverage. These are broken down by lifecycle stage.</w:t>
      </w:r>
    </w:p>
    <w:bookmarkStart w:id="31" w:name="upstream-emissions"/>
    <w:p>
      <w:pPr>
        <w:pStyle w:val="Heading4"/>
      </w:pPr>
      <w:r>
        <w:t xml:space="preserve">4.3.1. Upstream Emissions</w:t>
      </w:r>
    </w:p>
    <w:bookmarkStart w:id="29" w:name="X56f81b443ebd89f3dffcc02b9be361636e6d140"/>
    <w:p>
      <w:pPr>
        <w:pStyle w:val="Heading5"/>
      </w:pPr>
      <w:r>
        <w:t xml:space="preserve">Material Acquisition &amp; Pre-processing (Category 1: Purchased Goods and Services)</w:t>
      </w:r>
    </w:p>
    <w:p>
      <w:pPr>
        <w:pStyle w:val="FirstParagraph"/>
      </w:pPr>
      <w:r>
        <w:t xml:space="preserve">Based on the illustrative BOM provided in Section 3.1:</w:t>
      </w:r>
    </w:p>
    <w:p>
      <w:pPr>
        <w:pStyle w:val="SourceCode"/>
      </w:pPr>
      <w:r>
        <w:rPr>
          <w:rStyle w:val="VerbatimChar"/>
        </w:rPr>
        <w:t xml:space="preserve">        Total Material Carbon = Sum of \'Total Carbon\' from BOM</w:t>
      </w:r>
      <w:r>
        <w:br/>
      </w:r>
      <w:r>
        <w:rPr>
          <w:rStyle w:val="VerbatimChar"/>
        </w:rPr>
        <w:t xml:space="preserve">                              = 1.75 (Alloy) + 1.56 (ABS) + 0.28 (Copper) + 1.25 (PCB) + 0.12 (Packaging)</w:t>
      </w:r>
      <w:r>
        <w:br/>
      </w:r>
      <w:r>
        <w:rPr>
          <w:rStyle w:val="VerbatimChar"/>
        </w:rPr>
        <w:t xml:space="preserve">                              = 4.96 kg CO2e/unit</w:t>
      </w:r>
      <w:r>
        <w:br/>
      </w:r>
      <w:r>
        <w:rPr>
          <w:rStyle w:val="VerbatimChar"/>
        </w:rPr>
        <w:t xml:space="preserve">        </w:t>
      </w:r>
    </w:p>
    <w:p>
      <w:pPr>
        <w:pStyle w:val="FirstParagraph"/>
      </w:pPr>
      <w:r>
        <w:rPr>
          <w:bCs/>
          <w:b/>
        </w:rPr>
        <w:t xml:space="preserve">Total Material Acquisition &amp; Pre-processing Emissions: 4.96 kg CO2e per unit.</w:t>
      </w:r>
    </w:p>
    <w:bookmarkEnd w:id="29"/>
    <w:bookmarkStart w:id="30" w:name="X00bbcb1c1c4db47316d788d6aff57fdd99e34e5"/>
    <w:p>
      <w:pPr>
        <w:pStyle w:val="Heading5"/>
      </w:pPr>
      <w:r>
        <w:t xml:space="preserve">Upstream Transportation (Category 4: Transportation and Distribution)</w:t>
      </w:r>
    </w:p>
    <w:p>
      <w:pPr>
        <w:pStyle w:val="FirstParagraph"/>
      </w:pPr>
      <w:r>
        <w:t xml:space="preserve">Assuming an average product mass (including packaging) of 1.2 kg per unit (derived from BOM illustrative data: 0.5+0.3+0.1+0.05+0.2 = 1.15 kg, rounded up).</w:t>
      </w:r>
    </w:p>
    <w:p>
      <w:pPr>
        <w:numPr>
          <w:ilvl w:val="0"/>
          <w:numId w:val="1005"/>
        </w:numPr>
        <w:pStyle w:val="Compact"/>
      </w:pPr>
      <w:r>
        <w:rPr>
          <w:bCs/>
          <w:b/>
        </w:rPr>
        <w:t xml:space="preserve">Transport Mode:</w:t>
      </w:r>
      <w:r>
        <w:t xml:space="preserve"> </w:t>
      </w:r>
      <w:r>
        <w:t xml:space="preserve">Road freight, HGV &gt;16t [cite: Select Mode]</w:t>
      </w:r>
    </w:p>
    <w:p>
      <w:pPr>
        <w:numPr>
          <w:ilvl w:val="0"/>
          <w:numId w:val="1005"/>
        </w:numPr>
        <w:pStyle w:val="Compact"/>
      </w:pPr>
      <w:r>
        <w:rPr>
          <w:bCs/>
          <w:b/>
        </w:rPr>
        <w:t xml:space="preserve">Transport Distance:</w:t>
      </w:r>
      <w:r>
        <w:t xml:space="preserve"> </w:t>
      </w:r>
      <w:r>
        <w:t xml:space="preserve">2000 km [cite: pwztzfjolo]</w:t>
      </w:r>
    </w:p>
    <w:p>
      <w:pPr>
        <w:numPr>
          <w:ilvl w:val="0"/>
          <w:numId w:val="1005"/>
        </w:numPr>
        <w:pStyle w:val="Compact"/>
      </w:pPr>
      <w:r>
        <w:rPr>
          <w:bCs/>
          <w:b/>
        </w:rPr>
        <w:t xml:space="preserve">Illustrative Emission Factor for HGV &gt;16t (Euro VI):</w:t>
      </w:r>
      <w:r>
        <w:t xml:space="preserve"> </w:t>
      </w:r>
      <w:r>
        <w:t xml:space="preserve">~0.02 kg CO2e/tonne-km (DEFRA 2023 average)</w:t>
      </w:r>
    </w:p>
    <w:p>
      <w:pPr>
        <w:pStyle w:val="FirstParagraph"/>
      </w:pPr>
      <w:r>
        <w:rPr>
          <w:bCs/>
          <w:b/>
        </w:rPr>
        <w:t xml:space="preserve">Calculation:</w:t>
      </w:r>
    </w:p>
    <w:p>
      <w:pPr>
        <w:pStyle w:val="SourceCode"/>
      </w:pPr>
      <w:r>
        <w:rPr>
          <w:rStyle w:val="VerbatimChar"/>
        </w:rPr>
        <w:t xml:space="preserve">        Transport Emissions = Distance (km) * Mass (tonnes) * Emission Factor (kg CO2e/tonne-km)</w:t>
      </w:r>
      <w:r>
        <w:br/>
      </w:r>
      <w:r>
        <w:rPr>
          <w:rStyle w:val="VerbatimChar"/>
        </w:rPr>
        <w:t xml:space="preserve">                            = 2000 km * (1.2 kg / 1000 kg/tonne) * 0.02 kg CO2e/tonne-km</w:t>
      </w:r>
      <w:r>
        <w:br/>
      </w:r>
      <w:r>
        <w:rPr>
          <w:rStyle w:val="VerbatimChar"/>
        </w:rPr>
        <w:t xml:space="preserve">                            = 2000 * 0.0012 * 0.02</w:t>
      </w:r>
      <w:r>
        <w:br/>
      </w:r>
      <w:r>
        <w:rPr>
          <w:rStyle w:val="VerbatimChar"/>
        </w:rPr>
        <w:t xml:space="preserve">                            = 0.048 kg CO2e/unit</w:t>
      </w:r>
      <w:r>
        <w:br/>
      </w:r>
      <w:r>
        <w:rPr>
          <w:rStyle w:val="VerbatimChar"/>
        </w:rPr>
        <w:t xml:space="preserve">        </w:t>
      </w:r>
    </w:p>
    <w:p>
      <w:pPr>
        <w:pStyle w:val="FirstParagraph"/>
      </w:pPr>
      <w:r>
        <w:rPr>
          <w:bCs/>
          <w:b/>
        </w:rPr>
        <w:t xml:space="preserve">Total Upstream Transport Emissions: 0.048 kg CO2e per unit.</w:t>
      </w:r>
    </w:p>
    <w:bookmarkEnd w:id="30"/>
    <w:bookmarkEnd w:id="31"/>
    <w:bookmarkStart w:id="35" w:name="downstream-emissions"/>
    <w:p>
      <w:pPr>
        <w:pStyle w:val="Heading4"/>
      </w:pPr>
      <w:r>
        <w:t xml:space="preserve">4.3.2. Downstream Emissions</w:t>
      </w:r>
    </w:p>
    <w:bookmarkStart w:id="32" w:name="Xedd21d8346808eff86c5cea05d455f74d6528b2"/>
    <w:p>
      <w:pPr>
        <w:pStyle w:val="Heading5"/>
      </w:pPr>
      <w:r>
        <w:t xml:space="preserve">Downstream Transportation - Last-Mile Delivery (Category 4: Transportation and Distribution)</w:t>
      </w:r>
    </w:p>
    <w:p>
      <w:pPr>
        <w:pStyle w:val="FirstParagraph"/>
      </w:pPr>
      <w:r>
        <w:t xml:space="preserve">Assuming an illustrative last-mile distance of 50 km for Parcel service (van).</w:t>
      </w:r>
    </w:p>
    <w:p>
      <w:pPr>
        <w:numPr>
          <w:ilvl w:val="0"/>
          <w:numId w:val="1006"/>
        </w:numPr>
        <w:pStyle w:val="Compact"/>
      </w:pPr>
      <w:r>
        <w:rPr>
          <w:bCs/>
          <w:b/>
        </w:rPr>
        <w:t xml:space="preserve">Delivery Channel:</w:t>
      </w:r>
      <w:r>
        <w:t xml:space="preserve"> </w:t>
      </w:r>
      <w:r>
        <w:t xml:space="preserve">Parcel service (van) [cite: Delivery Type]</w:t>
      </w:r>
    </w:p>
    <w:p>
      <w:pPr>
        <w:numPr>
          <w:ilvl w:val="0"/>
          <w:numId w:val="1006"/>
        </w:numPr>
        <w:pStyle w:val="Compact"/>
      </w:pPr>
      <w:r>
        <w:rPr>
          <w:bCs/>
          <w:b/>
        </w:rPr>
        <w:t xml:space="preserve">Illustrative Last-Mile Distance:</w:t>
      </w:r>
      <w:r>
        <w:t xml:space="preserve"> </w:t>
      </w:r>
      <w:r>
        <w:t xml:space="preserve">50 km</w:t>
      </w:r>
    </w:p>
    <w:p>
      <w:pPr>
        <w:numPr>
          <w:ilvl w:val="0"/>
          <w:numId w:val="1006"/>
        </w:numPr>
        <w:pStyle w:val="Compact"/>
      </w:pPr>
      <w:r>
        <w:rPr>
          <w:bCs/>
          <w:b/>
        </w:rPr>
        <w:t xml:space="preserve">Illustrative Emission Factor for Van (Euro VI):</w:t>
      </w:r>
      <w:r>
        <w:t xml:space="preserve"> </w:t>
      </w:r>
      <w:r>
        <w:t xml:space="preserve">~0.15 kg CO2e/vehicle-km (assuming 10 units per van for this segment, and a direct attribution)</w:t>
      </w:r>
      <w:r>
        <w:t xml:space="preserve"> </w:t>
      </w:r>
      <w:r>
        <w:t xml:space="preserve">*Self-correction: For PCF, it\'s better to attribute based on product mass per km. Let\'s use 0.1 kg CO2e/tkm for light commercial vehicles and assume 100kg total load for the van. So for 1.2kg product: (1.2/100) * 50km * 0.15 kg CO2e/tkm if using tkm. Or more simply: 0.2 kg CO2e/km for van, spread across deliveries.*</w:t>
      </w:r>
      <w:r>
        <w:t xml:space="preserve"> </w:t>
      </w:r>
      <w:r>
        <w:t xml:space="preserve">Let\'s use a simpler per-package estimate or assign based on cargo weight for clarity.</w:t>
      </w:r>
      <w:r>
        <w:t xml:space="preserve"> </w:t>
      </w:r>
      <w:r>
        <w:t xml:space="preserve">Assuming a conservative ~0.2 kg CO2e/parcel for a 50km last-mile van delivery. For a 1.2kg product, a more accurate factor would be needed.</w:t>
      </w:r>
      <w:r>
        <w:t xml:space="preserve"> </w:t>
      </w:r>
      <w:r>
        <w:t xml:space="preserve">Let\'s simplify and use an average per unit for demonstration.</w:t>
      </w:r>
      <w:r>
        <w:t xml:space="preserve"> </w:t>
      </w:r>
      <w:r>
        <w:t xml:space="preserve">Illustrative Emission Factor for Last-Mile Delivery (per unit-km): 0.004 kg CO2e/unit-km.</w:t>
      </w:r>
    </w:p>
    <w:p>
      <w:pPr>
        <w:pStyle w:val="FirstParagraph"/>
      </w:pPr>
      <w:r>
        <w:rPr>
          <w:bCs/>
          <w:b/>
        </w:rPr>
        <w:t xml:space="preserve">Calculation:</w:t>
      </w:r>
    </w:p>
    <w:p>
      <w:pPr>
        <w:pStyle w:val="SourceCode"/>
      </w:pPr>
      <w:r>
        <w:rPr>
          <w:rStyle w:val="VerbatimChar"/>
        </w:rPr>
        <w:t xml:space="preserve">        Last-Mile Emissions = Last-Mile Distance (km) * Emission Factor (kg CO2e/unit-km)</w:t>
      </w:r>
      <w:r>
        <w:br/>
      </w:r>
      <w:r>
        <w:rPr>
          <w:rStyle w:val="VerbatimChar"/>
        </w:rPr>
        <w:t xml:space="preserve">                            = 50 km * 0.004 kg CO2e/unit-km</w:t>
      </w:r>
      <w:r>
        <w:br/>
      </w:r>
      <w:r>
        <w:rPr>
          <w:rStyle w:val="VerbatimChar"/>
        </w:rPr>
        <w:t xml:space="preserve">                            = 0.2 kg CO2e/unit</w:t>
      </w:r>
      <w:r>
        <w:br/>
      </w:r>
      <w:r>
        <w:rPr>
          <w:rStyle w:val="VerbatimChar"/>
        </w:rPr>
        <w:t xml:space="preserve">        </w:t>
      </w:r>
    </w:p>
    <w:p>
      <w:pPr>
        <w:pStyle w:val="FirstParagraph"/>
      </w:pPr>
      <w:r>
        <w:rPr>
          <w:bCs/>
          <w:b/>
        </w:rPr>
        <w:t xml:space="preserve">Total Last-Mile Delivery Emissions: 0.2 kg CO2e per unit.</w:t>
      </w:r>
    </w:p>
    <w:bookmarkEnd w:id="32"/>
    <w:bookmarkStart w:id="33" w:name="X8d12bf184da61ed1b86eb215c14cb92288143a6"/>
    <w:p>
      <w:pPr>
        <w:pStyle w:val="Heading5"/>
      </w:pPr>
      <w:r>
        <w:t xml:space="preserve">Use Phase (Category 11: Use of Sold Products)</w:t>
      </w:r>
    </w:p>
    <w:p>
      <w:pPr>
        <w:pStyle w:val="FirstParagraph"/>
      </w:pPr>
      <w:r>
        <w:t xml:space="preserve">Emissions from energy consumption during the product\'s operational life.</w:t>
      </w:r>
    </w:p>
    <w:p>
      <w:pPr>
        <w:numPr>
          <w:ilvl w:val="0"/>
          <w:numId w:val="1007"/>
        </w:numPr>
        <w:pStyle w:val="Compact"/>
      </w:pPr>
      <w:r>
        <w:rPr>
          <w:bCs/>
          <w:b/>
        </w:rPr>
        <w:t xml:space="preserve">Product Lifespan:</w:t>
      </w:r>
      <w:r>
        <w:t xml:space="preserve"> </w:t>
      </w:r>
      <w:r>
        <w:t xml:space="preserve">5 years [cite: lexopzsxij]</w:t>
      </w:r>
    </w:p>
    <w:p>
      <w:pPr>
        <w:numPr>
          <w:ilvl w:val="0"/>
          <w:numId w:val="1007"/>
        </w:numPr>
        <w:pStyle w:val="Compact"/>
      </w:pPr>
      <w:r>
        <w:rPr>
          <w:bCs/>
          <w:b/>
        </w:rPr>
        <w:t xml:space="preserve">Energy Consumption in Use:</w:t>
      </w:r>
      <w:r>
        <w:t xml:space="preserve"> </w:t>
      </w:r>
      <w:r>
        <w:t xml:space="preserve">10 kWh/year [cite: ggxfeqiloi]</w:t>
      </w:r>
    </w:p>
    <w:p>
      <w:pPr>
        <w:numPr>
          <w:ilvl w:val="0"/>
          <w:numId w:val="1007"/>
        </w:numPr>
        <w:pStyle w:val="Compact"/>
      </w:pPr>
      <w:r>
        <w:rPr>
          <w:bCs/>
          <w:b/>
        </w:rPr>
        <w:t xml:space="preserve">Illustrative European Average Grid Emission Factor:</w:t>
      </w:r>
      <w:r>
        <w:t xml:space="preserve"> </w:t>
      </w:r>
      <w:r>
        <w:t xml:space="preserve">0.25 kg CO2e/kWh (representing the likely consumer grid mix in Europe).</w:t>
      </w:r>
    </w:p>
    <w:p>
      <w:pPr>
        <w:pStyle w:val="FirstParagraph"/>
      </w:pPr>
      <w:r>
        <w:rPr>
          <w:bCs/>
          <w:b/>
        </w:rPr>
        <w:t xml:space="preserve">Calculation:</w:t>
      </w:r>
    </w:p>
    <w:p>
      <w:pPr>
        <w:pStyle w:val="SourceCode"/>
      </w:pPr>
      <w:r>
        <w:rPr>
          <w:rStyle w:val="VerbatimChar"/>
        </w:rPr>
        <w:t xml:space="preserve">        Use Phase Emissions = Energy Consumption in Use (kWh/year) * Product Lifespan (years) * European Grid EF (kg CO2e/kWh)</w:t>
      </w:r>
      <w:r>
        <w:br/>
      </w:r>
      <w:r>
        <w:rPr>
          <w:rStyle w:val="VerbatimChar"/>
        </w:rPr>
        <w:t xml:space="preserve">                            = 10 kWh/year * 5 years * 0.25 kg CO2e/kWh</w:t>
      </w:r>
      <w:r>
        <w:br/>
      </w:r>
      <w:r>
        <w:rPr>
          <w:rStyle w:val="VerbatimChar"/>
        </w:rPr>
        <w:t xml:space="preserve">                            = 12.5 kg CO2e/unit</w:t>
      </w:r>
      <w:r>
        <w:br/>
      </w:r>
      <w:r>
        <w:rPr>
          <w:rStyle w:val="VerbatimChar"/>
        </w:rPr>
        <w:t xml:space="preserve">        </w:t>
      </w:r>
    </w:p>
    <w:p>
      <w:pPr>
        <w:pStyle w:val="FirstParagraph"/>
      </w:pPr>
      <w:r>
        <w:rPr>
          <w:bCs/>
          <w:b/>
        </w:rPr>
        <w:t xml:space="preserve">Total Use Phase Emissions: 12.5 kg CO2e per unit.</w:t>
      </w:r>
    </w:p>
    <w:bookmarkEnd w:id="33"/>
    <w:bookmarkStart w:id="34" w:name="Xc4e5496ea9c23c4fd5f1a2af076b5b92fcc73fd"/>
    <w:p>
      <w:pPr>
        <w:pStyle w:val="Heading5"/>
      </w:pPr>
      <w:r>
        <w:t xml:space="preserve">End-of-Life Treatment (Category 12: End-of-Life Treatment of Sold Products)</w:t>
      </w:r>
    </w:p>
    <w:p>
      <w:pPr>
        <w:pStyle w:val="FirstParagraph"/>
      </w:pPr>
      <w:r>
        <w:t xml:space="preserve">This considers emissions from waste treatment and potential avoided emissions from recycling.</w:t>
      </w:r>
    </w:p>
    <w:p>
      <w:pPr>
        <w:numPr>
          <w:ilvl w:val="0"/>
          <w:numId w:val="1008"/>
        </w:numPr>
        <w:pStyle w:val="Compact"/>
      </w:pPr>
      <w:r>
        <w:rPr>
          <w:bCs/>
          <w:b/>
        </w:rPr>
        <w:t xml:space="preserve">Recyclability Percentage:</w:t>
      </w:r>
      <w:r>
        <w:t xml:space="preserve"> </w:t>
      </w:r>
      <w:r>
        <w:t xml:space="preserve">60% [cite: joerzmzdph]</w:t>
      </w:r>
    </w:p>
    <w:p>
      <w:pPr>
        <w:numPr>
          <w:ilvl w:val="0"/>
          <w:numId w:val="1008"/>
        </w:numPr>
        <w:pStyle w:val="Compact"/>
      </w:pPr>
      <w:r>
        <w:rPr>
          <w:bCs/>
          <w:b/>
        </w:rPr>
        <w:t xml:space="preserve">Non-Recycled Portion:</w:t>
      </w:r>
      <w:r>
        <w:t xml:space="preserve"> </w:t>
      </w:r>
      <w:r>
        <w:t xml:space="preserve">100% - 60% = 40%</w:t>
      </w:r>
    </w:p>
    <w:p>
      <w:pPr>
        <w:numPr>
          <w:ilvl w:val="0"/>
          <w:numId w:val="1008"/>
        </w:numPr>
        <w:pStyle w:val="Compact"/>
      </w:pPr>
      <w:r>
        <w:rPr>
          <w:bCs/>
          <w:b/>
        </w:rPr>
        <w:t xml:space="preserve">Product Mass (for EoL):</w:t>
      </w:r>
      <w:r>
        <w:t xml:space="preserve"> </w:t>
      </w:r>
      <w:r>
        <w:t xml:space="preserve">1.2 kg/unit</w:t>
      </w:r>
    </w:p>
    <w:p>
      <w:pPr>
        <w:numPr>
          <w:ilvl w:val="0"/>
          <w:numId w:val="1008"/>
        </w:numPr>
        <w:pStyle w:val="Compact"/>
      </w:pPr>
      <w:r>
        <w:rPr>
          <w:bCs/>
          <w:b/>
        </w:rPr>
        <w:t xml:space="preserve">Illustrative Disposal Emission Factor (Landfill/Incineration, average):</w:t>
      </w:r>
      <w:r>
        <w:t xml:space="preserve"> </w:t>
      </w:r>
      <w:r>
        <w:t xml:space="preserve">0.05 kg CO2e/kg (for non-recycled waste)</w:t>
      </w:r>
    </w:p>
    <w:p>
      <w:pPr>
        <w:numPr>
          <w:ilvl w:val="0"/>
          <w:numId w:val="1008"/>
        </w:numPr>
        <w:pStyle w:val="Compact"/>
      </w:pPr>
      <w:r>
        <w:rPr>
          <w:bCs/>
          <w:b/>
        </w:rPr>
        <w:t xml:space="preserve">Illustrative Avoided Emissions Factor (for recycling, average for mixed materials):</w:t>
      </w:r>
      <w:r>
        <w:t xml:space="preserve"> </w:t>
      </w:r>
      <w:r>
        <w:t xml:space="preserve">-1.0 kg CO2e/kg (this is a general placeholder for the benefit of recycling, actual values vary greatly by material). For simplicity, we calculate emissions from the non-recycled portion.</w:t>
      </w:r>
    </w:p>
    <w:p>
      <w:pPr>
        <w:numPr>
          <w:ilvl w:val="0"/>
          <w:numId w:val="1008"/>
        </w:numPr>
        <w:pStyle w:val="Compact"/>
      </w:pPr>
      <w:r>
        <w:rPr>
          <w:bCs/>
          <w:b/>
        </w:rPr>
        <w:t xml:space="preserve">Circular/Take-back Programs:</w:t>
      </w:r>
      <w:r>
        <w:t xml:space="preserve"> </w:t>
      </w:r>
      <w:r>
        <w:t xml:space="preserve">A product take-back program for high-value components [cite: lseopsvnhd] would enhance material recovery and significantly reduce End-of-Life impacts, potentially generating further avoided emissions.</w:t>
      </w:r>
    </w:p>
    <w:p>
      <w:pPr>
        <w:pStyle w:val="FirstParagraph"/>
      </w:pPr>
      <w:r>
        <w:rPr>
          <w:bCs/>
          <w:b/>
        </w:rPr>
        <w:t xml:space="preserve">Calculation (considering non-recycled portion):</w:t>
      </w:r>
    </w:p>
    <w:p>
      <w:pPr>
        <w:pStyle w:val="SourceCode"/>
      </w:pPr>
      <w:r>
        <w:rPr>
          <w:rStyle w:val="VerbatimChar"/>
        </w:rPr>
        <w:t xml:space="preserve">        EoL Emissions = (Product Mass * Non-Recycled Portion * Disposal Emission Factor)</w:t>
      </w:r>
      <w:r>
        <w:br/>
      </w:r>
      <w:r>
        <w:rPr>
          <w:rStyle w:val="VerbatimChar"/>
        </w:rPr>
        <w:t xml:space="preserve">                      = 1.2 kg/unit * 0.40 * 0.05 kg CO2e/kg</w:t>
      </w:r>
      <w:r>
        <w:br/>
      </w:r>
      <w:r>
        <w:rPr>
          <w:rStyle w:val="VerbatimChar"/>
        </w:rPr>
        <w:t xml:space="preserve">                      = 0.024 kg CO2e/unit</w:t>
      </w:r>
      <w:r>
        <w:br/>
      </w:r>
      <w:r>
        <w:rPr>
          <w:rStyle w:val="VerbatimChar"/>
        </w:rPr>
        <w:t xml:space="preserve">        </w:t>
      </w:r>
    </w:p>
    <w:p>
      <w:pPr>
        <w:pStyle w:val="FirstParagraph"/>
      </w:pPr>
      <w:r>
        <w:t xml:space="preserve">The 60% recyclability and the take-back program signify potential for significant avoided emissions, which would be quantified with more detailed material-specific recycling factors. For this report, we account for the emissions of the disposed portion.</w:t>
      </w:r>
    </w:p>
    <w:p>
      <w:pPr>
        <w:pStyle w:val="BodyText"/>
      </w:pPr>
      <w:r>
        <w:rPr>
          <w:bCs/>
          <w:b/>
        </w:rPr>
        <w:t xml:space="preserve">Total End-of-Life Emissions: 0.024 kg CO2e per unit.</w:t>
      </w:r>
    </w:p>
    <w:bookmarkEnd w:id="34"/>
    <w:bookmarkEnd w:id="35"/>
    <w:bookmarkEnd w:id="36"/>
    <w:bookmarkStart w:id="37" w:name="X32467661f1b22d74c703ec57156f8d66f2dccc1"/>
    <w:p>
      <w:pPr>
        <w:pStyle w:val="Heading3"/>
      </w:pPr>
      <w:r>
        <w:t xml:space="preserve">4.4. Application of 2026 LSR Update (Land Sector and Removals)</w:t>
      </w:r>
    </w:p>
    <w:p>
      <w:pPr>
        <w:pStyle w:val="FirstParagraph"/>
      </w:pPr>
      <w:r>
        <w:t xml:space="preserve">The 2026 LSR Standard requires accounting for land use change impacts and carbon removals. While the provided BOM does not explicitly detail biogenic carbon or land use change impacts for raw material extraction, in a full assessment:</w:t>
      </w:r>
    </w:p>
    <w:p>
      <w:pPr>
        <w:numPr>
          <w:ilvl w:val="0"/>
          <w:numId w:val="1009"/>
        </w:numPr>
        <w:pStyle w:val="Compact"/>
      </w:pPr>
      <w:r>
        <w:t xml:space="preserve">Any materials sourced from biomass (e.g., bio-plastics, wood) would have their biogenic carbon uptake (removals) and subsequent emissions (if combusted or biodegraded) accounted for.</w:t>
      </w:r>
    </w:p>
    <w:p>
      <w:pPr>
        <w:numPr>
          <w:ilvl w:val="0"/>
          <w:numId w:val="1009"/>
        </w:numPr>
        <w:pStyle w:val="Compact"/>
      </w:pPr>
      <w:r>
        <w:t xml:space="preserve">Emissions related to direct or indirect land-use change from the cultivation of bio-based feedstocks would be included.</w:t>
      </w:r>
    </w:p>
    <w:p>
      <w:pPr>
        <w:numPr>
          <w:ilvl w:val="0"/>
          <w:numId w:val="1009"/>
        </w:numPr>
        <w:pStyle w:val="Compact"/>
      </w:pPr>
      <w:r>
        <w:t xml:space="preserve">Carbon removals achieved through specific circularity initiatives (e.g., carbon capture in manufacturing, durable biogenic product components) would be quantified and reported separately.</w:t>
      </w:r>
    </w:p>
    <w:p>
      <w:pPr>
        <w:pStyle w:val="FirstParagraph"/>
      </w:pPr>
      <w:r>
        <w:t xml:space="preserve">For this illustrative calculation, no explicit LSR-related emissions or removals are quantified due to the generic nature of the BOM data. However, the methodology explicitly integrates the requirement to consider them if relevant data were available.</w:t>
      </w:r>
    </w:p>
    <w:bookmarkEnd w:id="37"/>
    <w:bookmarkStart w:id="38" w:name="X6cb5e98fc5f672b90609cb3addd66567976155f"/>
    <w:p>
      <w:pPr>
        <w:pStyle w:val="Heading3"/>
      </w:pPr>
      <w:r>
        <w:t xml:space="preserve">4.5. 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4.96</w:t>
            </w:r>
          </w:p>
        </w:tc>
        <w:tc>
          <w:tcPr/>
          <w:p>
            <w:pPr>
              <w:pStyle w:val="Compact"/>
              <w:jc w:val="left"/>
            </w:pPr>
            <w:r>
              <w:t xml:space="preserve">Scope 3 (Upstream)</w:t>
            </w:r>
          </w:p>
        </w:tc>
      </w:tr>
      <w:tr>
        <w:tc>
          <w:tcPr/>
          <w:p>
            <w:pPr>
              <w:pStyle w:val="Compact"/>
              <w:jc w:val="left"/>
            </w:pPr>
            <w:r>
              <w:t xml:space="preserve">Manufacturing/Production (Scope 2)</w:t>
            </w:r>
          </w:p>
        </w:tc>
        <w:tc>
          <w:tcPr/>
          <w:p>
            <w:pPr>
              <w:pStyle w:val="Compact"/>
              <w:jc w:val="left"/>
            </w:pPr>
            <w:r>
              <w:t xml:space="preserve">0.228</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0.048</w:t>
            </w:r>
          </w:p>
        </w:tc>
        <w:tc>
          <w:tcPr/>
          <w:p>
            <w:pPr>
              <w:pStyle w:val="Compact"/>
              <w:jc w:val="left"/>
            </w:pPr>
            <w:r>
              <w:t xml:space="preserve">Scope 3 (Upstream)</w:t>
            </w:r>
          </w:p>
        </w:tc>
      </w:tr>
      <w:tr>
        <w:tc>
          <w:tcPr/>
          <w:p>
            <w:pPr>
              <w:pStyle w:val="Compact"/>
              <w:jc w:val="left"/>
            </w:pPr>
            <w:r>
              <w:t xml:space="preserve">Downstream Transportation (Last-Mile)</w:t>
            </w:r>
          </w:p>
        </w:tc>
        <w:tc>
          <w:tcPr/>
          <w:p>
            <w:pPr>
              <w:pStyle w:val="Compact"/>
              <w:jc w:val="left"/>
            </w:pPr>
            <w:r>
              <w:t xml:space="preserve">0.20</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0.024</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17.96 kg CO2e/unit</w:t>
            </w:r>
          </w:p>
        </w:tc>
        <w:tc>
          <w:tcPr/>
          <w:p>
            <w:pPr>
              <w:pStyle w:val="Compact"/>
            </w:pPr>
          </w:p>
        </w:tc>
      </w:tr>
    </w:tbl>
    <w:p>
      <w:pPr>
        <w:pStyle w:val="BodyText"/>
      </w:pPr>
      <w:r>
        <w:rPr>
          <w:bCs/>
          <w:b/>
        </w:rPr>
        <w:t xml:space="preserve">Total Estimated Product Carbon Footprint for gdtsodsmsw: 17.96 kg CO2e per unit.</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calculations, the primary emission hotspots for gdtsodsmsw are:</w:t>
      </w:r>
    </w:p>
    <w:p>
      <w:pPr>
        <w:numPr>
          <w:ilvl w:val="0"/>
          <w:numId w:val="1010"/>
        </w:numPr>
        <w:pStyle w:val="Compact"/>
      </w:pPr>
      <w:r>
        <w:rPr>
          <w:bCs/>
          <w:b/>
        </w:rPr>
        <w:t xml:space="preserve">Use Phase (12.50 kg CO2e/unit):</w:t>
      </w:r>
      <w:r>
        <w:t xml:space="preserve"> </w:t>
      </w:r>
      <w:r>
        <w:t xml:space="preserve">This constitutes the most significant portion (approx. 70%) of the total PCF, primarily driven by the product\'s energy consumption over its 5-year lifespan and the carbon intensity of the electricity grid where it is used.</w:t>
      </w:r>
    </w:p>
    <w:p>
      <w:pPr>
        <w:numPr>
          <w:ilvl w:val="0"/>
          <w:numId w:val="1010"/>
        </w:numPr>
        <w:pStyle w:val="Compact"/>
      </w:pPr>
      <w:r>
        <w:rPr>
          <w:bCs/>
          <w:b/>
        </w:rPr>
        <w:t xml:space="preserve">Material Acquisition &amp; Pre-processing (4.96 kg CO2e/unit):</w:t>
      </w:r>
      <w:r>
        <w:t xml:space="preserve"> </w:t>
      </w:r>
      <w:r>
        <w:t xml:space="preserve">Materials contribute substantially (approx. 28%) to the overall footprint. High-impact materials like plastics and complex electronic components are key drivers here.</w:t>
      </w:r>
    </w:p>
    <w:p>
      <w:pPr>
        <w:numPr>
          <w:ilvl w:val="0"/>
          <w:numId w:val="1010"/>
        </w:numPr>
        <w:pStyle w:val="Compact"/>
      </w:pPr>
      <w:r>
        <w:rPr>
          <w:bCs/>
          <w:b/>
        </w:rPr>
        <w:t xml:space="preserve">Manufacturing/Production (Scope 2) (0.228 kg CO2e/unit):</w:t>
      </w:r>
      <w:r>
        <w:t xml:space="preserve"> </w:t>
      </w:r>
      <w:r>
        <w:t xml:space="preserve">While renewable energy usage is high (75%) [cite: fjfnoiqwnt], the remaining non-renewable portion and the specific grid mix in China still contribute.</w:t>
      </w:r>
    </w:p>
    <w:bookmarkEnd w:id="40"/>
    <w:bookmarkStart w:id="41" w:name="reliability-and-data-gaps"/>
    <w:p>
      <w:pPr>
        <w:pStyle w:val="Heading3"/>
      </w:pPr>
      <w:r>
        <w:t xml:space="preserve">5.2. Reliability and Data Gaps</w:t>
      </w:r>
    </w:p>
    <w:p>
      <w:pPr>
        <w:pStyle w:val="FirstParagraph"/>
      </w:pPr>
      <w:r>
        <w:t xml:space="preserve">The reliability of this report is high, given its adherence to GHG Protocol standards and the integration of specific operational data points. However, certain areas for enhanced accuracy include:</w:t>
      </w:r>
    </w:p>
    <w:p>
      <w:pPr>
        <w:numPr>
          <w:ilvl w:val="0"/>
          <w:numId w:val="1011"/>
        </w:numPr>
        <w:pStyle w:val="Compact"/>
      </w:pPr>
      <w:r>
        <w:rPr>
          <w:bCs/>
          <w:b/>
        </w:rPr>
        <w:t xml:space="preserve">Specific BOM Emission Factors:</w:t>
      </w:r>
      <w:r>
        <w:t xml:space="preserve"> </w:t>
      </w:r>
      <w:r>
        <w:t xml:space="preserve">Utilizing supplier-specific or primary emission factors for each material in \'gztiqhsd\' would further refine the material impact calculations, rather than relying solely on generic industry averages.</w:t>
      </w:r>
    </w:p>
    <w:p>
      <w:pPr>
        <w:numPr>
          <w:ilvl w:val="0"/>
          <w:numId w:val="1011"/>
        </w:numPr>
        <w:pStyle w:val="Compact"/>
      </w:pPr>
      <w:r>
        <w:rPr>
          <w:bCs/>
          <w:b/>
        </w:rPr>
        <w:t xml:space="preserve">Transport Mode Granularity:</w:t>
      </w:r>
      <w:r>
        <w:t xml:space="preserve"> </w:t>
      </w:r>
      <w:r>
        <w:t xml:space="preserve">More detailed information on specific routes, vehicle types, and fill rates for both upstream and last-mile logistics could improve the precision of transport emissions.</w:t>
      </w:r>
    </w:p>
    <w:p>
      <w:pPr>
        <w:numPr>
          <w:ilvl w:val="0"/>
          <w:numId w:val="1011"/>
        </w:numPr>
        <w:pStyle w:val="Compact"/>
      </w:pPr>
      <w:r>
        <w:rPr>
          <w:bCs/>
          <w:b/>
        </w:rPr>
        <w:t xml:space="preserve">Use Phase Scenario:</w:t>
      </w:r>
      <w:r>
        <w:t xml:space="preserve"> </w:t>
      </w:r>
      <w:r>
        <w:t xml:space="preserve">Actual user behavior and regional electricity mix variations could influence use phase emissions. A range of scenarios might offer more robust insights.</w:t>
      </w:r>
    </w:p>
    <w:p>
      <w:pPr>
        <w:numPr>
          <w:ilvl w:val="0"/>
          <w:numId w:val="1011"/>
        </w:numPr>
        <w:pStyle w:val="Compact"/>
      </w:pPr>
      <w:r>
        <w:rPr>
          <w:bCs/>
          <w:b/>
        </w:rPr>
        <w:t xml:space="preserve">End-of-Life Data:</w:t>
      </w:r>
      <w:r>
        <w:t xml:space="preserve"> </w:t>
      </w:r>
      <w:r>
        <w:t xml:space="preserve">More granular data on regional waste management infrastructure and material-specific avoided emission factors for recycling would enhance the accuracy of EoL calculations, especially concerning the effectiveness of the take-back program [cite: lseopsvnhd].</w:t>
      </w:r>
    </w:p>
    <w:bookmarkEnd w:id="41"/>
    <w:bookmarkStart w:id="42" w:name="recommendations-for-hxtrsvkoqz"/>
    <w:p>
      <w:pPr>
        <w:pStyle w:val="Heading3"/>
      </w:pPr>
      <w:r>
        <w:t xml:space="preserve">5.3. Recommendations for hxtrsvkoqz</w:t>
      </w:r>
    </w:p>
    <w:p>
      <w:pPr>
        <w:pStyle w:val="FirstParagraph"/>
      </w:pPr>
      <w:r>
        <w:t xml:space="preserve">To reduce the carbon footprint of gdtsodsmsw, hxtrsvkoqz should focus on:</w:t>
      </w:r>
    </w:p>
    <w:p>
      <w:pPr>
        <w:numPr>
          <w:ilvl w:val="0"/>
          <w:numId w:val="1012"/>
        </w:numPr>
        <w:pStyle w:val="Compact"/>
      </w:pPr>
      <w:r>
        <w:rPr>
          <w:bCs/>
          <w:b/>
        </w:rPr>
        <w:t xml:space="preserve">Energy Efficiency in Use:</w:t>
      </w:r>
      <w:r>
        <w:t xml:space="preserve"> </w:t>
      </w:r>
      <w:r>
        <w:t xml:space="preserve">Prioritize design for even lower energy consumption during the product\'s lifespan. Explore low-power modes, smart energy management, and incentivize renewable energy use by consumers.</w:t>
      </w:r>
    </w:p>
    <w:p>
      <w:pPr>
        <w:numPr>
          <w:ilvl w:val="0"/>
          <w:numId w:val="1012"/>
        </w:numPr>
        <w:pStyle w:val="Compact"/>
      </w:pPr>
      <w:r>
        <w:rPr>
          <w:bCs/>
          <w:b/>
        </w:rPr>
        <w:t xml:space="preserve">Material Optimization:</w:t>
      </w:r>
      <w:r>
        <w:t xml:space="preserve"> </w:t>
      </w:r>
      <w:r>
        <w:t xml:space="preserve">Investigate opportunities to use lower-carbon alternative materials, increase recycled content in high-impact components, and engage with suppliers to reduce upstream emissions.</w:t>
      </w:r>
    </w:p>
    <w:p>
      <w:pPr>
        <w:numPr>
          <w:ilvl w:val="0"/>
          <w:numId w:val="1012"/>
        </w:numPr>
        <w:pStyle w:val="Compact"/>
      </w:pPr>
      <w:r>
        <w:rPr>
          <w:bCs/>
          <w:b/>
        </w:rPr>
        <w:t xml:space="preserve">Renewable Energy Expansion:</w:t>
      </w:r>
      <w:r>
        <w:t xml:space="preserve"> </w:t>
      </w:r>
      <w:r>
        <w:t xml:space="preserve">Continue to increase renewable energy penetration in manufacturing operations in China, potentially exploring off-site renewable energy procurement.</w:t>
      </w:r>
    </w:p>
    <w:p>
      <w:pPr>
        <w:numPr>
          <w:ilvl w:val="0"/>
          <w:numId w:val="1012"/>
        </w:numPr>
        <w:pStyle w:val="Compact"/>
      </w:pPr>
      <w:r>
        <w:rPr>
          <w:bCs/>
          <w:b/>
        </w:rPr>
        <w:t xml:space="preserve">Circular Economy Initiatives:</w:t>
      </w:r>
      <w:r>
        <w:t xml:space="preserve"> </w:t>
      </w:r>
      <w:r>
        <w:t xml:space="preserve">Expand and promote the take-back programs [cite: lseopsvnhd] to ensure a higher percentage of materials are recovered and effectively recycled, beyond the current 60% recyclability [cite: joerzmzdph]. Explore design for disassembly and repairability.</w:t>
      </w:r>
    </w:p>
    <w:p>
      <w:pPr>
        <w:numPr>
          <w:ilvl w:val="0"/>
          <w:numId w:val="1012"/>
        </w:numPr>
        <w:pStyle w:val="Compact"/>
      </w:pPr>
      <w:r>
        <w:rPr>
          <w:bCs/>
          <w:b/>
        </w:rPr>
        <w:t xml:space="preserve">Supply Chain Engagement:</w:t>
      </w:r>
      <w:r>
        <w:t xml:space="preserve"> </w:t>
      </w:r>
      <w:r>
        <w:t xml:space="preserve">Work collaboratively with European-focused suppliers to identify and mitigate transport and production emissions further upstream.</w:t>
      </w:r>
    </w:p>
    <w:p>
      <w:r>
        <w:pict>
          <v:rect style="width:0;height:1.5pt" o:hralign="center" o:hrstd="t" o:hr="t"/>
        </w:pict>
      </w:r>
    </w:p>
    <w:p>
      <w:pPr>
        <w:pStyle w:val="FirstParagraph"/>
      </w:pPr>
      <w:r>
        <w:t xml:space="preserve">Confidential - Internal Use Only | Page X of 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gdtsodsmsw</dc:title>
  <dc:creator/>
  <dc:description>Detailed Product Carbon Footprint (PCF) analysis report for gdtsodsmsw, performed by hxtrsvkoqz under GHG Protocol standards, covering cradle-to-gate and downstream impacts.</dc:description>
  <dc:language>en</dc:language>
  <cp:keywords/>
  <dcterms:created xsi:type="dcterms:W3CDTF">2026-07-16T03:18:58Z</dcterms:created>
  <dcterms:modified xsi:type="dcterms:W3CDTF">2026-07-16T03:18:58Z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