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gdlfsqskwx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gdlfsqskwx</w:t>
      </w:r>
    </w:p>
    <w:p>
      <w:pPr>
        <w:pStyle w:val="BodyText"/>
      </w:pPr>
      <w:r>
        <w:rPr>
          <w:bCs/>
          <w:b/>
        </w:rPr>
        <w:t xml:space="preserve">Company Name:</w:t>
      </w:r>
      <w:r>
        <w:t xml:space="preserve"> </w:t>
      </w:r>
      <w:r>
        <w:t xml:space="preserve">lvnzofqujp</w:t>
      </w:r>
    </w:p>
    <w:p>
      <w:pPr>
        <w:pStyle w:val="BodyText"/>
      </w:pPr>
      <w:r>
        <w:rPr>
          <w:bCs/>
          <w:b/>
        </w:rPr>
        <w:t xml:space="preserve">Senior Sustainability Consultant:</w:t>
      </w:r>
      <w:r>
        <w:t xml:space="preserve"> </w:t>
      </w:r>
      <w:r>
        <w:t xml:space="preserve">zpwtuqvnhh</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reasonable assumptions for placeholder values. While every effort has been made to ensure accuracy and detail, specific primary data not provided for placeholder parameters may influence the final calculations. This analysis should be used for informational and strategic planning purposes.</w:t>
      </w:r>
    </w:p>
    <w:bookmarkEnd w:id="20"/>
    <w:bookmarkStart w:id="21" w:name="X2f84ca84918e9b164a03013609e2bf6641a3e4f"/>
    <w:p>
      <w:pPr>
        <w:pStyle w:val="Heading1"/>
      </w:pPr>
      <w:r>
        <w:t xml:space="preserve">Product Carbon Footprint Analysis Report: gdlfsqskwx</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 gdlfsqskwx, manufactured by lvnzofqujp. The analysis was conducted by Senior Sustainability Consultant zpwtuqvnhh, adhering strictly to the Greenhouse Gas (GHG) Protocol standards and incorporating the latest 2026 Land Sector and Removals (LSR) update. The primary objective is to quantify the total greenhouse gas emissions across the product\'s entire lifecycle, from raw material extraction to end-of-life, identify key emission hotspots, and inform strategic decisions for emission reduction.</w:t>
      </w:r>
    </w:p>
    <w:p>
      <w:pPr>
        <w:pStyle w:val="BodyText"/>
      </w:pPr>
      <w:r>
        <w:t xml:space="preserve">The total cradle-to-grave carbon footprint for one functional unit of gdlfsqskwx is calculated to be approximately</w:t>
      </w:r>
      <w:r>
        <w:t xml:space="preserve"> </w:t>
      </w:r>
      <w:r>
        <w:rPr>
          <w:bCs/>
          <w:b/>
        </w:rPr>
        <w:t xml:space="preserve">22.91 kg CO2e</w:t>
      </w:r>
      <w:r>
        <w:t xml:space="preserve">. The most significant emission contributions arise from the materials acquisition and processing phase (Scope 3), followed by the use phase (Scope 3), and purchased electricity for manufacturing (Scope 2). End-of-Life scenarios, including a high recyclability percentage and the presence of circular programs, contribute to a net negative emission, offering a notable offset to the overall footprint. This comprehensive analysis will guide lvnzofqujp in prioritizing decarbonization efforts across its value chain.</w:t>
      </w:r>
    </w:p>
    <w:bookmarkEnd w:id="22"/>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gdlfsqskwx follows a rigorous five-step methodology in accordance with the GHG Protocol Product Life Cycle Accounting and Reporting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gdlfsqskwx.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A cradle-to-grave approach has been adopted, encompassing all significant lifecycle stages: Raw Material Acquisition, Manufacturing, Transportation &amp; Distribution, Use Phase, and End-of-Life. While the \'factory_gate\' parameter was provided, other parameters explicitly detailing use and EoL phases necessitated a full lifecycle perspective for a comprehensive PCF.</w:t>
      </w:r>
    </w:p>
    <w:p>
      <w:pPr>
        <w:numPr>
          <w:ilvl w:val="0"/>
          <w:numId w:val="1001"/>
        </w:numPr>
        <w:pStyle w:val="Compact"/>
      </w:pPr>
      <w:r>
        <w:rPr>
          <w:bCs/>
          <w:b/>
        </w:rPr>
        <w:t xml:space="preserve">Geographic Scope:</w:t>
      </w:r>
      <w:r>
        <w:t xml:space="preserve"> </w:t>
      </w:r>
      <w:r>
        <w:t xml:space="preserve">Final production occurs in China. The supply chain for raw materials is focused on Europe, with final product distribution to European markets. The use phase emissions assume average European consumer electricity mixes.</w:t>
      </w:r>
    </w:p>
    <w:p>
      <w:pPr>
        <w:numPr>
          <w:ilvl w:val="0"/>
          <w:numId w:val="1001"/>
        </w:numPr>
        <w:pStyle w:val="Compact"/>
      </w:pPr>
      <w:r>
        <w:rPr>
          <w:bCs/>
          <w:b/>
        </w:rPr>
        <w:t xml:space="preserve">Allocation:</w:t>
      </w:r>
      <w:r>
        <w:t xml:space="preserve"> </w:t>
      </w:r>
      <w:r>
        <w:t xml:space="preserve">Where multi-functional processes or co-products are encountered (not explicitly defined for this product), emissions are allocated based on industry-standard approaches, typically mass or economic allocation, to ensure fair distribution of environmental burden.</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Life Cycle Accounting and Reporting Standard</w:t>
      </w:r>
      <w:r>
        <w:t xml:space="preserve">. All emissions are categorized into Scope 1 (direct emissions), Scope 2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acknowledges and seeks to apply the Land Sector and Removals (LSR) Standard for land use and carbon removals. Without specific data on land-intensive material inputs or direct land-use change, carbon removals are primarily accounted for through recycling benefits in the End-of-Life phase.</w:t>
      </w:r>
    </w:p>
    <w:p>
      <w:pPr>
        <w:numPr>
          <w:ilvl w:val="0"/>
          <w:numId w:val="1001"/>
        </w:numPr>
        <w:pStyle w:val="Compact"/>
      </w:pPr>
      <w:r>
        <w:rPr>
          <w:bCs/>
          <w:b/>
        </w:rPr>
        <w:t xml:space="preserve">Scope 3 Compliance:</w:t>
      </w:r>
      <w:r>
        <w:t xml:space="preserve"> </w:t>
      </w:r>
      <w:r>
        <w:t xml:space="preserve">Significant effort has been made to ensure at least 95% coverage for Scope 3 reporting, as per 2026 requirements, by detailing material acquisition, transportation, use phase, and end-of-life processes.</w:t>
      </w:r>
    </w:p>
    <w:bookmarkEnd w:id="23"/>
    <w:bookmarkStart w:id="24" w:name="map-lifecycle-lci-inventory-stages"/>
    <w:p>
      <w:pPr>
        <w:pStyle w:val="Heading3"/>
      </w:pPr>
      <w:r>
        <w:t xml:space="preserve">1.2. Map Lifecycle (LCI Inventory Stages)</w:t>
      </w:r>
    </w:p>
    <w:p>
      <w:pPr>
        <w:pStyle w:val="FirstParagraph"/>
      </w:pPr>
      <w:r>
        <w:t xml:space="preserve">The lifecycle of gdlfsqskwx is mapped into the following stages:</w:t>
      </w:r>
    </w:p>
    <w:p>
      <w:pPr>
        <w:numPr>
          <w:ilvl w:val="0"/>
          <w:numId w:val="1002"/>
        </w:numPr>
        <w:pStyle w:val="Compact"/>
      </w:pPr>
      <w:r>
        <w:rPr>
          <w:bCs/>
          <w:b/>
        </w:rPr>
        <w:t xml:space="preserve">Raw Material Acquisition:</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w:t>
      </w:r>
      <w:r>
        <w:t xml:space="preserve"> </w:t>
      </w:r>
      <w:r>
        <w:t xml:space="preserve">Production processes at the lvnzofqujp facility in China, including energy consumption.</w:t>
      </w:r>
    </w:p>
    <w:p>
      <w:pPr>
        <w:numPr>
          <w:ilvl w:val="0"/>
          <w:numId w:val="1002"/>
        </w:numPr>
        <w:pStyle w:val="Compact"/>
      </w:pPr>
      <w:r>
        <w:rPr>
          <w:bCs/>
          <w:b/>
        </w:rPr>
        <w:t xml:space="preserve">Transportation &amp; Distribution:</w:t>
      </w:r>
      <w:r>
        <w:t xml:space="preserve"> </w:t>
      </w:r>
      <w:r>
        <w:t xml:space="preserve">Inbound logistics of raw materials (Europe to China), outbound logistics of finished products (China to Europe distribution), and last-mile delivery to end-users in Europe.</w:t>
      </w:r>
    </w:p>
    <w:p>
      <w:pPr>
        <w:numPr>
          <w:ilvl w:val="0"/>
          <w:numId w:val="1002"/>
        </w:numPr>
        <w:pStyle w:val="Compact"/>
      </w:pPr>
      <w:r>
        <w:rPr>
          <w:bCs/>
          <w:b/>
        </w:rPr>
        <w:t xml:space="preserve">Use Phase:</w:t>
      </w:r>
      <w:r>
        <w:t xml:space="preserve"> </w:t>
      </w:r>
      <w:r>
        <w:t xml:space="preserve">Energy consumption by the product during its lifespan, based on user behavior and product durability.</w:t>
      </w:r>
    </w:p>
    <w:p>
      <w:pPr>
        <w:numPr>
          <w:ilvl w:val="0"/>
          <w:numId w:val="1002"/>
        </w:numPr>
        <w:pStyle w:val="Compact"/>
      </w:pPr>
      <w:r>
        <w:rPr>
          <w:bCs/>
          <w:b/>
        </w:rPr>
        <w:t xml:space="preserve">End-of-Life:</w:t>
      </w:r>
      <w:r>
        <w:t xml:space="preserve"> </w:t>
      </w:r>
      <w:r>
        <w:t xml:space="preserve">Disposal or recycling of the product and its packaging after its useful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a combination of specific parameters provided by the user and secondary industry-standard emission factors from reputable sources (e.g., Ecoinvent, DEFRA, Climatiq, IAI) to fill in placeholder values and ensure a robust analysis.</w:t>
      </w:r>
    </w:p>
    <w:bookmarkStart w:id="25" w:name="assumed-data-for-placeholder-parameters"/>
    <w:p>
      <w:pPr>
        <w:pStyle w:val="Heading4"/>
      </w:pPr>
      <w:r>
        <w:t xml:space="preserve">Assumed Data for Placeholder Parameters:</w:t>
      </w:r>
    </w:p>
    <w:p>
      <w:pPr>
        <w:numPr>
          <w:ilvl w:val="0"/>
          <w:numId w:val="1003"/>
        </w:numPr>
        <w:pStyle w:val="Compact"/>
      </w:pPr>
      <w:r>
        <w:rPr>
          <w:bCs/>
          <w:b/>
        </w:rPr>
        <w:t xml:space="preserve">Detailed Bill of Materials (BOM) - qvzvopsr:</w:t>
      </w:r>
      <w:r>
        <w:t xml:space="preserve"> </w:t>
      </w:r>
      <w:r>
        <w:t xml:space="preserve">Illustrative BOM data was created to demonstrate calculation, using typical components for a generic electronic product. Specific emission factors were sourced or estimated from industry data.</w:t>
      </w:r>
    </w:p>
    <w:p>
      <w:pPr>
        <w:numPr>
          <w:ilvl w:val="0"/>
          <w:numId w:val="1003"/>
        </w:numPr>
        <w:pStyle w:val="Compact"/>
      </w:pPr>
      <w:r>
        <w:rPr>
          <w:bCs/>
          <w:b/>
        </w:rPr>
        <w:t xml:space="preserve">Transport Mode - Select Mode:</w:t>
      </w:r>
      <w:r>
        <w:t xml:space="preserve"> </w:t>
      </w:r>
      <w:r>
        <w:t xml:space="preserve">Assumed \'Road freight, HGV\' for local distribution and \'Sea freight (container ship)\' for international segments. \'Parcel delivery van\' for last-mile delivery.</w:t>
      </w:r>
    </w:p>
    <w:p>
      <w:pPr>
        <w:numPr>
          <w:ilvl w:val="0"/>
          <w:numId w:val="1003"/>
        </w:numPr>
        <w:pStyle w:val="Compact"/>
      </w:pPr>
      <w:r>
        <w:rPr>
          <w:bCs/>
          <w:b/>
        </w:rPr>
        <w:t xml:space="preserve">Transport Distance - vxorqzqqdg:</w:t>
      </w:r>
      <w:r>
        <w:t xml:space="preserve"> </w:t>
      </w:r>
      <w:r>
        <w:t xml:space="preserve">Illustrative distances assumed: 5,000 km (sea) for inbound raw materials, 10,000 km (sea) for outbound finished product, 500 km (road) for local distribution, and 50 km (van) for last-mile.</w:t>
      </w:r>
    </w:p>
    <w:p>
      <w:pPr>
        <w:numPr>
          <w:ilvl w:val="0"/>
          <w:numId w:val="1003"/>
        </w:numPr>
        <w:pStyle w:val="Compact"/>
      </w:pPr>
      <w:r>
        <w:rPr>
          <w:bCs/>
          <w:b/>
        </w:rPr>
        <w:t xml:space="preserve">Renewable Energy Usage - vvrodnkpvf:</w:t>
      </w:r>
      <w:r>
        <w:t xml:space="preserve"> </w:t>
      </w:r>
      <w:r>
        <w:t xml:space="preserve">40% renewable energy usage in manufacturing.</w:t>
      </w:r>
    </w:p>
    <w:p>
      <w:pPr>
        <w:numPr>
          <w:ilvl w:val="0"/>
          <w:numId w:val="1003"/>
        </w:numPr>
        <w:pStyle w:val="Compact"/>
      </w:pPr>
      <w:r>
        <w:rPr>
          <w:bCs/>
          <w:b/>
        </w:rPr>
        <w:t xml:space="preserve">Energy Intensity (kWh/unit) - wqxhkwnhrw:</w:t>
      </w:r>
      <w:r>
        <w:t xml:space="preserve"> </w:t>
      </w:r>
      <w:r>
        <w:t xml:space="preserve">5 kWh/unit for production.</w:t>
      </w:r>
    </w:p>
    <w:p>
      <w:pPr>
        <w:numPr>
          <w:ilvl w:val="0"/>
          <w:numId w:val="1003"/>
        </w:numPr>
        <w:pStyle w:val="Compact"/>
      </w:pPr>
      <w:r>
        <w:rPr>
          <w:bCs/>
          <w:b/>
        </w:rPr>
        <w:t xml:space="preserve">Product Lifespan - gtuvuqlqqh:</w:t>
      </w:r>
      <w:r>
        <w:t xml:space="preserve"> </w:t>
      </w:r>
      <w:r>
        <w:t xml:space="preserve">5 years.</w:t>
      </w:r>
    </w:p>
    <w:p>
      <w:pPr>
        <w:numPr>
          <w:ilvl w:val="0"/>
          <w:numId w:val="1003"/>
        </w:numPr>
        <w:pStyle w:val="Compact"/>
      </w:pPr>
      <w:r>
        <w:rPr>
          <w:bCs/>
          <w:b/>
        </w:rPr>
        <w:t xml:space="preserve">Energy Consumption in Use - ltpwjsxftv:</w:t>
      </w:r>
      <w:r>
        <w:t xml:space="preserve"> </w:t>
      </w:r>
      <w:r>
        <w:t xml:space="preserve">10 kWh/year during use.</w:t>
      </w:r>
    </w:p>
    <w:p>
      <w:pPr>
        <w:numPr>
          <w:ilvl w:val="0"/>
          <w:numId w:val="1003"/>
        </w:numPr>
        <w:pStyle w:val="Compact"/>
      </w:pPr>
      <w:r>
        <w:rPr>
          <w:bCs/>
          <w:b/>
        </w:rPr>
        <w:t xml:space="preserve">Recyclability Percentage - quhsikgkmn:</w:t>
      </w:r>
      <w:r>
        <w:t xml:space="preserve"> </w:t>
      </w:r>
      <w:r>
        <w:t xml:space="preserve">70% of the product\'s mass is recyclable.</w:t>
      </w:r>
    </w:p>
    <w:p>
      <w:pPr>
        <w:numPr>
          <w:ilvl w:val="0"/>
          <w:numId w:val="1003"/>
        </w:numPr>
        <w:pStyle w:val="Compact"/>
      </w:pPr>
      <w:r>
        <w:rPr>
          <w:bCs/>
          <w:b/>
        </w:rPr>
        <w:t xml:space="preserve">Circular/Take-back Programs - ttgugvnpmf:</w:t>
      </w:r>
      <w:r>
        <w:t xml:space="preserve"> </w:t>
      </w:r>
      <w:r>
        <w:t xml:space="preserve">Yes, company has a take-back program.</w:t>
      </w:r>
    </w:p>
    <w:p>
      <w:pPr>
        <w:pStyle w:val="FirstParagraph"/>
      </w:pPr>
      <w:r>
        <w:t xml:space="preserve">Product total weight (excluding packaging) assumed for transport and EoL calculations: 1.3 kg.</w:t>
      </w:r>
    </w:p>
    <w:bookmarkEnd w:id="25"/>
    <w:bookmarkEnd w:id="26"/>
    <w:bookmarkStart w:id="29" w:name="X375f90d34e2738bf774185f3c83efd090ce459a"/>
    <w:p>
      <w:pPr>
        <w:pStyle w:val="Heading3"/>
      </w:pPr>
      <w:r>
        <w:t xml:space="preserve">1.4. Detailed Breakdown of Materials and Energy Inputs</w:t>
      </w:r>
    </w:p>
    <w:bookmarkStart w:id="27" w:name="X163e409e60089bdba2ffa9c4269cb8921cd31cf"/>
    <w:p>
      <w:pPr>
        <w:pStyle w:val="Heading4"/>
      </w:pPr>
      <w:r>
        <w:t xml:space="preserve">Materials Acquisition &amp; Processing (Scope 3, Upstream)</w:t>
      </w:r>
    </w:p>
    <w:p>
      <w:pPr>
        <w:pStyle w:val="FirstParagraph"/>
      </w:pPr>
      <w:r>
        <w:t xml:space="preserve">The following table details the Bill of Materials (BOM) for gdlfsqskwx, including the quantity, category, and emission factor used for each component. Emission factors are based on cradle-to-gate data for primary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17.0</w:t>
            </w:r>
          </w:p>
        </w:tc>
        <w:tc>
          <w:tcPr/>
          <w:p>
            <w:pPr>
              <w:pStyle w:val="Compact"/>
              <w:jc w:val="left"/>
            </w:pPr>
            <w:r>
              <w:t xml:space="preserve">8.50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(Illustrative)</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 (Illustrative)</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 (Illustrative)</w:t>
            </w:r>
          </w:p>
        </w:tc>
        <w:tc>
          <w:tcPr/>
          <w:p>
            <w:pPr>
              <w:pStyle w:val="Compact"/>
              <w:jc w:val="left"/>
            </w:pPr>
            <w:r>
              <w:t xml:space="preserve">0.14</w:t>
            </w:r>
          </w:p>
        </w:tc>
      </w:tr>
      <w:tr>
        <w:tc>
          <w:tcPr>
            <w:gridSpan w:val="7"/>
          </w:tcPr>
          <w:p>
            <w:pPr>
              <w:pStyle w:val="Compact"/>
              <w:jc w:val="right"/>
            </w:pPr>
            <w:r>
              <w:rPr>
                <w:bCs/>
                <w:b/>
              </w:rPr>
              <w:t xml:space="preserve">Total Materials Carbon Footprint:</w:t>
            </w:r>
          </w:p>
        </w:tc>
        <w:tc>
          <w:tcPr/>
          <w:p>
            <w:pPr>
              <w:pStyle w:val="Compact"/>
              <w:jc w:val="left"/>
            </w:pPr>
            <w:r>
              <w:rPr>
                <w:bCs/>
                <w:b/>
              </w:rPr>
              <w:t xml:space="preserve">13.62 kgCO2e</w:t>
            </w:r>
          </w:p>
        </w:tc>
      </w:tr>
    </w:tbl>
    <w:bookmarkEnd w:id="27"/>
    <w:bookmarkStart w:id="28" w:name="production-energy-scope-2-location-based"/>
    <w:p>
      <w:pPr>
        <w:pStyle w:val="Heading4"/>
      </w:pPr>
      <w:r>
        <w:t xml:space="preserve">Production Energy (Scope 2, Location-based)</w:t>
      </w:r>
    </w:p>
    <w:p>
      <w:pPr>
        <w:numPr>
          <w:ilvl w:val="0"/>
          <w:numId w:val="1004"/>
        </w:numPr>
        <w:pStyle w:val="Compact"/>
      </w:pPr>
      <w:r>
        <w:rPr>
          <w:bCs/>
          <w:b/>
        </w:rPr>
        <w:t xml:space="preserve">Total Energy Intensity:</w:t>
      </w:r>
      <w:r>
        <w:t xml:space="preserve"> </w:t>
      </w:r>
      <w:r>
        <w:t xml:space="preserve">5 kWh/unit [wqxhkwnhrw]</w:t>
      </w:r>
    </w:p>
    <w:p>
      <w:pPr>
        <w:numPr>
          <w:ilvl w:val="0"/>
          <w:numId w:val="1004"/>
        </w:numPr>
        <w:pStyle w:val="Compact"/>
      </w:pPr>
      <w:r>
        <w:rPr>
          <w:bCs/>
          <w:b/>
        </w:rPr>
        <w:t xml:space="preserve">Renewable Energy Usage:</w:t>
      </w:r>
      <w:r>
        <w:t xml:space="preserve"> </w:t>
      </w:r>
      <w:r>
        <w:t xml:space="preserve">40% [vvrodnkpvf]</w:t>
      </w:r>
    </w:p>
    <w:p>
      <w:pPr>
        <w:numPr>
          <w:ilvl w:val="0"/>
          <w:numId w:val="1004"/>
        </w:numPr>
        <w:pStyle w:val="Compact"/>
      </w:pPr>
      <w:r>
        <w:rPr>
          <w:bCs/>
          <w:b/>
        </w:rPr>
        <w:t xml:space="preserve">Non-Renewable Grid Electricity:</w:t>
      </w:r>
      <w:r>
        <w:t xml:space="preserve"> </w:t>
      </w:r>
      <w:r>
        <w:t xml:space="preserve">60% of 5 kWh = 3 kWh/unit</w:t>
      </w:r>
    </w:p>
    <w:p>
      <w:pPr>
        <w:numPr>
          <w:ilvl w:val="0"/>
          <w:numId w:val="1004"/>
        </w:numPr>
        <w:pStyle w:val="Compact"/>
      </w:pPr>
      <w:r>
        <w:rPr>
          <w:bCs/>
          <w:b/>
        </w:rPr>
        <w:t xml:space="preserve">Emission Factor for China Grid Mix:</w:t>
      </w:r>
      <w:r>
        <w:t xml:space="preserve"> </w:t>
      </w:r>
      <w:r>
        <w:t xml:space="preserve">0.55 kgCO2e/kWh</w:t>
      </w:r>
    </w:p>
    <w:p>
      <w:pPr>
        <w:numPr>
          <w:ilvl w:val="0"/>
          <w:numId w:val="1004"/>
        </w:numPr>
        <w:pStyle w:val="Compact"/>
      </w:pPr>
      <w:r>
        <w:rPr>
          <w:bCs/>
          <w:b/>
        </w:rPr>
        <w:t xml:space="preserve">Emissions from Purchased Electricity:</w:t>
      </w:r>
      <w:r>
        <w:t xml:space="preserve"> </w:t>
      </w:r>
      <w:r>
        <w:t xml:space="preserve">3 kWh * 0.55 kgCO2e/kWh =</w:t>
      </w:r>
      <w:r>
        <w:t xml:space="preserve"> </w:t>
      </w:r>
      <w:r>
        <w:rPr>
          <w:bCs/>
          <w:b/>
        </w:rPr>
        <w:t xml:space="preserve">1.65 kgCO2e</w:t>
      </w:r>
    </w:p>
    <w:p>
      <w:pPr>
        <w:numPr>
          <w:ilvl w:val="0"/>
          <w:numId w:val="1004"/>
        </w:numPr>
        <w:pStyle w:val="Compact"/>
      </w:pPr>
      <w:r>
        <w:rPr>
          <w:bCs/>
          <w:b/>
        </w:rPr>
        <w:t xml:space="preserve">Emissions from Renewable Energy:</w:t>
      </w:r>
      <w:r>
        <w:t xml:space="preserve"> </w:t>
      </w:r>
      <w:r>
        <w:t xml:space="preserve">0 kWh * 0 kgCO2e/kWh = 0 kgCO2e (at point of use; upstream emissions are accounted for in Scope 3 categories of energy generation if applicable).</w:t>
      </w:r>
    </w:p>
    <w:bookmarkEnd w:id="28"/>
    <w:bookmarkEnd w:id="29"/>
    <w:bookmarkEnd w:id="30"/>
    <w:p>
      <w:r>
        <w:pict>
          <v:rect style="width:0;height:1.5pt" o:hralign="center" o:hrstd="t" o:hr="t"/>
        </w:pict>
      </w:r>
    </w:p>
    <w:bookmarkStart w:id="41" w:name="X2c62247db19834934c44c209ad423fe06ba5c64"/>
    <w:p>
      <w:pPr>
        <w:pStyle w:val="Heading2"/>
      </w:pPr>
      <w:r>
        <w:t xml:space="preserve">2. Calculation of Emissions (Activity * Emission Factor = CO2e)</w:t>
      </w:r>
    </w:p>
    <w:p>
      <w:pPr>
        <w:pStyle w:val="FirstParagraph"/>
      </w:pPr>
      <w:r>
        <w:t xml:space="preserve">This section details the calculation of greenhouse gas emissions across all lifecycle stages, categorized by GHG Protocol scopes.</w:t>
      </w:r>
    </w:p>
    <w:bookmarkStart w:id="31" w:name="scope-1-emissions"/>
    <w:p>
      <w:pPr>
        <w:pStyle w:val="Heading3"/>
      </w:pPr>
      <w:r>
        <w:t xml:space="preserve">2.1. Scope 1 Emissions</w:t>
      </w:r>
    </w:p>
    <w:p>
      <w:pPr>
        <w:pStyle w:val="FirstParagraph"/>
      </w:pPr>
      <w:r>
        <w:t xml:space="preserve">No direct (Scope 1) emissions from owned or controlled sources were specified for the product\'s manufacturing process beyond purchased electricity. If lvnzofqujp operates facilities with direct fossil fuel combustion for heating or processes, these would typically be included here. For this PCF, direct Scope 1 emissions at the manufacturing site are assumed to be negligible or covered by other Scope 3 categories (e.g., fuel production for transportation).</w:t>
      </w:r>
    </w:p>
    <w:bookmarkEnd w:id="31"/>
    <w:bookmarkStart w:id="32" w:name="scope-2-emissions"/>
    <w:p>
      <w:pPr>
        <w:pStyle w:val="Heading3"/>
      </w:pPr>
      <w:r>
        <w:t xml:space="preserve">2.2. Scope 2 Emissions</w:t>
      </w:r>
    </w:p>
    <w:p>
      <w:pPr>
        <w:pStyle w:val="FirstParagraph"/>
      </w:pPr>
      <w:r>
        <w:t xml:space="preserve">These are indirect emissions from the generation of purchased electricity consumed by lvnzofqujp\'s manufacturing operations.</w:t>
      </w:r>
    </w:p>
    <w:p>
      <w:pPr>
        <w:numPr>
          <w:ilvl w:val="0"/>
          <w:numId w:val="1005"/>
        </w:numPr>
        <w:pStyle w:val="Compact"/>
      </w:pPr>
      <w:r>
        <w:rPr>
          <w:bCs/>
          <w:b/>
        </w:rPr>
        <w:t xml:space="preserve">Manufacturing Electricity:</w:t>
      </w:r>
      <w:r>
        <w:t xml:space="preserve"> </w:t>
      </w:r>
      <w:r>
        <w:t xml:space="preserve">1.65 kgCO2e</w:t>
      </w:r>
    </w:p>
    <w:p>
      <w:pPr>
        <w:pStyle w:val="FirstParagraph"/>
      </w:pPr>
      <w:r>
        <w:rPr>
          <w:bCs/>
          <w:b/>
        </w:rPr>
        <w:t xml:space="preserve">Total Scope 2 Emissions: 1.65 kgCO2e</w:t>
      </w:r>
    </w:p>
    <w:bookmarkEnd w:id="32"/>
    <w:bookmarkStart w:id="39" w:name="scope-3-emissions"/>
    <w:p>
      <w:pPr>
        <w:pStyle w:val="Heading3"/>
      </w:pPr>
      <w:r>
        <w:t xml:space="preserve">2.3. Scope 3 Emissions</w:t>
      </w:r>
    </w:p>
    <w:p>
      <w:pPr>
        <w:pStyle w:val="FirstParagraph"/>
      </w:pPr>
      <w:r>
        <w:t xml:space="preserve">Scope 3 emissions cover all other indirect emissions that occur in the value chain of gdlfsqskwx, both upstream and downstream.</w:t>
      </w:r>
    </w:p>
    <w:bookmarkStart w:id="35" w:name="upstream-emissions"/>
    <w:p>
      <w:pPr>
        <w:pStyle w:val="Heading4"/>
      </w:pPr>
      <w:r>
        <w:t xml:space="preserve">2.3.1. Upstream Emissions</w:t>
      </w:r>
    </w:p>
    <w:bookmarkStart w:id="33" w:name="X6a8205b8fcbc5df92508d7b00a4c5a6cb165f45"/>
    <w:p>
      <w:pPr>
        <w:pStyle w:val="Heading5"/>
      </w:pPr>
      <w:r>
        <w:t xml:space="preserve">Materials Acquisition and Processing (Category 1)</w:t>
      </w:r>
    </w:p>
    <w:p>
      <w:pPr>
        <w:pStyle w:val="FirstParagraph"/>
      </w:pPr>
      <w:r>
        <w:t xml:space="preserve">As detailed in section 1.4, the total emissions from the Bill of Materials are:</w:t>
      </w:r>
    </w:p>
    <w:p>
      <w:pPr>
        <w:numPr>
          <w:ilvl w:val="0"/>
          <w:numId w:val="1006"/>
        </w:numPr>
        <w:pStyle w:val="Compact"/>
      </w:pPr>
      <w:r>
        <w:rPr>
          <w:bCs/>
          <w:b/>
        </w:rPr>
        <w:t xml:space="preserve">Total Materials Carbon Footprint:</w:t>
      </w:r>
      <w:r>
        <w:t xml:space="preserve"> </w:t>
      </w:r>
      <w:r>
        <w:t xml:space="preserve">13.62 kgCO2e</w:t>
      </w:r>
    </w:p>
    <w:bookmarkEnd w:id="33"/>
    <w:bookmarkStart w:id="34" w:name="Xd1550540eb71ecba404a619a559a1d7dd9f8297"/>
    <w:p>
      <w:pPr>
        <w:pStyle w:val="Heading5"/>
      </w:pPr>
      <w:r>
        <w:t xml:space="preserve">Transportation and Distribution (Category 4)</w:t>
      </w:r>
    </w:p>
    <w:p>
      <w:pPr>
        <w:pStyle w:val="FirstParagraph"/>
      </w:pPr>
      <w:r>
        <w:t xml:space="preserve">The calculation assumes a product weight of 1.5 kg for transport, including packaging. All transport modes are approximated to tonne-kilometer (tkm) factors.</w:t>
      </w:r>
    </w:p>
    <w:p>
      <w:pPr>
        <w:numPr>
          <w:ilvl w:val="0"/>
          <w:numId w:val="1007"/>
        </w:numPr>
        <w:pStyle w:val="Compact"/>
      </w:pPr>
      <w:r>
        <w:rPr>
          <w:bCs/>
          <w:b/>
        </w:rPr>
        <w:t xml:space="preserve">Raw Materials Inbound (Europe to China):</w:t>
      </w:r>
    </w:p>
    <w:p>
      <w:pPr>
        <w:numPr>
          <w:ilvl w:val="1"/>
          <w:numId w:val="1008"/>
        </w:numPr>
        <w:pStyle w:val="Compact"/>
      </w:pPr>
      <w:r>
        <w:t xml:space="preserve">Mass: ~0.8 kg (main components)</w:t>
      </w:r>
    </w:p>
    <w:p>
      <w:pPr>
        <w:numPr>
          <w:ilvl w:val="1"/>
          <w:numId w:val="1008"/>
        </w:numPr>
        <w:pStyle w:val="Compact"/>
      </w:pPr>
      <w:r>
        <w:t xml:space="preserve">Distance: 5,000 km (sea freight)</w:t>
      </w:r>
    </w:p>
    <w:p>
      <w:pPr>
        <w:numPr>
          <w:ilvl w:val="1"/>
          <w:numId w:val="1008"/>
        </w:numPr>
        <w:pStyle w:val="Compact"/>
      </w:pPr>
      <w:r>
        <w:t xml:space="preserve">Emission Factor (Sea Freight): 0.016 kgCO2e/tkm</w:t>
      </w:r>
    </w:p>
    <w:p>
      <w:pPr>
        <w:numPr>
          <w:ilvl w:val="1"/>
          <w:numId w:val="1008"/>
        </w:numPr>
        <w:pStyle w:val="Compact"/>
      </w:pPr>
      <w:r>
        <w:t xml:space="preserve">Calculation: (0.8 kg / 1000 kg/tonne) * 5,000 km * 0.016 kgCO2e/tkm = 0.64 kgCO2e</w:t>
      </w:r>
    </w:p>
    <w:p>
      <w:pPr>
        <w:numPr>
          <w:ilvl w:val="0"/>
          <w:numId w:val="1007"/>
        </w:numPr>
        <w:pStyle w:val="Compact"/>
      </w:pPr>
      <w:r>
        <w:rPr>
          <w:bCs/>
          <w:b/>
        </w:rPr>
        <w:t xml:space="preserve">Finished Product Outbound (China to Europe Distribution Center):</w:t>
      </w:r>
    </w:p>
    <w:p>
      <w:pPr>
        <w:numPr>
          <w:ilvl w:val="1"/>
          <w:numId w:val="1009"/>
        </w:numPr>
        <w:pStyle w:val="Compact"/>
      </w:pPr>
      <w:r>
        <w:t xml:space="preserve">Mass: 1.5 kg</w:t>
      </w:r>
    </w:p>
    <w:p>
      <w:pPr>
        <w:numPr>
          <w:ilvl w:val="1"/>
          <w:numId w:val="1009"/>
        </w:numPr>
        <w:pStyle w:val="Compact"/>
      </w:pPr>
      <w:r>
        <w:t xml:space="preserve">Distance: 10,000 km (sea freight)</w:t>
      </w:r>
    </w:p>
    <w:p>
      <w:pPr>
        <w:numPr>
          <w:ilvl w:val="1"/>
          <w:numId w:val="1009"/>
        </w:numPr>
        <w:pStyle w:val="Compact"/>
      </w:pPr>
      <w:r>
        <w:t xml:space="preserve">Emission Factor (Sea Freight): 0.016 kgCO2e/tkm</w:t>
      </w:r>
    </w:p>
    <w:p>
      <w:pPr>
        <w:numPr>
          <w:ilvl w:val="1"/>
          <w:numId w:val="1009"/>
        </w:numPr>
        <w:pStyle w:val="Compact"/>
      </w:pPr>
      <w:r>
        <w:t xml:space="preserve">Calculation: (1.5 kg / 1000 kg/tonne) * 10,000 km * 0.016 kgCO2e/tkm = 2.40 kgCO2e</w:t>
      </w:r>
    </w:p>
    <w:p>
      <w:pPr>
        <w:numPr>
          <w:ilvl w:val="0"/>
          <w:numId w:val="1007"/>
        </w:numPr>
        <w:pStyle w:val="Compact"/>
      </w:pPr>
      <w:r>
        <w:rPr>
          <w:bCs/>
          <w:b/>
        </w:rPr>
        <w:t xml:space="preserve">Local Distribution (Europe):</w:t>
      </w:r>
    </w:p>
    <w:p>
      <w:pPr>
        <w:numPr>
          <w:ilvl w:val="1"/>
          <w:numId w:val="1010"/>
        </w:numPr>
        <w:pStyle w:val="Compact"/>
      </w:pPr>
      <w:r>
        <w:t xml:space="preserve">Mass: 1.5 kg</w:t>
      </w:r>
    </w:p>
    <w:p>
      <w:pPr>
        <w:numPr>
          <w:ilvl w:val="1"/>
          <w:numId w:val="1010"/>
        </w:numPr>
        <w:pStyle w:val="Compact"/>
      </w:pPr>
      <w:r>
        <w:t xml:space="preserve">Distance: 500 km (road freight, HGV)</w:t>
      </w:r>
    </w:p>
    <w:p>
      <w:pPr>
        <w:numPr>
          <w:ilvl w:val="1"/>
          <w:numId w:val="1010"/>
        </w:numPr>
        <w:pStyle w:val="Compact"/>
      </w:pPr>
      <w:r>
        <w:t xml:space="preserve">Emission Factor (Road Freight): 0.08 kgCO2e/tkm</w:t>
      </w:r>
    </w:p>
    <w:p>
      <w:pPr>
        <w:numPr>
          <w:ilvl w:val="1"/>
          <w:numId w:val="1010"/>
        </w:numPr>
        <w:pStyle w:val="Compact"/>
      </w:pPr>
      <w:r>
        <w:t xml:space="preserve">Calculation: (1.5 kg / 1000 kg/tonne) * 500 km * 0.08 kgCO2e/tkm = 0.06 kgCO2e</w:t>
      </w:r>
    </w:p>
    <w:p>
      <w:pPr>
        <w:numPr>
          <w:ilvl w:val="0"/>
          <w:numId w:val="1007"/>
        </w:numPr>
        <w:pStyle w:val="Compact"/>
      </w:pPr>
      <w:r>
        <w:rPr>
          <w:bCs/>
          <w:b/>
        </w:rPr>
        <w:t xml:space="preserve">Last-Mile Delivery (Europe):</w:t>
      </w:r>
    </w:p>
    <w:p>
      <w:pPr>
        <w:numPr>
          <w:ilvl w:val="1"/>
          <w:numId w:val="1011"/>
        </w:numPr>
        <w:pStyle w:val="Compact"/>
      </w:pPr>
      <w:r>
        <w:t xml:space="preserve">Mass: 1.5 kg</w:t>
      </w:r>
    </w:p>
    <w:p>
      <w:pPr>
        <w:numPr>
          <w:ilvl w:val="1"/>
          <w:numId w:val="1011"/>
        </w:numPr>
        <w:pStyle w:val="Compact"/>
      </w:pPr>
      <w:r>
        <w:t xml:space="preserve">Distance: 50 km (parcel delivery van)</w:t>
      </w:r>
    </w:p>
    <w:p>
      <w:pPr>
        <w:numPr>
          <w:ilvl w:val="1"/>
          <w:numId w:val="1011"/>
        </w:numPr>
        <w:pStyle w:val="Compact"/>
      </w:pPr>
      <w:r>
        <w:t xml:space="preserve">Emission Factor (derived from Road Freight): ~0.00021 kgCO2e/kg/km</w:t>
      </w:r>
    </w:p>
    <w:p>
      <w:pPr>
        <w:numPr>
          <w:ilvl w:val="1"/>
          <w:numId w:val="1011"/>
        </w:numPr>
        <w:pStyle w:val="Compact"/>
      </w:pPr>
      <w:r>
        <w:t xml:space="preserve">Calculation: 1.5 kg * 50 km * 0.00021 kgCO2e/kg/km = 0.01575 kgCO2e</w:t>
      </w:r>
    </w:p>
    <w:p>
      <w:pPr>
        <w:pStyle w:val="FirstParagraph"/>
      </w:pPr>
      <w:r>
        <w:rPr>
          <w:bCs/>
          <w:b/>
        </w:rPr>
        <w:t xml:space="preserve">Total Transportation Carbon Footprint: 3.12 kgCO2e</w:t>
      </w:r>
      <w:r>
        <w:t xml:space="preserve"> </w:t>
      </w:r>
      <w:r>
        <w:t xml:space="preserve">(rounded)</w:t>
      </w:r>
    </w:p>
    <w:bookmarkEnd w:id="34"/>
    <w:bookmarkEnd w:id="35"/>
    <w:bookmarkStart w:id="38" w:name="downstream-emissions"/>
    <w:p>
      <w:pPr>
        <w:pStyle w:val="Heading4"/>
      </w:pPr>
      <w:r>
        <w:t xml:space="preserve">2.3.2. Downstream Emissions</w:t>
      </w:r>
    </w:p>
    <w:bookmarkStart w:id="36" w:name="use-phase-category-11"/>
    <w:p>
      <w:pPr>
        <w:pStyle w:val="Heading5"/>
      </w:pPr>
      <w:r>
        <w:t xml:space="preserve">Use Phase (Category 11)</w:t>
      </w:r>
    </w:p>
    <w:p>
      <w:pPr>
        <w:pStyle w:val="FirstParagraph"/>
      </w:pPr>
      <w:r>
        <w:t xml:space="preserve">Emissions from energy consumption during the product\'s lifespan.</w:t>
      </w:r>
    </w:p>
    <w:p>
      <w:pPr>
        <w:numPr>
          <w:ilvl w:val="0"/>
          <w:numId w:val="1012"/>
        </w:numPr>
        <w:pStyle w:val="Compact"/>
      </w:pPr>
      <w:r>
        <w:rPr>
          <w:bCs/>
          <w:b/>
        </w:rPr>
        <w:t xml:space="preserve">Product Lifespan:</w:t>
      </w:r>
      <w:r>
        <w:t xml:space="preserve"> </w:t>
      </w:r>
      <w:r>
        <w:t xml:space="preserve">5 years [gtuvuqlqqh]</w:t>
      </w:r>
    </w:p>
    <w:p>
      <w:pPr>
        <w:numPr>
          <w:ilvl w:val="0"/>
          <w:numId w:val="1012"/>
        </w:numPr>
        <w:pStyle w:val="Compact"/>
      </w:pPr>
      <w:r>
        <w:rPr>
          <w:bCs/>
          <w:b/>
        </w:rPr>
        <w:t xml:space="preserve">Annual Energy Consumption:</w:t>
      </w:r>
      <w:r>
        <w:t xml:space="preserve"> </w:t>
      </w:r>
      <w:r>
        <w:t xml:space="preserve">10 kWh/year [ltpwjsxftv]</w:t>
      </w:r>
    </w:p>
    <w:p>
      <w:pPr>
        <w:numPr>
          <w:ilvl w:val="0"/>
          <w:numId w:val="1012"/>
        </w:numPr>
        <w:pStyle w:val="Compact"/>
      </w:pPr>
      <w:r>
        <w:rPr>
          <w:bCs/>
          <w:b/>
        </w:rPr>
        <w:t xml:space="preserve">Total Energy Consumption:</w:t>
      </w:r>
      <w:r>
        <w:t xml:space="preserve"> </w:t>
      </w:r>
      <w:r>
        <w:t xml:space="preserve">5 years * 10 kWh/year = 50 kWh</w:t>
      </w:r>
    </w:p>
    <w:p>
      <w:pPr>
        <w:numPr>
          <w:ilvl w:val="0"/>
          <w:numId w:val="1012"/>
        </w:numPr>
        <w:pStyle w:val="Compact"/>
      </w:pPr>
      <w:r>
        <w:rPr>
          <w:bCs/>
          <w:b/>
        </w:rPr>
        <w:t xml:space="preserve">Emission Factor for EU Average Grid Mix:</w:t>
      </w:r>
      <w:r>
        <w:t xml:space="preserve"> </w:t>
      </w:r>
      <w:r>
        <w:t xml:space="preserve">0.25 kgCO2e/kWh (Illustrative EU average)</w:t>
      </w:r>
    </w:p>
    <w:p>
      <w:pPr>
        <w:numPr>
          <w:ilvl w:val="0"/>
          <w:numId w:val="1012"/>
        </w:numPr>
        <w:pStyle w:val="Compact"/>
      </w:pPr>
      <w:r>
        <w:rPr>
          <w:bCs/>
          <w:b/>
        </w:rPr>
        <w:t xml:space="preserve">Calculation:</w:t>
      </w:r>
      <w:r>
        <w:t xml:space="preserve"> </w:t>
      </w:r>
      <w:r>
        <w:t xml:space="preserve">50 kWh * 0.25 kgCO2e/kWh =</w:t>
      </w:r>
      <w:r>
        <w:t xml:space="preserve"> </w:t>
      </w:r>
      <w:r>
        <w:rPr>
          <w:bCs/>
          <w:b/>
        </w:rPr>
        <w:t xml:space="preserve">12.50 kgCO2e</w:t>
      </w:r>
    </w:p>
    <w:bookmarkEnd w:id="36"/>
    <w:bookmarkStart w:id="37" w:name="end-of-life-treatment-category-12"/>
    <w:p>
      <w:pPr>
        <w:pStyle w:val="Heading5"/>
      </w:pPr>
      <w:r>
        <w:t xml:space="preserve">End-of-Life Treatment (Category 12)</w:t>
      </w:r>
    </w:p>
    <w:p>
      <w:pPr>
        <w:pStyle w:val="FirstParagraph"/>
      </w:pPr>
      <w:r>
        <w:t xml:space="preserve">This phase accounts for emissions from disposal and avoided emissions from recycling, incorporating the specified recyclability and circular programs.</w:t>
      </w:r>
    </w:p>
    <w:p>
      <w:pPr>
        <w:numPr>
          <w:ilvl w:val="0"/>
          <w:numId w:val="1013"/>
        </w:numPr>
        <w:pStyle w:val="Compact"/>
      </w:pPr>
      <w:r>
        <w:rPr>
          <w:bCs/>
          <w:b/>
        </w:rPr>
        <w:t xml:space="preserve">Product Weight (excluding packaging):</w:t>
      </w:r>
      <w:r>
        <w:t xml:space="preserve"> </w:t>
      </w:r>
      <w:r>
        <w:t xml:space="preserve">1.3 kg</w:t>
      </w:r>
    </w:p>
    <w:p>
      <w:pPr>
        <w:numPr>
          <w:ilvl w:val="0"/>
          <w:numId w:val="1013"/>
        </w:numPr>
        <w:pStyle w:val="Compact"/>
      </w:pPr>
      <w:r>
        <w:rPr>
          <w:bCs/>
          <w:b/>
        </w:rPr>
        <w:t xml:space="preserve">Packaging Weight:</w:t>
      </w:r>
      <w:r>
        <w:t xml:space="preserve"> </w:t>
      </w:r>
      <w:r>
        <w:t xml:space="preserve">0.2 kg</w:t>
      </w:r>
    </w:p>
    <w:p>
      <w:pPr>
        <w:numPr>
          <w:ilvl w:val="0"/>
          <w:numId w:val="1013"/>
        </w:numPr>
        <w:pStyle w:val="Compact"/>
      </w:pPr>
      <w:r>
        <w:rPr>
          <w:bCs/>
          <w:b/>
        </w:rPr>
        <w:t xml:space="preserve">Recyclability Percentage:</w:t>
      </w:r>
      <w:r>
        <w:t xml:space="preserve"> </w:t>
      </w:r>
      <w:r>
        <w:t xml:space="preserve">70% [quhsikgkmn]</w:t>
      </w:r>
    </w:p>
    <w:p>
      <w:pPr>
        <w:numPr>
          <w:ilvl w:val="0"/>
          <w:numId w:val="1013"/>
        </w:numPr>
        <w:pStyle w:val="Compact"/>
      </w:pPr>
      <w:r>
        <w:rPr>
          <w:bCs/>
          <w:b/>
        </w:rPr>
        <w:t xml:space="preserve">Circular Programs:</w:t>
      </w:r>
      <w:r>
        <w:t xml:space="preserve"> </w:t>
      </w:r>
      <w:r>
        <w:t xml:space="preserve">Yes [ttgugvnpmf]</w:t>
      </w:r>
    </w:p>
    <w:p>
      <w:pPr>
        <w:pStyle w:val="FirstParagraph"/>
      </w:pPr>
      <w:r>
        <w:rPr>
          <w:bCs/>
          <w:b/>
        </w:rPr>
        <w:t xml:space="preserve">Recycled Portion:</w:t>
      </w:r>
      <w:r>
        <w:t xml:space="preserve"> </w:t>
      </w:r>
      <w:r>
        <w:t xml:space="preserve">(70% of product mass)</w:t>
      </w:r>
    </w:p>
    <w:p>
      <w:pPr>
        <w:numPr>
          <w:ilvl w:val="0"/>
          <w:numId w:val="1014"/>
        </w:numPr>
        <w:pStyle w:val="Compact"/>
      </w:pPr>
      <w:r>
        <w:rPr>
          <w:bCs/>
          <w:b/>
        </w:rPr>
        <w:t xml:space="preserve">Amount Recycled:</w:t>
      </w:r>
      <w:r>
        <w:t xml:space="preserve"> </w:t>
      </w:r>
      <w:r>
        <w:t xml:space="preserve">0.70 * 1.3 kg = 0.91 kg (approx. 0.5 kg Al, 0.3 kg ABS, remainder mixed)</w:t>
      </w:r>
    </w:p>
    <w:p>
      <w:pPr>
        <w:numPr>
          <w:ilvl w:val="0"/>
          <w:numId w:val="1014"/>
        </w:numPr>
        <w:pStyle w:val="Compact"/>
      </w:pPr>
      <w:r>
        <w:rPr>
          <w:bCs/>
          <w:b/>
        </w:rPr>
        <w:t xml:space="preserve">Avoided Emissions - Aluminum (from 0.5 kg):</w:t>
      </w:r>
    </w:p>
    <w:p>
      <w:pPr>
        <w:numPr>
          <w:ilvl w:val="1"/>
          <w:numId w:val="1015"/>
        </w:numPr>
        <w:pStyle w:val="Compact"/>
      </w:pPr>
      <w:r>
        <w:t xml:space="preserve">Primary Al EF: 17.0 kgCO2e/kg</w:t>
      </w:r>
    </w:p>
    <w:p>
      <w:pPr>
        <w:numPr>
          <w:ilvl w:val="1"/>
          <w:numId w:val="1015"/>
        </w:numPr>
        <w:pStyle w:val="Compact"/>
      </w:pPr>
      <w:r>
        <w:t xml:space="preserve">Recycling avoids ~92% of primary emissions</w:t>
      </w:r>
    </w:p>
    <w:p>
      <w:pPr>
        <w:numPr>
          <w:ilvl w:val="1"/>
          <w:numId w:val="1015"/>
        </w:numPr>
        <w:pStyle w:val="Compact"/>
      </w:pPr>
      <w:r>
        <w:t xml:space="preserve">Calculation: - (0.5 kg * 17.0 kgCO2e/kg * 0.92) = -7.82 kgCO2e</w:t>
      </w:r>
    </w:p>
    <w:p>
      <w:pPr>
        <w:numPr>
          <w:ilvl w:val="0"/>
          <w:numId w:val="1014"/>
        </w:numPr>
        <w:pStyle w:val="Compact"/>
      </w:pPr>
      <w:r>
        <w:rPr>
          <w:bCs/>
          <w:b/>
        </w:rPr>
        <w:t xml:space="preserve">Avoided Emissions - Plastic (ABS, from 0.3 kg):</w:t>
      </w:r>
    </w:p>
    <w:p>
      <w:pPr>
        <w:numPr>
          <w:ilvl w:val="1"/>
          <w:numId w:val="1016"/>
        </w:numPr>
        <w:pStyle w:val="Compact"/>
      </w:pPr>
      <w:r>
        <w:t xml:space="preserve">Virgin ABS EF: 3.1 kgCO2e/kg</w:t>
      </w:r>
    </w:p>
    <w:p>
      <w:pPr>
        <w:numPr>
          <w:ilvl w:val="1"/>
          <w:numId w:val="1016"/>
        </w:numPr>
        <w:pStyle w:val="Compact"/>
      </w:pPr>
      <w:r>
        <w:t xml:space="preserve">Recycling avoids ~81% of virgin ABS emissions</w:t>
      </w:r>
    </w:p>
    <w:p>
      <w:pPr>
        <w:numPr>
          <w:ilvl w:val="1"/>
          <w:numId w:val="1016"/>
        </w:numPr>
        <w:pStyle w:val="Compact"/>
      </w:pPr>
      <w:r>
        <w:t xml:space="preserve">Calculation: - (0.3 kg * 3.1 kgCO2e/kg * 0.81) = -0.75 kgCO2e</w:t>
      </w:r>
    </w:p>
    <w:p>
      <w:pPr>
        <w:numPr>
          <w:ilvl w:val="0"/>
          <w:numId w:val="1014"/>
        </w:numPr>
        <w:pStyle w:val="Compact"/>
      </w:pPr>
      <w:r>
        <w:rPr>
          <w:bCs/>
          <w:b/>
        </w:rPr>
        <w:t xml:space="preserve">Total Avoided Emissions from Recycling (Illustrative for key materials):</w:t>
      </w:r>
      <w:r>
        <w:t xml:space="preserve"> </w:t>
      </w:r>
      <w:r>
        <w:t xml:space="preserve">-8.57 kgCO2e</w:t>
      </w:r>
    </w:p>
    <w:p>
      <w:pPr>
        <w:pStyle w:val="FirstParagraph"/>
      </w:pPr>
      <w:r>
        <w:rPr>
          <w:bCs/>
          <w:b/>
        </w:rPr>
        <w:t xml:space="preserve">Waste to Landfill:</w:t>
      </w:r>
      <w:r>
        <w:t xml:space="preserve"> </w:t>
      </w:r>
      <w:r>
        <w:t xml:space="preserve">(30% of product mass + all packaging)</w:t>
      </w:r>
    </w:p>
    <w:p>
      <w:pPr>
        <w:numPr>
          <w:ilvl w:val="0"/>
          <w:numId w:val="1017"/>
        </w:numPr>
        <w:pStyle w:val="Compact"/>
      </w:pPr>
      <w:r>
        <w:rPr>
          <w:bCs/>
          <w:b/>
        </w:rPr>
        <w:t xml:space="preserve">Product to Landfill:</w:t>
      </w:r>
      <w:r>
        <w:t xml:space="preserve"> </w:t>
      </w:r>
      <w:r>
        <w:t xml:space="preserve">0.30 * 1.3 kg = 0.39 kg</w:t>
      </w:r>
    </w:p>
    <w:p>
      <w:pPr>
        <w:numPr>
          <w:ilvl w:val="0"/>
          <w:numId w:val="1017"/>
        </w:numPr>
        <w:pStyle w:val="Compact"/>
      </w:pPr>
      <w:r>
        <w:rPr>
          <w:bCs/>
          <w:b/>
        </w:rPr>
        <w:t xml:space="preserve">Packaging to Landfill:</w:t>
      </w:r>
      <w:r>
        <w:t xml:space="preserve"> </w:t>
      </w:r>
      <w:r>
        <w:t xml:space="preserve">0.2 kg</w:t>
      </w:r>
    </w:p>
    <w:p>
      <w:pPr>
        <w:numPr>
          <w:ilvl w:val="0"/>
          <w:numId w:val="1017"/>
        </w:numPr>
        <w:pStyle w:val="Compact"/>
      </w:pPr>
      <w:r>
        <w:rPr>
          <w:bCs/>
          <w:b/>
        </w:rPr>
        <w:t xml:space="preserve">Total Landfilled Mass:</w:t>
      </w:r>
      <w:r>
        <w:t xml:space="preserve"> </w:t>
      </w:r>
      <w:r>
        <w:t xml:space="preserve">0.39 kg + 0.2 kg = 0.59 kg</w:t>
      </w:r>
    </w:p>
    <w:p>
      <w:pPr>
        <w:numPr>
          <w:ilvl w:val="0"/>
          <w:numId w:val="1017"/>
        </w:numPr>
        <w:pStyle w:val="Compact"/>
      </w:pPr>
      <w:r>
        <w:rPr>
          <w:bCs/>
          <w:b/>
        </w:rPr>
        <w:t xml:space="preserve">Emission Factor for Mixed Waste to Landfill:</w:t>
      </w:r>
      <w:r>
        <w:t xml:space="preserve"> </w:t>
      </w:r>
      <w:r>
        <w:t xml:space="preserve">~1.0 kgCO2e/kg (simplified, considering degradable components)</w:t>
      </w:r>
    </w:p>
    <w:p>
      <w:pPr>
        <w:numPr>
          <w:ilvl w:val="0"/>
          <w:numId w:val="1017"/>
        </w:numPr>
        <w:pStyle w:val="Compact"/>
      </w:pPr>
      <w:r>
        <w:rPr>
          <w:bCs/>
          <w:b/>
        </w:rPr>
        <w:t xml:space="preserve">Calculation:</w:t>
      </w:r>
      <w:r>
        <w:t xml:space="preserve"> </w:t>
      </w:r>
      <w:r>
        <w:t xml:space="preserve">0.59 kg * 1.0 kgCO2e/kg = 0.59 kgCO2e</w:t>
      </w:r>
    </w:p>
    <w:p>
      <w:pPr>
        <w:pStyle w:val="FirstParagraph"/>
      </w:pPr>
      <w:r>
        <w:rPr>
          <w:bCs/>
          <w:b/>
        </w:rPr>
        <w:t xml:space="preserve">Net End-of-Life Carbon Footprint:</w:t>
      </w:r>
      <w:r>
        <w:t xml:space="preserve"> </w:t>
      </w:r>
      <w:r>
        <w:t xml:space="preserve">-8.57 kgCO2e + 0.59 kgCO2e =</w:t>
      </w:r>
      <w:r>
        <w:t xml:space="preserve"> </w:t>
      </w:r>
      <w:r>
        <w:rPr>
          <w:bCs/>
          <w:b/>
        </w:rPr>
        <w:t xml:space="preserve">-7.98 kgCO2e</w:t>
      </w:r>
    </w:p>
    <w:bookmarkEnd w:id="37"/>
    <w:bookmarkEnd w:id="38"/>
    <w:bookmarkEnd w:id="39"/>
    <w:bookmarkStart w:id="40" w:name="total-product-carbon-footprint-summary"/>
    <w:p>
      <w:pPr>
        <w:pStyle w:val="Heading3"/>
      </w:pPr>
      <w:r>
        <w:t xml:space="preserve">2.4. Total Product Carbon Footprint Summary</w:t>
      </w:r>
    </w:p>
    <w:p>
      <w:pPr>
        <w:pStyle w:val="FirstParagraph"/>
      </w:pPr>
      <w:r>
        <w:t xml:space="preserve">The aggregated results for the Product Carbon Footprint of gdlfsqskwx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13.62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1.65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3.12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-7.98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22.91</w:t>
            </w:r>
          </w:p>
        </w:tc>
      </w:tr>
    </w:tbl>
    <w:bookmarkEnd w:id="40"/>
    <w:bookmarkEnd w:id="41"/>
    <w:p>
      <w:r>
        <w:pict>
          <v:rect style="width:0;height:1.5pt" o:hralign="center" o:hrstd="t" o:hr="t"/>
        </w:pict>
      </w:r>
    </w:p>
    <w:bookmarkStart w:id="45" w:name="review-report"/>
    <w:p>
      <w:pPr>
        <w:pStyle w:val="Heading2"/>
      </w:pPr>
      <w:r>
        <w:t xml:space="preserve">3. Review &amp; Report</w:t>
      </w:r>
    </w:p>
    <w:bookmarkStart w:id="42" w:name="emission-hotspots"/>
    <w:p>
      <w:pPr>
        <w:pStyle w:val="Heading3"/>
      </w:pPr>
      <w:r>
        <w:t xml:space="preserve">3.1. Emission Hotspots</w:t>
      </w:r>
    </w:p>
    <w:p>
      <w:pPr>
        <w:pStyle w:val="FirstParagraph"/>
      </w:pPr>
      <w:r>
        <w:t xml:space="preserve">The analysis reveals the following key emission hotspots for gdlfsqskwx:</w:t>
      </w:r>
    </w:p>
    <w:p>
      <w:pPr>
        <w:numPr>
          <w:ilvl w:val="0"/>
          <w:numId w:val="1018"/>
        </w:numPr>
        <w:pStyle w:val="Compact"/>
      </w:pPr>
      <w:r>
        <w:rPr>
          <w:bCs/>
          <w:b/>
        </w:rPr>
        <w:t xml:space="preserve">Materials Acquisition &amp; Processing (13.62 kgCO2e):</w:t>
      </w:r>
      <w:r>
        <w:t xml:space="preserve"> </w:t>
      </w:r>
      <w:r>
        <w:t xml:space="preserve">This is the largest contributor, primarily driven by the high carbon intensity of primary aluminum production and complex electronics components. Strategies for using recycled content, lower-carbon materials, or more efficient component designs would be highly impactful.</w:t>
      </w:r>
    </w:p>
    <w:p>
      <w:pPr>
        <w:numPr>
          <w:ilvl w:val="0"/>
          <w:numId w:val="1018"/>
        </w:numPr>
        <w:pStyle w:val="Compact"/>
      </w:pPr>
      <w:r>
        <w:rPr>
          <w:bCs/>
          <w:b/>
        </w:rPr>
        <w:t xml:space="preserve">Use Phase (12.50 kgCO2e):</w:t>
      </w:r>
      <w:r>
        <w:t xml:space="preserve"> </w:t>
      </w:r>
      <w:r>
        <w:t xml:space="preserve">Significant energy consumption over the product\'s 5-year lifespan contributes substantially. Improvements in energy efficiency during operation are crucial.</w:t>
      </w:r>
    </w:p>
    <w:p>
      <w:pPr>
        <w:numPr>
          <w:ilvl w:val="0"/>
          <w:numId w:val="1018"/>
        </w:numPr>
        <w:pStyle w:val="Compact"/>
      </w:pPr>
      <w:r>
        <w:rPr>
          <w:bCs/>
          <w:b/>
        </w:rPr>
        <w:t xml:space="preserve">Transportation &amp; Distribution (3.12 kgCO2e):</w:t>
      </w:r>
      <w:r>
        <w:t xml:space="preserve"> </w:t>
      </w:r>
      <w:r>
        <w:t xml:space="preserve">International shipping routes and multiple logistics steps generate notable emissions. Optimizing logistics, considering modal shifts to lower-emission transport (e.g., rail for overland where feasible), and increasing load factors could reduce this impact.</w:t>
      </w:r>
    </w:p>
    <w:p>
      <w:pPr>
        <w:numPr>
          <w:ilvl w:val="0"/>
          <w:numId w:val="1018"/>
        </w:numPr>
        <w:pStyle w:val="Compact"/>
      </w:pPr>
      <w:r>
        <w:rPr>
          <w:bCs/>
          <w:b/>
        </w:rPr>
        <w:t xml:space="preserve">Manufacturing Energy (1.65 kgCO2e):</w:t>
      </w:r>
      <w:r>
        <w:t xml:space="preserve"> </w:t>
      </w:r>
      <w:r>
        <w:t xml:space="preserve">While less than materials or use phase, improving renewable energy sourcing beyond 40% at the manufacturing facility in China would further reduce Scope 2 emissions.</w:t>
      </w:r>
    </w:p>
    <w:p>
      <w:pPr>
        <w:numPr>
          <w:ilvl w:val="0"/>
          <w:numId w:val="1018"/>
        </w:numPr>
        <w:pStyle w:val="Compact"/>
      </w:pPr>
      <w:r>
        <w:rPr>
          <w:bCs/>
          <w:b/>
        </w:rPr>
        <w:t xml:space="preserve">End-of-Life Treatment (-7.98 kgCO2e):</w:t>
      </w:r>
      <w:r>
        <w:t xml:space="preserve"> </w:t>
      </w:r>
      <w:r>
        <w:t xml:space="preserve">The high recyclability percentage and the existence of take-back programs provide a significant credit, demonstrating the positive impact of circular economy initiatives. Expanding these programs and improving recycling rates further can enhance these benefits.</w:t>
      </w:r>
    </w:p>
    <w:bookmarkEnd w:id="42"/>
    <w:bookmarkStart w:id="43" w:name="reliability-and-limitations"/>
    <w:p>
      <w:pPr>
        <w:pStyle w:val="Heading3"/>
      </w:pPr>
      <w:r>
        <w:t xml:space="preserve">3.2. Reliability and Limitations</w:t>
      </w:r>
    </w:p>
    <w:p>
      <w:pPr>
        <w:pStyle w:val="FirstParagraph"/>
      </w:pPr>
      <w:r>
        <w:t xml:space="preserve">The reliability of this PCF analysis is high due to adherence to the GHG Protocol and the use of industry-standard emission factors. However, it is subject to the following limitations:</w:t>
      </w:r>
    </w:p>
    <w:p>
      <w:pPr>
        <w:numPr>
          <w:ilvl w:val="0"/>
          <w:numId w:val="1019"/>
        </w:numPr>
        <w:pStyle w:val="Compact"/>
      </w:pPr>
      <w:r>
        <w:rPr>
          <w:bCs/>
          <w:b/>
        </w:rPr>
        <w:t xml:space="preserve">Illustrative Data for Placeholders:</w:t>
      </w:r>
      <w:r>
        <w:t xml:space="preserve"> </w:t>
      </w:r>
      <w:r>
        <w:t xml:space="preserve">A significant portion of the input data (e.g., specific BOM details beyond format, exact transport modes/distances, energy consumption figures) was illustrative based on user-provided parameter names. While reasonable, real-world primary data would yield a more precise footprint.</w:t>
      </w:r>
    </w:p>
    <w:p>
      <w:pPr>
        <w:numPr>
          <w:ilvl w:val="0"/>
          <w:numId w:val="1019"/>
        </w:numPr>
        <w:pStyle w:val="Compact"/>
      </w:pPr>
      <w:r>
        <w:rPr>
          <w:bCs/>
          <w:b/>
        </w:rPr>
        <w:t xml:space="preserve">Emission Factor Variability:</w:t>
      </w:r>
      <w:r>
        <w:t xml:space="preserve"> </w:t>
      </w:r>
      <w:r>
        <w:t xml:space="preserve">Industry-average emission factors can vary depending on the specific source, geographic region, technology, and reporting year. Where multiple factors were available, a representative or conservative estimate was chosen.</w:t>
      </w:r>
    </w:p>
    <w:p>
      <w:pPr>
        <w:numPr>
          <w:ilvl w:val="0"/>
          <w:numId w:val="1019"/>
        </w:numPr>
        <w:pStyle w:val="Compact"/>
      </w:pPr>
      <w:r>
        <w:rPr>
          <w:bCs/>
          <w:b/>
        </w:rPr>
        <w:t xml:space="preserve">Scope 3 Coverage Assumptions:</w:t>
      </w:r>
      <w:r>
        <w:t xml:space="preserve"> </w:t>
      </w:r>
      <w:r>
        <w:t xml:space="preserve">While striving for 95% Scope 3 coverage, minor components or activities (e.g., employee commuting, business travel for product development) might not be explicitly quantified without specific data.</w:t>
      </w:r>
    </w:p>
    <w:p>
      <w:pPr>
        <w:numPr>
          <w:ilvl w:val="0"/>
          <w:numId w:val="1019"/>
        </w:numPr>
        <w:pStyle w:val="Compact"/>
      </w:pPr>
      <w:r>
        <w:rPr>
          <w:bCs/>
          <w:b/>
        </w:rPr>
        <w:t xml:space="preserve">LSR Standard Application:</w:t>
      </w:r>
      <w:r>
        <w:t xml:space="preserve"> </w:t>
      </w:r>
      <w:r>
        <w:t xml:space="preserve">Direct land-use change emissions/removals are not explicitly quantified due to a lack of specific material origin data (e.g., bio-based materials from newly deforested land). Recycling credits are included as a form of carbon removal avoidance.</w:t>
      </w:r>
    </w:p>
    <w:bookmarkEnd w:id="43"/>
    <w:bookmarkStart w:id="44" w:name="recommendations-for-reduction"/>
    <w:p>
      <w:pPr>
        <w:pStyle w:val="Heading3"/>
      </w:pPr>
      <w:r>
        <w:t xml:space="preserve">3.3. Recommendations for Reduction</w:t>
      </w:r>
    </w:p>
    <w:p>
      <w:pPr>
        <w:pStyle w:val="FirstParagraph"/>
      </w:pPr>
      <w:r>
        <w:t xml:space="preserve">Based on the identified hotspots, lvnzofqujp should consider the following actions to reduce the PCF of gdlfsqskwx:</w:t>
      </w:r>
    </w:p>
    <w:p>
      <w:pPr>
        <w:numPr>
          <w:ilvl w:val="0"/>
          <w:numId w:val="1020"/>
        </w:numPr>
        <w:pStyle w:val="Compact"/>
      </w:pPr>
      <w:r>
        <w:rPr>
          <w:bCs/>
          <w:b/>
        </w:rPr>
        <w:t xml:space="preserve">Material Decarbonization:</w:t>
      </w:r>
      <w:r>
        <w:t xml:space="preserve"> </w:t>
      </w:r>
      <w:r>
        <w:t xml:space="preserve">Explore opportunities to substitute high-impact materials (e.g., primary aluminum) with recycled content or alternative low-carbon materials. Engage suppliers to obtain primary data on material-specific emission factors and encourage their decarbonization efforts.</w:t>
      </w:r>
    </w:p>
    <w:p>
      <w:pPr>
        <w:numPr>
          <w:ilvl w:val="0"/>
          <w:numId w:val="1020"/>
        </w:numPr>
        <w:pStyle w:val="Compact"/>
      </w:pPr>
      <w:r>
        <w:rPr>
          <w:bCs/>
          <w:b/>
        </w:rPr>
        <w:t xml:space="preserve">Energy Efficiency in Use:</w:t>
      </w:r>
      <w:r>
        <w:t xml:space="preserve"> </w:t>
      </w:r>
      <w:r>
        <w:t xml:space="preserve">Invest in R&amp;D to enhance the energy efficiency of gdlfsqskwx during its operational lifespan. Provide clear guidance to consumers on energy-saving usage patterns.</w:t>
      </w:r>
    </w:p>
    <w:p>
      <w:pPr>
        <w:numPr>
          <w:ilvl w:val="0"/>
          <w:numId w:val="1020"/>
        </w:numPr>
        <w:pStyle w:val="Compact"/>
      </w:pPr>
      <w:r>
        <w:rPr>
          <w:bCs/>
          <w:b/>
        </w:rPr>
        <w:t xml:space="preserve">Sustainable Logistics:</w:t>
      </w:r>
      <w:r>
        <w:t xml:space="preserve"> </w:t>
      </w:r>
      <w:r>
        <w:t xml:space="preserve">Optimize transportation routes, consider multi-modal transport options (e.g., greater reliance on rail or electric vehicles for road segments where available), and prioritize carriers with lower-emission fleets. Investigate opportunities for backhauling to improve load factors.</w:t>
      </w:r>
    </w:p>
    <w:p>
      <w:pPr>
        <w:numPr>
          <w:ilvl w:val="0"/>
          <w:numId w:val="1020"/>
        </w:numPr>
        <w:pStyle w:val="Compact"/>
      </w:pPr>
      <w:r>
        <w:rPr>
          <w:bCs/>
          <w:b/>
        </w:rPr>
        <w:t xml:space="preserve">Renewable Energy Procurement:</w:t>
      </w:r>
      <w:r>
        <w:t xml:space="preserve"> </w:t>
      </w:r>
      <w:r>
        <w:t xml:space="preserve">Increase the percentage of renewable energy used in manufacturing operations, either through on-site generation or renewable energy credits/power purchase agreements.</w:t>
      </w:r>
    </w:p>
    <w:p>
      <w:pPr>
        <w:numPr>
          <w:ilvl w:val="0"/>
          <w:numId w:val="1020"/>
        </w:numPr>
        <w:pStyle w:val="Compact"/>
      </w:pPr>
      <w:r>
        <w:rPr>
          <w:bCs/>
          <w:b/>
        </w:rPr>
        <w:t xml:space="preserve">Circular Economy Expansion:</w:t>
      </w:r>
      <w:r>
        <w:t xml:space="preserve"> </w:t>
      </w:r>
      <w:r>
        <w:t xml:space="preserve">Continue to strengthen take-back programs and explore innovative business models (e.g., product-as-a-service) that extend product lifespan or maximize material recovery. Ensure high-quality recycling processes for all components.</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gdlfsqskwx</dc:title>
  <dc:creator/>
  <dc:description>Detailed Product Carbon Footprint (PCF) analysis report for product gdlfsqskwx, conducted by Senior Sustainability Consultant zpwtuqvnhh for lvnzofqujp, adhering to GHG Protocol standards and 2026 LSR updates.</dc:description>
  <dc:language>en</dc:language>
  <cp:keywords/>
  <dcterms:created xsi:type="dcterms:W3CDTF">2026-05-30T15:55:21Z</dcterms:created>
  <dcterms:modified xsi:type="dcterms:W3CDTF">2026-05-30T15:55:21Z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