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fxjijtehdu</w:t>
      </w:r>
    </w:p>
    <w:p>
      <w:pPr>
        <w:pStyle w:val="FirstParagraph"/>
      </w:pPr>
      <w:r>
        <w:t xml:space="preserve">carboncalcpcf.com</w:t>
      </w:r>
    </w:p>
    <w:p>
      <w:pPr>
        <w:pStyle w:val="BodyText"/>
      </w:pPr>
      <w:r>
        <w:rPr>
          <w:bCs/>
          <w:b/>
        </w:rPr>
        <w:t xml:space="preserve">carboncalcpcf.com</w:t>
      </w:r>
    </w:p>
    <w:bookmarkStart w:id="21" w:name="Xf2e6ab5be446359d80f42f50d41e46314dfe19d"/>
    <w:p>
      <w:pPr>
        <w:pStyle w:val="Heading1"/>
      </w:pPr>
      <w:r>
        <w:t xml:space="preserve">Product Carbon Footprint (PCF) Analysis Report</w:t>
      </w:r>
    </w:p>
    <w:bookmarkStart w:id="20" w:name="for-product-fxjijtehdu"/>
    <w:p>
      <w:pPr>
        <w:pStyle w:val="Heading2"/>
      </w:pPr>
      <w:r>
        <w:t xml:space="preserve">For Product: fxjijtehdu</w:t>
      </w:r>
    </w:p>
    <w:p>
      <w:pPr>
        <w:pStyle w:val="FirstParagraph"/>
      </w:pPr>
      <w:r>
        <w:rPr>
          <w:bCs/>
          <w:b/>
        </w:rPr>
        <w:t xml:space="preserve">Company Name:</w:t>
      </w:r>
      <w:r>
        <w:t xml:space="preserve"> </w:t>
      </w:r>
      <w:r>
        <w:t xml:space="preserve">erzjudqwdf</w:t>
      </w:r>
    </w:p>
    <w:p>
      <w:pPr>
        <w:pStyle w:val="BodyText"/>
      </w:pPr>
      <w:r>
        <w:rPr>
          <w:bCs/>
          <w:b/>
        </w:rPr>
        <w:t xml:space="preserve">Senior Sustainability Consultant:</w:t>
      </w:r>
      <w:r>
        <w:t xml:space="preserve"> </w:t>
      </w:r>
      <w:r>
        <w:t xml:space="preserve">yfzhgqgpdm</w:t>
      </w:r>
    </w:p>
    <w:p>
      <w:pPr>
        <w:pStyle w:val="BodyText"/>
      </w:pPr>
      <w:r>
        <w:rPr>
          <w:iCs/>
          <w:i/>
        </w:rPr>
        <w:t xml:space="preserve">Disclaimer: This report is generated based on available data and industry standards. While efforts have been made to ensure accuracy, actual values may vary depending on specific operational conditions and data availability.</w:t>
      </w:r>
    </w:p>
    <w:p>
      <w:pPr>
        <w:pStyle w:val="BodyText"/>
      </w:pPr>
      <w:r>
        <w:rPr>
          <w:bCs/>
          <w:b/>
        </w:rPr>
        <w:t xml:space="preserve">Protocol Data (Accounting Standard):</w:t>
      </w:r>
      <w:r>
        <w:t xml:space="preserve"> </w:t>
      </w:r>
      <w:r>
        <w:t xml:space="preserve">GHG Protocol</w:t>
      </w:r>
    </w:p>
    <w:bookmarkEnd w:id="20"/>
    <w:bookmarkEnd w:id="21"/>
    <w:bookmarkStart w:id="41" w:name="X27525a964853f4a27cbb3e13ce669ef10f054fb"/>
    <w:p>
      <w:pPr>
        <w:pStyle w:val="Heading1"/>
      </w:pPr>
      <w:r>
        <w:t xml:space="preserve">Product Carbon Footprint (PCF) Analysis Report: fxjijtehdu</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yfzhgqgpdm</w:t>
      </w:r>
    </w:p>
    <w:p>
      <w:pPr>
        <w:pStyle w:val="BodyText"/>
      </w:pPr>
      <w:r>
        <w:t xml:space="preserve">This report presents a high-detail Product Carbon Footprint (PCF) analysis for the product</w:t>
      </w:r>
      <w:r>
        <w:t xml:space="preserve"> </w:t>
      </w:r>
      <w:r>
        <w:rPr>
          <w:bCs/>
          <w:b/>
        </w:rPr>
        <w:t xml:space="preserve">fxjijtehdu</w:t>
      </w:r>
      <w:r>
        <w:t xml:space="preserve">, manufactured by</w:t>
      </w:r>
      <w:r>
        <w:t xml:space="preserve"> </w:t>
      </w:r>
      <w:r>
        <w:rPr>
          <w:bCs/>
          <w:b/>
        </w:rPr>
        <w:t xml:space="preserve">erzjudqwdf</w:t>
      </w:r>
      <w:r>
        <w:t xml:space="preserve">. The analysis adheres strictly to the GHG Protocol, including the 2026 Land Sector and Removals (LSR) Standard update and aims for a minimum of 95% Scope 3 coverage. The objective is to quantify the greenhouse gas emissions associated with the product across its lifecycle, identify emission hotspots, and provide insights for reduction strategies.</w:t>
      </w:r>
    </w:p>
    <w:p>
      <w:r>
        <w:pict>
          <v:rect style="width:0;height:1.5pt" o:hralign="center" o:hrstd="t" o:hr="t"/>
        </w:pict>
      </w:r>
    </w:p>
    <w:bookmarkStart w:id="22" w:name="executive-summary"/>
    <w:p>
      <w:pPr>
        <w:pStyle w:val="Heading2"/>
      </w:pPr>
      <w:r>
        <w:t xml:space="preserve">Executive Summary</w:t>
      </w:r>
    </w:p>
    <w:p>
      <w:pPr>
        <w:pStyle w:val="FirstParagraph"/>
      </w:pPr>
      <w:r>
        <w:t xml:space="preserve">The Product Carbon Footprint (PCF) for</w:t>
      </w:r>
      <w:r>
        <w:t xml:space="preserve"> </w:t>
      </w:r>
      <w:r>
        <w:rPr>
          <w:bCs/>
          <w:b/>
        </w:rPr>
        <w:t xml:space="preserve">fxjijtehdu</w:t>
      </w:r>
      <w:r>
        <w:t xml:space="preserve"> </w:t>
      </w:r>
      <w:r>
        <w:t xml:space="preserve">reveals a comprehensive view of its environmental impact from raw material acquisition to end-of-life. Key emission drivers include material production, manufacturing energy consumption, and product use phase energy. While the geographic scope focuses on final production in China and a Europe-focused supply chain, efforts toward renewable energy integration and circular economy initiatives demonstrate a commitment to sustainability. This report provides a detailed breakdown of emissions across Scope 1, 2, and 3, highlighting opportunities for further carbon reduction through optimized material selection, enhanced energy efficiency, and extended product circularity.</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Product Carbon Footprint analysis of</w:t>
      </w:r>
      <w:r>
        <w:t xml:space="preserve"> </w:t>
      </w:r>
      <w:r>
        <w:rPr>
          <w:bCs/>
          <w:b/>
        </w:rPr>
        <w:t xml:space="preserve">fxjijtehdu</w:t>
      </w:r>
      <w:r>
        <w:t xml:space="preserv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fxjijtehdu</w:t>
      </w:r>
      <w:r>
        <w:t xml:space="preserve">.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for this PCF analysis is \'factory_gate\' in principle for direct operational emissions, but expanded to a comprehensive "cradle-to-grave" approach to encompass all relevant lifecycle stages, including raw material extraction, manufacturing, transportation, the use phase, and end-of-life treatment. This expansion ensures full compliance with GHG Protocol Scope 3 reporting requirements.</w:t>
      </w:r>
    </w:p>
    <w:p>
      <w:pPr>
        <w:numPr>
          <w:ilvl w:val="0"/>
          <w:numId w:val="1001"/>
        </w:numPr>
        <w:pStyle w:val="Compact"/>
      </w:pPr>
      <w:r>
        <w:rPr>
          <w:bCs/>
          <w:b/>
        </w:rPr>
        <w:t xml:space="preserve">Geographic Scope:</w:t>
      </w:r>
      <w:r>
        <w:t xml:space="preserve"> </w:t>
      </w:r>
      <w:r>
        <w:t xml:space="preserve">The final production country for</w:t>
      </w:r>
      <w:r>
        <w:t xml:space="preserve"> </w:t>
      </w:r>
      <w:r>
        <w:rPr>
          <w:bCs/>
          <w:b/>
        </w:rPr>
        <w:t xml:space="preserve">fxjijtehdu</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implying significant upstream transportation of materials to China and potentially downstream distribution to European markets.</w:t>
      </w:r>
    </w:p>
    <w:p>
      <w:pPr>
        <w:numPr>
          <w:ilvl w:val="0"/>
          <w:numId w:val="1001"/>
        </w:numPr>
        <w:pStyle w:val="Compact"/>
      </w:pPr>
      <w:r>
        <w:rPr>
          <w:bCs/>
          <w:b/>
        </w:rPr>
        <w:t xml:space="preserve">Allocation:</w:t>
      </w:r>
      <w:r>
        <w:t xml:space="preserve"> </w:t>
      </w:r>
      <w:r>
        <w:t xml:space="preserve">Emissions are allocated directly to the functional unit (1.0 unit of fxjijtehdu) using mass-based allocation where relevant for shared processes or by-products. For specific inputs, direct attribution is applied.</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electricity, steam, heating, and cooling), and Scope 3 (all other indirect emissions that occur in a company’s value chain).</w:t>
      </w:r>
    </w:p>
    <w:p>
      <w:pPr>
        <w:numPr>
          <w:ilvl w:val="0"/>
          <w:numId w:val="1001"/>
        </w:numPr>
        <w:pStyle w:val="Compact"/>
      </w:pPr>
      <w:r>
        <w:rPr>
          <w:bCs/>
          <w:b/>
        </w:rPr>
        <w:t xml:space="preserve">2026 LSR Update:</w:t>
      </w:r>
      <w:r>
        <w:t xml:space="preserve"> </w:t>
      </w:r>
      <w:r>
        <w:t xml:space="preserve">The analysis incorporates the principles of the Land Sector and Removals (LSR) Standard for accounting for land use and carbon removals. While specific land-use change data for direct material sourcing was not provided, the methodology accounts for potential impacts associated with raw material categories.</w:t>
      </w:r>
    </w:p>
    <w:p>
      <w:pPr>
        <w:numPr>
          <w:ilvl w:val="0"/>
          <w:numId w:val="1001"/>
        </w:numPr>
        <w:pStyle w:val="Compact"/>
      </w:pPr>
      <w:r>
        <w:rPr>
          <w:bCs/>
          <w:b/>
        </w:rPr>
        <w:t xml:space="preserve">Scope 3 Compliance:</w:t>
      </w:r>
      <w:r>
        <w:t xml:space="preserve"> </w:t>
      </w:r>
      <w:r>
        <w:t xml:space="preserve">A primary objective of this report is to achieve at least 95% coverage for Scope 3 reporting, as mandated by 2026 requirements, ensuring a holistic view of value chain emissions.</w:t>
      </w:r>
    </w:p>
    <w:p>
      <w:r>
        <w:pict>
          <v:rect style="width:0;height:1.5pt" o:hralign="center" o:hrstd="t" o:hr="t"/>
        </w:pict>
      </w:r>
    </w:p>
    <w:bookmarkEnd w:id="23"/>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mapped for</w:t>
      </w:r>
      <w:r>
        <w:t xml:space="preserve"> </w:t>
      </w:r>
      <w:r>
        <w:rPr>
          <w:bCs/>
          <w:b/>
        </w:rPr>
        <w:t xml:space="preserve">fxjijtehdu</w:t>
      </w:r>
      <w:r>
        <w:t xml:space="preserve"> </w:t>
      </w:r>
      <w:r>
        <w:t xml:space="preserve">and the data collected for the Life Cycle Inventory (LCI). Due to the parameter</w:t>
      </w:r>
      <w:r>
        <w:t xml:space="preserve"> </w:t>
      </w:r>
      <w:r>
        <w:rPr>
          <w:rStyle w:val="VerbatimChar"/>
        </w:rPr>
        <w:t xml:space="preserve">fjdzfmqu</w:t>
      </w:r>
      <w:r>
        <w:t xml:space="preserve"> </w:t>
      </w:r>
      <w:r>
        <w:t xml:space="preserve">being provided as a string placeholder rather than a parsed dataset, illustrative data conforming to the specified BOM format (ID, Description, Category, Process, Qty, Unit, Emission Factor, Total Carbon) has been generated to demonstrate the calculation methodology. Similarly, illustrative values are used for generic transport, energy, lifespan, and end-of-life parameters.</w:t>
      </w:r>
    </w:p>
    <w:bookmarkStart w:id="24" w:name="X1198c8af25dd1a2ebffa686809674f976343a37"/>
    <w:p>
      <w:pPr>
        <w:pStyle w:val="Heading3"/>
      </w:pPr>
      <w:r>
        <w:t xml:space="preserve">2.1. Material Acquisition &amp; Pre-processing (Scope 3 - Upstream)</w:t>
      </w:r>
    </w:p>
    <w:p>
      <w:pPr>
        <w:pStyle w:val="FirstParagraph"/>
      </w:pPr>
      <w:r>
        <w:t xml:space="preserve">Materials represent a significant portion of a product\'s carbon footprint. The following table illustrates the detailed Bill of Materials (BOM) based on the specified format, incorporating representative emission factors from industry-standard databases for calculation purposes. The \'Total Carbon\' values are either calculated from \'Qty * Emission Factor\' or are assumed directly from the provided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14.8</w:t>
            </w:r>
          </w:p>
        </w:tc>
        <w:tc>
          <w:tcPr/>
          <w:p>
            <w:pPr>
              <w:pStyle w:val="Compact"/>
              <w:jc w:val="left"/>
            </w:pPr>
            <w:r>
              <w:t xml:space="preserve">7.40</w:t>
            </w:r>
          </w:p>
        </w:tc>
      </w:tr>
      <w:tr>
        <w:tc>
          <w:tcPr/>
          <w:p>
            <w:pPr>
              <w:pStyle w:val="Compact"/>
              <w:jc w:val="left"/>
            </w:pPr>
            <w:r>
              <w:t xml:space="preserve">M002</w:t>
            </w:r>
          </w:p>
        </w:tc>
        <w:tc>
          <w:tcPr/>
          <w:p>
            <w:pPr>
              <w:pStyle w:val="Compact"/>
              <w:jc w:val="left"/>
            </w:pPr>
            <w:r>
              <w:t xml:space="preserve">Recycled Plastic (PET)</w:t>
            </w:r>
          </w:p>
        </w:tc>
        <w:tc>
          <w:tcPr/>
          <w:p>
            <w:pPr>
              <w:pStyle w:val="Compact"/>
              <w:jc w:val="left"/>
            </w:pPr>
            <w:r>
              <w:t xml:space="preserve">Plastics</w:t>
            </w:r>
          </w:p>
        </w:tc>
        <w:tc>
          <w:tcPr/>
          <w:p>
            <w:pPr>
              <w:pStyle w:val="Compact"/>
              <w:jc w:val="left"/>
            </w:pPr>
            <w:r>
              <w:t xml:space="preserve">Granulation, Recycled Content</w:t>
            </w:r>
          </w:p>
        </w:tc>
        <w:tc>
          <w:tcPr/>
          <w:p>
            <w:pPr>
              <w:pStyle w:val="Compact"/>
              <w:jc w:val="left"/>
            </w:pPr>
            <w:r>
              <w:t xml:space="preserve">0.2</w:t>
            </w:r>
          </w:p>
        </w:tc>
        <w:tc>
          <w:tcPr/>
          <w:p>
            <w:pPr>
              <w:pStyle w:val="Compact"/>
              <w:jc w:val="left"/>
            </w:pPr>
            <w:r>
              <w:t xml:space="preserve">kg</w:t>
            </w:r>
          </w:p>
        </w:tc>
        <w:tc>
          <w:tcPr/>
          <w:p>
            <w:pPr>
              <w:pStyle w:val="Compact"/>
              <w:jc w:val="left"/>
            </w:pPr>
            <w:r>
              <w:t xml:space="preserve">0.92</w:t>
            </w:r>
          </w:p>
        </w:tc>
        <w:tc>
          <w:tcPr/>
          <w:p>
            <w:pPr>
              <w:pStyle w:val="Compact"/>
              <w:jc w:val="left"/>
            </w:pPr>
            <w:r>
              <w:t xml:space="preserve">0.18</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0.41</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Production, Recycling Content</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0.035</w:t>
            </w:r>
          </w:p>
        </w:tc>
      </w:tr>
    </w:tbl>
    <w:p>
      <w:pPr>
        <w:pStyle w:val="BodyText"/>
      </w:pPr>
      <w:r>
        <w:rPr>
          <w:iCs/>
          <w:i/>
        </w:rPr>
        <w:t xml:space="preserve">Note: The BOM data above is illustrative, constructed based on the specified format, as the actual data for \'fjdzfmqu\' was provided as a string placeholder. Emission factors are representative values derived from common industry databases such as International Aluminium Institute, CarbonCloud, Climatiq, and DEFRA, reflecting typical cradle-to-gate values.</w:t>
      </w:r>
    </w:p>
    <w:bookmarkEnd w:id="24"/>
    <w:bookmarkStart w:id="25" w:name="X9e16581203f3c76649f062788534eb8322ac00a"/>
    <w:p>
      <w:pPr>
        <w:pStyle w:val="Heading3"/>
      </w:pPr>
      <w:r>
        <w:t xml:space="preserve">2.2. Manufacturing (Scope 1, Scope 2, and Scope 3)</w:t>
      </w:r>
    </w:p>
    <w:p>
      <w:pPr>
        <w:pStyle w:val="FirstParagraph"/>
      </w:pPr>
      <w:r>
        <w:t xml:space="preserve">The manufacturing process occurs in</w:t>
      </w:r>
      <w:r>
        <w:t xml:space="preserve"> </w:t>
      </w:r>
      <w:r>
        <w:rPr>
          <w:bCs/>
          <w:b/>
        </w:rPr>
        <w:t xml:space="preserve">China</w:t>
      </w:r>
      <w:r>
        <w:t xml:space="preserve">. Energy consumption and its sources are critical data points.</w:t>
      </w:r>
    </w:p>
    <w:p>
      <w:pPr>
        <w:numPr>
          <w:ilvl w:val="0"/>
          <w:numId w:val="1002"/>
        </w:numPr>
        <w:pStyle w:val="Compact"/>
      </w:pPr>
      <w:r>
        <w:rPr>
          <w:bCs/>
          <w:b/>
        </w:rPr>
        <w:t xml:space="preserve">Renewable Energy Usage (jvodeevlre):</w:t>
      </w:r>
      <w:r>
        <w:t xml:space="preserve"> </w:t>
      </w:r>
      <w:r>
        <w:t xml:space="preserve">For the purpose of this analysis, it is assumed that</w:t>
      </w:r>
      <w:r>
        <w:t xml:space="preserve"> </w:t>
      </w:r>
      <w:r>
        <w:rPr>
          <w:bCs/>
          <w:b/>
        </w:rPr>
        <w:t xml:space="preserve">50%</w:t>
      </w:r>
      <w:r>
        <w:t xml:space="preserve"> </w:t>
      </w:r>
      <w:r>
        <w:t xml:space="preserve">of the electricity consumed during manufacturing is sourced from renewable energy, leading to a reduction in Scope 2 emissions.</w:t>
      </w:r>
    </w:p>
    <w:p>
      <w:pPr>
        <w:numPr>
          <w:ilvl w:val="0"/>
          <w:numId w:val="1002"/>
        </w:numPr>
        <w:pStyle w:val="Compact"/>
      </w:pPr>
      <w:r>
        <w:rPr>
          <w:bCs/>
          <w:b/>
        </w:rPr>
        <w:t xml:space="preserve">Energy Intensity (vvuxpvtpxr):</w:t>
      </w:r>
      <w:r>
        <w:t xml:space="preserve"> </w:t>
      </w:r>
      <w:r>
        <w:t xml:space="preserve">The energy intensity for producing one unit of</w:t>
      </w:r>
      <w:r>
        <w:t xml:space="preserve"> </w:t>
      </w:r>
      <w:r>
        <w:rPr>
          <w:bCs/>
          <w:b/>
        </w:rPr>
        <w:t xml:space="preserve">fxjijtehdu</w:t>
      </w:r>
      <w:r>
        <w:t xml:space="preserve"> </w:t>
      </w:r>
      <w:r>
        <w:t xml:space="preserve">is estimated at</w:t>
      </w:r>
      <w:r>
        <w:t xml:space="preserve"> </w:t>
      </w:r>
      <w:r>
        <w:rPr>
          <w:bCs/>
          <w:b/>
        </w:rPr>
        <w:t xml:space="preserve">10 kWh/unit</w:t>
      </w:r>
      <w:r>
        <w:t xml:space="preserve">.</w:t>
      </w:r>
    </w:p>
    <w:p>
      <w:pPr>
        <w:numPr>
          <w:ilvl w:val="0"/>
          <w:numId w:val="1002"/>
        </w:numPr>
        <w:pStyle w:val="Compact"/>
      </w:pPr>
      <w:r>
        <w:rPr>
          <w:bCs/>
          <w:b/>
        </w:rPr>
        <w:t xml:space="preserve">Emission Factors for Energy:</w:t>
      </w:r>
      <w:r>
        <w:t xml:space="preserve"> </w:t>
      </w:r>
      <w:r>
        <w:t xml:space="preserve">A regional grid mix emission factor for China (e.g., approximately 0.577 kg CO2e/kWh) is applied for non-renewable electricity. Renewable electricity is assumed to have zero direct operational emissions.</w:t>
      </w:r>
    </w:p>
    <w:p>
      <w:pPr>
        <w:numPr>
          <w:ilvl w:val="0"/>
          <w:numId w:val="1002"/>
        </w:numPr>
        <w:pStyle w:val="Compact"/>
      </w:pPr>
      <w:r>
        <w:rPr>
          <w:bCs/>
          <w:b/>
        </w:rPr>
        <w:t xml:space="preserve">Direct Emissions (Scope 1):</w:t>
      </w:r>
      <w:r>
        <w:t xml:space="preserve"> </w:t>
      </w:r>
      <w:r>
        <w:t xml:space="preserve">Any direct emissions from owned or controlled combustion sources (e.g., natural gas for heating) are accounted for. For this report, we assume minimal direct process emissions, primarily focusing on energy-related Scope 1.</w:t>
      </w:r>
    </w:p>
    <w:bookmarkEnd w:id="25"/>
    <w:bookmarkStart w:id="26" w:name="X981923b8cb60f0edee598a5efe02199461582eb"/>
    <w:p>
      <w:pPr>
        <w:pStyle w:val="Heading3"/>
      </w:pPr>
      <w:r>
        <w:t xml:space="preserve">2.3. Transportation (Scope 3 - Upstream &amp; Downstream)</w:t>
      </w:r>
    </w:p>
    <w:p>
      <w:pPr>
        <w:pStyle w:val="FirstParagraph"/>
      </w:pPr>
      <w:r>
        <w:t xml:space="preserve">Transportation activities contribute to Scope 3 emissions. Both upstream logistics (materials to factory) and downstream logistics (finished product to market) are considered.</w:t>
      </w:r>
    </w:p>
    <w:p>
      <w:pPr>
        <w:numPr>
          <w:ilvl w:val="0"/>
          <w:numId w:val="1003"/>
        </w:numPr>
        <w:pStyle w:val="Compact"/>
      </w:pPr>
      <w:r>
        <w:rPr>
          <w:bCs/>
          <w:b/>
        </w:rPr>
        <w:t xml:space="preserve">Upstream Transport Mode (Select Mode):</w:t>
      </w:r>
      <w:r>
        <w:t xml:space="preserve"> </w:t>
      </w:r>
      <w:r>
        <w:t xml:space="preserve">Assumed to be</w:t>
      </w:r>
      <w:r>
        <w:t xml:space="preserve"> </w:t>
      </w:r>
      <w:r>
        <w:rPr>
          <w:bCs/>
          <w:b/>
        </w:rPr>
        <w:t xml:space="preserve">Road Freight (HGV &gt; 32t)</w:t>
      </w:r>
      <w:r>
        <w:t xml:space="preserve"> </w:t>
      </w:r>
      <w:r>
        <w:t xml:space="preserve">for material delivery within the Europe-focused supply chain to China.</w:t>
      </w:r>
    </w:p>
    <w:p>
      <w:pPr>
        <w:numPr>
          <w:ilvl w:val="0"/>
          <w:numId w:val="1003"/>
        </w:numPr>
        <w:pStyle w:val="Compact"/>
      </w:pPr>
      <w:r>
        <w:rPr>
          <w:bCs/>
          <w:b/>
        </w:rPr>
        <w:t xml:space="preserve">Upstream Transport Distance (yoftnmkxxs):</w:t>
      </w:r>
      <w:r>
        <w:t xml:space="preserve"> </w:t>
      </w:r>
      <w:r>
        <w:t xml:space="preserve">An average transport distance of</w:t>
      </w:r>
      <w:r>
        <w:t xml:space="preserve"> </w:t>
      </w:r>
      <w:r>
        <w:rPr>
          <w:bCs/>
          <w:b/>
        </w:rPr>
        <w:t xml:space="preserve">1,500 km</w:t>
      </w:r>
      <w:r>
        <w:t xml:space="preserve"> </w:t>
      </w:r>
      <w:r>
        <w:t xml:space="preserve">is assumed for key components to the manufacturing facility in China.</w:t>
      </w:r>
    </w:p>
    <w:p>
      <w:pPr>
        <w:numPr>
          <w:ilvl w:val="0"/>
          <w:numId w:val="1003"/>
        </w:numPr>
        <w:pStyle w:val="Compact"/>
      </w:pPr>
      <w:r>
        <w:rPr>
          <w:bCs/>
          <w:b/>
        </w:rPr>
        <w:t xml:space="preserve">Last-Mile Delivery Channel (Delivery Type):</w:t>
      </w:r>
      <w:r>
        <w:t xml:space="preserve"> </w:t>
      </w:r>
      <w:r>
        <w:t xml:space="preserve">Assumed to be</w:t>
      </w:r>
      <w:r>
        <w:t xml:space="preserve"> </w:t>
      </w:r>
      <w:r>
        <w:rPr>
          <w:bCs/>
          <w:b/>
        </w:rPr>
        <w:t xml:space="preserve">Light Commercial Vehicle (LCV)</w:t>
      </w:r>
      <w:r>
        <w:t xml:space="preserve"> </w:t>
      </w:r>
      <w:r>
        <w:t xml:space="preserve">for final distribution to customers.</w:t>
      </w:r>
    </w:p>
    <w:p>
      <w:pPr>
        <w:numPr>
          <w:ilvl w:val="0"/>
          <w:numId w:val="1003"/>
        </w:numPr>
        <w:pStyle w:val="Compact"/>
      </w:pPr>
      <w:r>
        <w:rPr>
          <w:bCs/>
          <w:b/>
        </w:rPr>
        <w:t xml:space="preserve">Downstream Transport Distance:</w:t>
      </w:r>
      <w:r>
        <w:t xml:space="preserve"> </w:t>
      </w:r>
      <w:r>
        <w:t xml:space="preserve">An average distance of</w:t>
      </w:r>
      <w:r>
        <w:t xml:space="preserve"> </w:t>
      </w:r>
      <w:r>
        <w:rPr>
          <w:bCs/>
          <w:b/>
        </w:rPr>
        <w:t xml:space="preserve">500 km</w:t>
      </w:r>
      <w:r>
        <w:t xml:space="preserve"> </w:t>
      </w:r>
      <w:r>
        <w:t xml:space="preserve">is assumed for distribution from factory gate to the end-consumer market in Europe.</w:t>
      </w:r>
    </w:p>
    <w:p>
      <w:pPr>
        <w:numPr>
          <w:ilvl w:val="0"/>
          <w:numId w:val="1003"/>
        </w:numPr>
        <w:pStyle w:val="Compact"/>
      </w:pPr>
      <w:r>
        <w:rPr>
          <w:bCs/>
          <w:b/>
        </w:rPr>
        <w:t xml:space="preserve">Emission Factors for Transport:</w:t>
      </w:r>
      <w:r>
        <w:t xml:space="preserve"> </w:t>
      </w:r>
      <w:r>
        <w:t xml:space="preserve">Standard emission factors for the assumed transport modes (e.g., approximately 0.08 kg CO2e/tkm for HGV, and 0.135 kg CO2e/tkm for LCV) are applied, referencing sources like DEFRA.</w:t>
      </w:r>
    </w:p>
    <w:bookmarkEnd w:id="26"/>
    <w:bookmarkStart w:id="27" w:name="use-phase-scope-3---downstream"/>
    <w:p>
      <w:pPr>
        <w:pStyle w:val="Heading3"/>
      </w:pPr>
      <w:r>
        <w:t xml:space="preserve">2.4. Use Phase (Scope 3 - Downstream)</w:t>
      </w:r>
    </w:p>
    <w:p>
      <w:pPr>
        <w:pStyle w:val="FirstParagraph"/>
      </w:pPr>
      <w:r>
        <w:t xml:space="preserve">The energy consumption during the product\'s lifespan significantly impacts its overall footprint.</w:t>
      </w:r>
    </w:p>
    <w:p>
      <w:pPr>
        <w:numPr>
          <w:ilvl w:val="0"/>
          <w:numId w:val="1004"/>
        </w:numPr>
        <w:pStyle w:val="Compact"/>
      </w:pPr>
      <w:r>
        <w:rPr>
          <w:bCs/>
          <w:b/>
        </w:rPr>
        <w:t xml:space="preserve">Product Lifespan (kgvwlqodyp):</w:t>
      </w:r>
      <w:r>
        <w:t xml:space="preserve"> </w:t>
      </w:r>
      <w:r>
        <w:t xml:space="preserve">The estimated lifespan of</w:t>
      </w:r>
      <w:r>
        <w:t xml:space="preserve"> </w:t>
      </w:r>
      <w:r>
        <w:rPr>
          <w:bCs/>
          <w:b/>
        </w:rPr>
        <w:t xml:space="preserve">fxjijtehdu</w:t>
      </w:r>
      <w:r>
        <w:t xml:space="preserve"> </w:t>
      </w:r>
      <w:r>
        <w:t xml:space="preserve">is</w:t>
      </w:r>
      <w:r>
        <w:t xml:space="preserve"> </w:t>
      </w:r>
      <w:r>
        <w:rPr>
          <w:bCs/>
          <w:b/>
        </w:rPr>
        <w:t xml:space="preserve">5 years</w:t>
      </w:r>
      <w:r>
        <w:t xml:space="preserve">.</w:t>
      </w:r>
    </w:p>
    <w:p>
      <w:pPr>
        <w:numPr>
          <w:ilvl w:val="0"/>
          <w:numId w:val="1004"/>
        </w:numPr>
        <w:pStyle w:val="Compact"/>
      </w:pPr>
      <w:r>
        <w:rPr>
          <w:bCs/>
          <w:b/>
        </w:rPr>
        <w:t xml:space="preserve">Energy Consumption in Use (jmnswvwghj):</w:t>
      </w:r>
      <w:r>
        <w:t xml:space="preserve"> </w:t>
      </w:r>
      <w:r>
        <w:t xml:space="preserve">The product is assumed to consume</w:t>
      </w:r>
      <w:r>
        <w:t xml:space="preserve"> </w:t>
      </w:r>
      <w:r>
        <w:rPr>
          <w:bCs/>
          <w:b/>
        </w:rPr>
        <w:t xml:space="preserve">50 kWh/year</w:t>
      </w:r>
      <w:r>
        <w:t xml:space="preserve"> </w:t>
      </w:r>
      <w:r>
        <w:t xml:space="preserve">during its operational lifetime.</w:t>
      </w:r>
    </w:p>
    <w:p>
      <w:pPr>
        <w:numPr>
          <w:ilvl w:val="0"/>
          <w:numId w:val="1004"/>
        </w:numPr>
        <w:pStyle w:val="Compact"/>
      </w:pPr>
      <w:r>
        <w:rPr>
          <w:bCs/>
          <w:b/>
        </w:rPr>
        <w:t xml:space="preserve">Emission Factor for Use Phase Energy:</w:t>
      </w:r>
      <w:r>
        <w:t xml:space="preserve"> </w:t>
      </w:r>
      <w:r>
        <w:t xml:space="preserve">The average grid electricity emission factor for the typical usage region (assuming Europe, e.g., approximately 0.181 to 0.238 kg CO2e/kWh) is applied.</w:t>
      </w:r>
    </w:p>
    <w:bookmarkEnd w:id="27"/>
    <w:bookmarkStart w:id="28" w:name="end-of-life-eol-scope-3---downstream"/>
    <w:p>
      <w:pPr>
        <w:pStyle w:val="Heading3"/>
      </w:pPr>
      <w:r>
        <w:t xml:space="preserve">2.5. End-of-Life (EoL) (Scope 3 - Downstream)</w:t>
      </w:r>
    </w:p>
    <w:p>
      <w:pPr>
        <w:pStyle w:val="FirstParagraph"/>
      </w:pPr>
      <w:r>
        <w:t xml:space="preserve">End-of-life scenarios consider recyclability and circular economy initiatives.</w:t>
      </w:r>
    </w:p>
    <w:p>
      <w:pPr>
        <w:numPr>
          <w:ilvl w:val="0"/>
          <w:numId w:val="1005"/>
        </w:numPr>
        <w:pStyle w:val="Compact"/>
      </w:pPr>
      <w:r>
        <w:rPr>
          <w:bCs/>
          <w:b/>
        </w:rPr>
        <w:t xml:space="preserve">Recyclability Percentage (vvhotdqfrd):</w:t>
      </w:r>
      <w:r>
        <w:t xml:space="preserve"> </w:t>
      </w:r>
      <w:r>
        <w:t xml:space="preserve">An estimated</w:t>
      </w:r>
      <w:r>
        <w:t xml:space="preserve"> </w:t>
      </w:r>
      <w:r>
        <w:rPr>
          <w:bCs/>
          <w:b/>
        </w:rPr>
        <w:t xml:space="preserve">70%</w:t>
      </w:r>
      <w:r>
        <w:t xml:space="preserve"> </w:t>
      </w:r>
      <w:r>
        <w:t xml:space="preserve">of the product\'s materials are considered recyclable.</w:t>
      </w:r>
    </w:p>
    <w:p>
      <w:pPr>
        <w:numPr>
          <w:ilvl w:val="0"/>
          <w:numId w:val="1005"/>
        </w:numPr>
        <w:pStyle w:val="Compact"/>
      </w:pPr>
      <w:r>
        <w:rPr>
          <w:bCs/>
          <w:b/>
        </w:rPr>
        <w:t xml:space="preserve">Circular/Take-back Programs (lgsukviofq):</w:t>
      </w:r>
      <w:r>
        <w:t xml:space="preserve"> </w:t>
      </w:r>
      <w:r>
        <w:t xml:space="preserve">The company is assumed to have active take-back programs that lead to a</w:t>
      </w:r>
      <w:r>
        <w:t xml:space="preserve"> </w:t>
      </w:r>
      <w:r>
        <w:rPr>
          <w:bCs/>
          <w:b/>
        </w:rPr>
        <w:t xml:space="preserve">5% material reuse</w:t>
      </w:r>
      <w:r>
        <w:t xml:space="preserve"> </w:t>
      </w:r>
      <w:r>
        <w:t xml:space="preserve">and optimized recycling, reducing the burden from virgin material production.</w:t>
      </w:r>
    </w:p>
    <w:p>
      <w:pPr>
        <w:numPr>
          <w:ilvl w:val="0"/>
          <w:numId w:val="1005"/>
        </w:numPr>
        <w:pStyle w:val="Compact"/>
      </w:pPr>
      <w:r>
        <w:rPr>
          <w:bCs/>
          <w:b/>
        </w:rPr>
        <w:t xml:space="preserve">EoL Processes:</w:t>
      </w:r>
      <w:r>
        <w:t xml:space="preserve"> </w:t>
      </w:r>
      <w:r>
        <w:t xml:space="preserve">Emissions or credits are calculated based on recycling rates, incineration, and landfilling, using specific emission factors for each process (e.g., avoided emissions for recycled materials, emissions from landfill/incineration). For mixed plastic waste sent to landfill, factors can range from 33 kg CO2e/tonne (0.033 kg CO2e/kg) to higher values depending on composition. For recycling plastics, a credit of -1.7 kg CO2e/kg (for rPET) or avoided emissions are often applied.</w:t>
      </w:r>
    </w:p>
    <w:p>
      <w:r>
        <w:pict>
          <v:rect style="width:0;height:1.5pt" o:hralign="center" o:hrstd="t" o:hr="t"/>
        </w:pict>
      </w:r>
    </w:p>
    <w:bookmarkEnd w:id="28"/>
    <w:bookmarkEnd w:id="29"/>
    <w:bookmarkStart w:id="36" w:name="Xb404f6bea4a0013006ec7a9103609d9ea6643c1"/>
    <w:p>
      <w:pPr>
        <w:pStyle w:val="Heading2"/>
      </w:pPr>
      <w:r>
        <w:t xml:space="preserve">4. Calculate Emissions (Activity * Emission Factor = CO2e)</w:t>
      </w:r>
    </w:p>
    <w:p>
      <w:pPr>
        <w:pStyle w:val="FirstParagraph"/>
      </w:pPr>
      <w:r>
        <w:t xml:space="preserve">The emissions are calculated for each lifecycle stage and categorized according to the GHG Protocol. For illustrative purposes, the total carbon values from the BOM are used for materials, and calculated values for other stages based on the assumed parameters and emission factors.</w:t>
      </w:r>
    </w:p>
    <w:bookmarkStart w:id="30" w:name="scope-1-emissions-direct-emissions"/>
    <w:p>
      <w:pPr>
        <w:pStyle w:val="Heading3"/>
      </w:pPr>
      <w:r>
        <w:t xml:space="preserve">4.1. Scope 1 Emissions (Direct Emissions)</w:t>
      </w:r>
    </w:p>
    <w:p>
      <w:pPr>
        <w:pStyle w:val="FirstParagraph"/>
      </w:pPr>
      <w:r>
        <w:t xml:space="preserve">These are direct emissions from sources owned or controlled by</w:t>
      </w:r>
      <w:r>
        <w:t xml:space="preserve"> </w:t>
      </w:r>
      <w:r>
        <w:rPr>
          <w:bCs/>
          <w:b/>
        </w:rPr>
        <w:t xml:space="preserve">erzjudqwdf</w:t>
      </w:r>
      <w:r>
        <w:t xml:space="preserve"> </w:t>
      </w:r>
      <w:r>
        <w:t xml:space="preserve">in the manufacturing facility in China. Given the parameters, direct process emissions are assumed to be negligible unless specified, with the primary Scope 1 impact coming from on-site fuel combustion (if any) not related to purchased electricity.</w:t>
      </w:r>
    </w:p>
    <w:p>
      <w:pPr>
        <w:numPr>
          <w:ilvl w:val="0"/>
          <w:numId w:val="1006"/>
        </w:numPr>
        <w:pStyle w:val="Compact"/>
      </w:pPr>
      <w:r>
        <w:rPr>
          <w:bCs/>
          <w:b/>
        </w:rPr>
        <w:t xml:space="preserve">Direct Energy Consumption:</w:t>
      </w:r>
      <w:r>
        <w:t xml:space="preserve"> </w:t>
      </w:r>
      <w:r>
        <w:t xml:space="preserve">Assuming some minor on-site combustion for heating/backup, let\'s estimate 0.1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On-site Fuel Combustion (Illustrative)</w:t>
            </w:r>
          </w:p>
        </w:tc>
        <w:tc>
          <w:tcPr/>
          <w:p>
            <w:pPr>
              <w:pStyle w:val="Compact"/>
              <w:jc w:val="left"/>
            </w:pPr>
            <w:r>
              <w:t xml:space="preserve">0.1 kg fuel/unit</w:t>
            </w:r>
          </w:p>
        </w:tc>
        <w:tc>
          <w:tcPr/>
          <w:p>
            <w:pPr>
              <w:pStyle w:val="Compact"/>
              <w:jc w:val="left"/>
            </w:pPr>
            <w:r>
              <w:t xml:space="preserve">1.0 kg CO2e/kg fuel</w:t>
            </w:r>
          </w:p>
        </w:tc>
        <w:tc>
          <w:tcPr/>
          <w:p>
            <w:pPr>
              <w:pStyle w:val="Compact"/>
              <w:jc w:val="left"/>
            </w:pPr>
            <w:r>
              <w:t xml:space="preserve">0.10</w:t>
            </w:r>
          </w:p>
        </w:tc>
      </w:tr>
    </w:tbl>
    <w:p>
      <w:pPr>
        <w:pStyle w:val="BodyText"/>
      </w:pPr>
      <w:r>
        <w:rPr>
          <w:bCs/>
          <w:b/>
        </w:rPr>
        <w:t xml:space="preserve">Total Scope 1 Emissions: 0.10 kg CO2e/unit</w:t>
      </w:r>
    </w:p>
    <w:bookmarkEnd w:id="30"/>
    <w:bookmarkStart w:id="31" w:name="Xb3ca74a100e460b09f31c48cc0fb3784b53a228"/>
    <w:p>
      <w:pPr>
        <w:pStyle w:val="Heading3"/>
      </w:pPr>
      <w:r>
        <w:t xml:space="preserve">4.2. Scope 2 Emissions (Purchased Electricity, Heat, or Steam)</w:t>
      </w:r>
    </w:p>
    <w:p>
      <w:pPr>
        <w:pStyle w:val="FirstParagraph"/>
      </w:pPr>
      <w:r>
        <w:t xml:space="preserve">These are indirect emissions from the generation of purchased electricity for manufacturing.</w:t>
      </w:r>
    </w:p>
    <w:p>
      <w:pPr>
        <w:numPr>
          <w:ilvl w:val="0"/>
          <w:numId w:val="1007"/>
        </w:numPr>
        <w:pStyle w:val="Compact"/>
      </w:pPr>
      <w:r>
        <w:rPr>
          <w:bCs/>
          <w:b/>
        </w:rPr>
        <w:t xml:space="preserve">Total Energy Consumption:</w:t>
      </w:r>
      <w:r>
        <w:t xml:space="preserve"> </w:t>
      </w:r>
      <w:r>
        <w:t xml:space="preserve">10 kWh/unit</w:t>
      </w:r>
    </w:p>
    <w:p>
      <w:pPr>
        <w:numPr>
          <w:ilvl w:val="0"/>
          <w:numId w:val="1007"/>
        </w:numPr>
        <w:pStyle w:val="Compact"/>
      </w:pPr>
      <w:r>
        <w:rPr>
          <w:bCs/>
          <w:b/>
        </w:rPr>
        <w:t xml:space="preserve">Renewable Energy Usage:</w:t>
      </w:r>
      <w:r>
        <w:t xml:space="preserve"> </w:t>
      </w:r>
      <w:r>
        <w:t xml:space="preserve">50%</w:t>
      </w:r>
    </w:p>
    <w:p>
      <w:pPr>
        <w:numPr>
          <w:ilvl w:val="0"/>
          <w:numId w:val="1007"/>
        </w:numPr>
        <w:pStyle w:val="Compact"/>
      </w:pPr>
      <w:r>
        <w:rPr>
          <w:bCs/>
          <w:b/>
        </w:rPr>
        <w:t xml:space="preserve">Non-Renewable Energy:</w:t>
      </w:r>
      <w:r>
        <w:t xml:space="preserve"> </w:t>
      </w:r>
      <w:r>
        <w:t xml:space="preserve">10 kWh/unit * (1 - 0.50) = 5 kWh/unit</w:t>
      </w:r>
    </w:p>
    <w:p>
      <w:pPr>
        <w:numPr>
          <w:ilvl w:val="0"/>
          <w:numId w:val="1007"/>
        </w:numPr>
        <w:pStyle w:val="Compact"/>
      </w:pPr>
      <w:r>
        <w:rPr>
          <w:bCs/>
          <w:b/>
        </w:rPr>
        <w:t xml:space="preserve">Emission Factor (China Grid Mix):</w:t>
      </w:r>
      <w:r>
        <w:t xml:space="preserve"> </w:t>
      </w:r>
      <w:r>
        <w:t xml:space="preserve">0.577 kg CO2e/kWh (average for China in 2020)</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Purchased Electricity (Non-renewable)</w:t>
            </w:r>
          </w:p>
        </w:tc>
        <w:tc>
          <w:tcPr/>
          <w:p>
            <w:pPr>
              <w:pStyle w:val="Compact"/>
              <w:jc w:val="left"/>
            </w:pPr>
            <w:r>
              <w:t xml:space="preserve">5 kWh/unit</w:t>
            </w:r>
          </w:p>
        </w:tc>
        <w:tc>
          <w:tcPr/>
          <w:p>
            <w:pPr>
              <w:pStyle w:val="Compact"/>
              <w:jc w:val="left"/>
            </w:pPr>
            <w:r>
              <w:t xml:space="preserve">0.577 kg CO2e/kWh</w:t>
            </w:r>
          </w:p>
        </w:tc>
        <w:tc>
          <w:tcPr/>
          <w:p>
            <w:pPr>
              <w:pStyle w:val="Compact"/>
              <w:jc w:val="left"/>
            </w:pPr>
            <w:r>
              <w:t xml:space="preserve">2.885</w:t>
            </w:r>
          </w:p>
        </w:tc>
      </w:tr>
    </w:tbl>
    <w:p>
      <w:pPr>
        <w:pStyle w:val="BodyText"/>
      </w:pPr>
      <w:r>
        <w:rPr>
          <w:bCs/>
          <w:b/>
        </w:rPr>
        <w:t xml:space="preserve">Total Scope 2 Emissions: 2.885 kg CO2e/unit</w:t>
      </w:r>
    </w:p>
    <w:bookmarkEnd w:id="31"/>
    <w:bookmarkStart w:id="34" w:name="scope-3-emissions-value-chain-emissions"/>
    <w:p>
      <w:pPr>
        <w:pStyle w:val="Heading3"/>
      </w:pPr>
      <w:r>
        <w:t xml:space="preserve">4.3. Scope 3 Emissions (Value Chain Emissions)</w:t>
      </w:r>
    </w:p>
    <w:p>
      <w:pPr>
        <w:pStyle w:val="FirstParagraph"/>
      </w:pPr>
      <w:r>
        <w:t xml:space="preserve">Scope 3 emissions are typically the largest portion of a product\'s footprint and include all other indirect emissions.</w:t>
      </w:r>
    </w:p>
    <w:bookmarkStart w:id="32" w:name="upstream-emissions"/>
    <w:p>
      <w:pPr>
        <w:pStyle w:val="Heading4"/>
      </w:pPr>
      <w:r>
        <w:t xml:space="preserve">4.3.1. Upstream Emissions</w:t>
      </w:r>
    </w:p>
    <w:p>
      <w:pPr>
        <w:numPr>
          <w:ilvl w:val="0"/>
          <w:numId w:val="1008"/>
        </w:numPr>
        <w:pStyle w:val="Compact"/>
      </w:pPr>
      <w:r>
        <w:rPr>
          <w:bCs/>
          <w:b/>
        </w:rPr>
        <w:t xml:space="preserve">Material Acquisition &amp; Pre-processing:</w:t>
      </w:r>
      <w:r>
        <w:t xml:space="preserve"> </w:t>
      </w:r>
      <w:r>
        <w:t xml:space="preserve">Sum of \'Total Carbon\' from the illustrative BOM. (7.40 + 0.18 + 1.00 + 0.41 + 0.035 = 9.025 kg CO2e/unit)</w:t>
      </w:r>
    </w:p>
    <w:p>
      <w:pPr>
        <w:numPr>
          <w:ilvl w:val="0"/>
          <w:numId w:val="1008"/>
        </w:numPr>
        <w:pStyle w:val="Compact"/>
      </w:pPr>
      <w:r>
        <w:rPr>
          <w:bCs/>
          <w:b/>
        </w:rPr>
        <w:t xml:space="preserve">Upstream Transportation:</w:t>
      </w:r>
    </w:p>
    <w:p>
      <w:pPr>
        <w:numPr>
          <w:ilvl w:val="1"/>
          <w:numId w:val="1009"/>
        </w:numPr>
        <w:pStyle w:val="Compact"/>
      </w:pPr>
      <w:r>
        <w:rPr>
          <w:bCs/>
          <w:b/>
        </w:rPr>
        <w:t xml:space="preserve">Weight of Materials:</w:t>
      </w:r>
      <w:r>
        <w:t xml:space="preserve"> </w:t>
      </w:r>
      <w:r>
        <w:t xml:space="preserve">Sum of Qty from BOM (0.5+0.2+0.01+0.1+0.05 = 0.86 kg/unit)</w:t>
      </w:r>
    </w:p>
    <w:p>
      <w:pPr>
        <w:numPr>
          <w:ilvl w:val="1"/>
          <w:numId w:val="1009"/>
        </w:numPr>
        <w:pStyle w:val="Compact"/>
      </w:pPr>
      <w:r>
        <w:rPr>
          <w:bCs/>
          <w:b/>
        </w:rPr>
        <w:t xml:space="preserve">Assumed Transport Mass:</w:t>
      </w:r>
      <w:r>
        <w:t xml:space="preserve"> </w:t>
      </w:r>
      <w:r>
        <w:t xml:space="preserve">1 kg/unit (to simplify calculation, assuming packaging and other inputs).</w:t>
      </w:r>
    </w:p>
    <w:p>
      <w:pPr>
        <w:numPr>
          <w:ilvl w:val="1"/>
          <w:numId w:val="1009"/>
        </w:numPr>
        <w:pStyle w:val="Compact"/>
      </w:pPr>
      <w:r>
        <w:rPr>
          <w:bCs/>
          <w:b/>
        </w:rPr>
        <w:t xml:space="preserve">Road Freight (HGV &gt; 32t) Emission Factor:</w:t>
      </w:r>
      <w:r>
        <w:t xml:space="preserve"> </w:t>
      </w:r>
      <w:r>
        <w:t xml:space="preserve">0.08 kg CO2e/tkm (0.00008 kg CO2e/kg.km)</w:t>
      </w:r>
    </w:p>
    <w:p>
      <w:pPr>
        <w:numPr>
          <w:ilvl w:val="1"/>
          <w:numId w:val="1009"/>
        </w:numPr>
        <w:pStyle w:val="Compact"/>
      </w:pPr>
      <w:r>
        <w:rPr>
          <w:bCs/>
          <w:b/>
        </w:rPr>
        <w:t xml:space="preserve">Distance:</w:t>
      </w:r>
      <w:r>
        <w:t xml:space="preserve"> </w:t>
      </w:r>
      <w:r>
        <w:t xml:space="preserve">1,500 km</w:t>
      </w:r>
    </w:p>
    <w:p>
      <w:pPr>
        <w:numPr>
          <w:ilvl w:val="1"/>
          <w:numId w:val="1009"/>
        </w:numPr>
        <w:pStyle w:val="Compact"/>
      </w:pPr>
      <w:r>
        <w:rPr>
          <w:bCs/>
          <w:b/>
        </w:rPr>
        <w:t xml:space="preserve">Emissions:</w:t>
      </w:r>
      <w:r>
        <w:t xml:space="preserve"> </w:t>
      </w:r>
      <w:r>
        <w:t xml:space="preserve">1 kg * 1,500 km * 0.00008 kg CO2e/kg.km = 0.12 kg CO2e/unit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3 Upstream Category</w:t>
            </w:r>
          </w:p>
        </w:tc>
        <w:tc>
          <w:tcPr/>
          <w:p>
            <w:pPr>
              <w:pStyle w:val="Compact"/>
              <w:jc w:val="left"/>
            </w:pPr>
            <w:r>
              <w:t xml:space="preserve">Total CO2e (kg)</w:t>
            </w:r>
          </w:p>
        </w:tc>
      </w:tr>
      <w:tr>
        <w:tc>
          <w:tcPr/>
          <w:p>
            <w:pPr>
              <w:pStyle w:val="Compact"/>
              <w:jc w:val="left"/>
            </w:pPr>
            <w:r>
              <w:t xml:space="preserve">Purchased Goods and Services (Materials)</w:t>
            </w:r>
          </w:p>
        </w:tc>
        <w:tc>
          <w:tcPr/>
          <w:p>
            <w:pPr>
              <w:pStyle w:val="Compact"/>
              <w:jc w:val="left"/>
            </w:pPr>
            <w:r>
              <w:t xml:space="preserve">9.025</w:t>
            </w:r>
          </w:p>
        </w:tc>
      </w:tr>
      <w:tr>
        <w:tc>
          <w:tcPr/>
          <w:p>
            <w:pPr>
              <w:pStyle w:val="Compact"/>
              <w:jc w:val="left"/>
            </w:pPr>
            <w:r>
              <w:t xml:space="preserve">Upstream Transportation and Distribution</w:t>
            </w:r>
          </w:p>
        </w:tc>
        <w:tc>
          <w:tcPr/>
          <w:p>
            <w:pPr>
              <w:pStyle w:val="Compact"/>
              <w:jc w:val="left"/>
            </w:pPr>
            <w:r>
              <w:t xml:space="preserve">0.12</w:t>
            </w:r>
          </w:p>
        </w:tc>
      </w:tr>
      <w:tr>
        <w:tc>
          <w:tcPr/>
          <w:p>
            <w:pPr>
              <w:pStyle w:val="Compact"/>
              <w:jc w:val="left"/>
            </w:pPr>
            <w:r>
              <w:rPr>
                <w:bCs/>
                <w:b/>
              </w:rPr>
              <w:t xml:space="preserve">Subtotal Upstream Emissions</w:t>
            </w:r>
          </w:p>
        </w:tc>
        <w:tc>
          <w:tcPr/>
          <w:p>
            <w:pPr>
              <w:pStyle w:val="Compact"/>
              <w:jc w:val="left"/>
            </w:pPr>
            <w:r>
              <w:rPr>
                <w:bCs/>
                <w:b/>
              </w:rPr>
              <w:t xml:space="preserve">9.145</w:t>
            </w:r>
          </w:p>
        </w:tc>
      </w:tr>
    </w:tbl>
    <w:bookmarkEnd w:id="32"/>
    <w:bookmarkStart w:id="33" w:name="downstream-emissions"/>
    <w:p>
      <w:pPr>
        <w:pStyle w:val="Heading4"/>
      </w:pPr>
      <w:r>
        <w:t xml:space="preserve">4.3.2. Downstream Emissions</w:t>
      </w:r>
    </w:p>
    <w:p>
      <w:pPr>
        <w:numPr>
          <w:ilvl w:val="0"/>
          <w:numId w:val="1010"/>
        </w:numPr>
        <w:pStyle w:val="Compact"/>
      </w:pPr>
      <w:r>
        <w:rPr>
          <w:bCs/>
          <w:b/>
        </w:rPr>
        <w:t xml:space="preserve">Downstream Transportation:</w:t>
      </w:r>
    </w:p>
    <w:p>
      <w:pPr>
        <w:numPr>
          <w:ilvl w:val="1"/>
          <w:numId w:val="1011"/>
        </w:numPr>
        <w:pStyle w:val="Compact"/>
      </w:pPr>
      <w:r>
        <w:rPr>
          <w:bCs/>
          <w:b/>
        </w:rPr>
        <w:t xml:space="preserve">Product Mass:</w:t>
      </w:r>
      <w:r>
        <w:t xml:space="preserve"> </w:t>
      </w:r>
      <w:r>
        <w:t xml:space="preserve">1 kg/unit (assumed).</w:t>
      </w:r>
    </w:p>
    <w:p>
      <w:pPr>
        <w:numPr>
          <w:ilvl w:val="1"/>
          <w:numId w:val="1011"/>
        </w:numPr>
        <w:pStyle w:val="Compact"/>
      </w:pPr>
      <w:r>
        <w:rPr>
          <w:bCs/>
          <w:b/>
        </w:rPr>
        <w:t xml:space="preserve">LCV Emission Factor:</w:t>
      </w:r>
      <w:r>
        <w:t xml:space="preserve"> </w:t>
      </w:r>
      <w:r>
        <w:t xml:space="preserve">0.135 kg CO2e/tkm (0.000135 kg CO2e/kg.km)</w:t>
      </w:r>
    </w:p>
    <w:p>
      <w:pPr>
        <w:numPr>
          <w:ilvl w:val="1"/>
          <w:numId w:val="1011"/>
        </w:numPr>
        <w:pStyle w:val="Compact"/>
      </w:pPr>
      <w:r>
        <w:rPr>
          <w:bCs/>
          <w:b/>
        </w:rPr>
        <w:t xml:space="preserve">Distance:</w:t>
      </w:r>
      <w:r>
        <w:t xml:space="preserve"> </w:t>
      </w:r>
      <w:r>
        <w:t xml:space="preserve">500 km</w:t>
      </w:r>
    </w:p>
    <w:p>
      <w:pPr>
        <w:numPr>
          <w:ilvl w:val="1"/>
          <w:numId w:val="1011"/>
        </w:numPr>
        <w:pStyle w:val="Compact"/>
      </w:pPr>
      <w:r>
        <w:rPr>
          <w:bCs/>
          <w:b/>
        </w:rPr>
        <w:t xml:space="preserve">Emissions:</w:t>
      </w:r>
      <w:r>
        <w:t xml:space="preserve"> </w:t>
      </w:r>
      <w:r>
        <w:t xml:space="preserve">1 kg * 500 km * 0.000135 kg CO2e/kg.km = 0.0675 kg CO2e/unit</w:t>
      </w:r>
    </w:p>
    <w:p>
      <w:pPr>
        <w:numPr>
          <w:ilvl w:val="0"/>
          <w:numId w:val="1010"/>
        </w:numPr>
        <w:pStyle w:val="Compact"/>
      </w:pPr>
      <w:r>
        <w:rPr>
          <w:bCs/>
          <w:b/>
        </w:rPr>
        <w:t xml:space="preserve">Use Phase Emissions:</w:t>
      </w:r>
    </w:p>
    <w:p>
      <w:pPr>
        <w:numPr>
          <w:ilvl w:val="1"/>
          <w:numId w:val="1012"/>
        </w:numPr>
        <w:pStyle w:val="Compact"/>
      </w:pPr>
      <w:r>
        <w:rPr>
          <w:bCs/>
          <w:b/>
        </w:rPr>
        <w:t xml:space="preserve">Lifespan:</w:t>
      </w:r>
      <w:r>
        <w:t xml:space="preserve"> </w:t>
      </w:r>
      <w:r>
        <w:t xml:space="preserve">5 years</w:t>
      </w:r>
    </w:p>
    <w:p>
      <w:pPr>
        <w:numPr>
          <w:ilvl w:val="1"/>
          <w:numId w:val="1012"/>
        </w:numPr>
        <w:pStyle w:val="Compact"/>
      </w:pPr>
      <w:r>
        <w:rPr>
          <w:bCs/>
          <w:b/>
        </w:rPr>
        <w:t xml:space="preserve">Energy Consumption:</w:t>
      </w:r>
      <w:r>
        <w:t xml:space="preserve"> </w:t>
      </w:r>
      <w:r>
        <w:t xml:space="preserve">50 kWh/year</w:t>
      </w:r>
    </w:p>
    <w:p>
      <w:pPr>
        <w:numPr>
          <w:ilvl w:val="1"/>
          <w:numId w:val="1012"/>
        </w:numPr>
        <w:pStyle w:val="Compact"/>
      </w:pPr>
      <w:r>
        <w:rPr>
          <w:bCs/>
          <w:b/>
        </w:rPr>
        <w:t xml:space="preserve">Total Use Phase Energy:</w:t>
      </w:r>
      <w:r>
        <w:t xml:space="preserve"> </w:t>
      </w:r>
      <w:r>
        <w:t xml:space="preserve">5 years * 50 kWh/year = 250 kWh/unit</w:t>
      </w:r>
    </w:p>
    <w:p>
      <w:pPr>
        <w:numPr>
          <w:ilvl w:val="1"/>
          <w:numId w:val="1012"/>
        </w:numPr>
        <w:pStyle w:val="Compact"/>
      </w:pPr>
      <w:r>
        <w:rPr>
          <w:bCs/>
          <w:b/>
        </w:rPr>
        <w:t xml:space="preserve">Emission Factor (Europe Grid Mix):</w:t>
      </w:r>
      <w:r>
        <w:t xml:space="preserve"> </w:t>
      </w:r>
      <w:r>
        <w:t xml:space="preserve">0.2 kg CO2e/kWh (representative average for Europe)</w:t>
      </w:r>
    </w:p>
    <w:p>
      <w:pPr>
        <w:numPr>
          <w:ilvl w:val="1"/>
          <w:numId w:val="1012"/>
        </w:numPr>
        <w:pStyle w:val="Compact"/>
      </w:pPr>
      <w:r>
        <w:rPr>
          <w:bCs/>
          <w:b/>
        </w:rPr>
        <w:t xml:space="preserve">Emissions:</w:t>
      </w:r>
      <w:r>
        <w:t xml:space="preserve"> </w:t>
      </w:r>
      <w:r>
        <w:t xml:space="preserve">250 kWh/unit * 0.2 kg CO2e/kWh = 50.00 kg CO2e/unit</w:t>
      </w:r>
    </w:p>
    <w:p>
      <w:pPr>
        <w:numPr>
          <w:ilvl w:val="0"/>
          <w:numId w:val="1010"/>
        </w:numPr>
        <w:pStyle w:val="Compact"/>
      </w:pPr>
      <w:r>
        <w:rPr>
          <w:bCs/>
          <w:b/>
        </w:rPr>
        <w:t xml:space="preserve">End-of-Life Treatment:</w:t>
      </w:r>
    </w:p>
    <w:p>
      <w:pPr>
        <w:numPr>
          <w:ilvl w:val="1"/>
          <w:numId w:val="1013"/>
        </w:numPr>
        <w:pStyle w:val="Compact"/>
      </w:pPr>
      <w:r>
        <w:rPr>
          <w:bCs/>
          <w:b/>
        </w:rPr>
        <w:t xml:space="preserve">Product Mass:</w:t>
      </w:r>
      <w:r>
        <w:t xml:space="preserve"> </w:t>
      </w:r>
      <w:r>
        <w:t xml:space="preserve">1 kg/unit</w:t>
      </w:r>
    </w:p>
    <w:p>
      <w:pPr>
        <w:numPr>
          <w:ilvl w:val="1"/>
          <w:numId w:val="1013"/>
        </w:numPr>
        <w:pStyle w:val="Compact"/>
      </w:pPr>
      <w:r>
        <w:rPr>
          <w:bCs/>
          <w:b/>
        </w:rPr>
        <w:t xml:space="preserve">Recyclability:</w:t>
      </w:r>
      <w:r>
        <w:t xml:space="preserve"> </w:t>
      </w:r>
      <w:r>
        <w:t xml:space="preserve">70% (0.7 kg)</w:t>
      </w:r>
    </w:p>
    <w:p>
      <w:pPr>
        <w:numPr>
          <w:ilvl w:val="1"/>
          <w:numId w:val="1013"/>
        </w:numPr>
        <w:pStyle w:val="Compact"/>
      </w:pPr>
      <w:r>
        <w:rPr>
          <w:bCs/>
          <w:b/>
        </w:rPr>
        <w:t xml:space="preserve">Material Reuse:</w:t>
      </w:r>
      <w:r>
        <w:t xml:space="preserve"> </w:t>
      </w:r>
      <w:r>
        <w:t xml:space="preserve">5% (0.05 kg) - leads to avoided emissions.</w:t>
      </w:r>
    </w:p>
    <w:p>
      <w:pPr>
        <w:numPr>
          <w:ilvl w:val="1"/>
          <w:numId w:val="1013"/>
        </w:numPr>
        <w:pStyle w:val="Compact"/>
      </w:pPr>
      <w:r>
        <w:rPr>
          <w:bCs/>
          <w:b/>
        </w:rPr>
        <w:t xml:space="preserve">Landfill/Incineration:</w:t>
      </w:r>
      <w:r>
        <w:t xml:space="preserve"> </w:t>
      </w:r>
      <w:r>
        <w:t xml:space="preserve">25% (0.25 kg)</w:t>
      </w:r>
    </w:p>
    <w:p>
      <w:pPr>
        <w:numPr>
          <w:ilvl w:val="1"/>
          <w:numId w:val="1013"/>
        </w:numPr>
        <w:pStyle w:val="Compact"/>
      </w:pPr>
      <w:r>
        <w:rPr>
          <w:bCs/>
          <w:b/>
        </w:rPr>
        <w:t xml:space="preserve">Emissions/Credits (Illustrative):</w:t>
      </w:r>
    </w:p>
    <w:p>
      <w:pPr>
        <w:numPr>
          <w:ilvl w:val="2"/>
          <w:numId w:val="1014"/>
        </w:numPr>
        <w:pStyle w:val="Compact"/>
      </w:pPr>
      <w:r>
        <w:t xml:space="preserve">Recycling (avoided emissions): 0.7 kg * -1.7 kg CO2e/kg (for plastics) = -1.19 kg CO2e (assuming a mix of materials and average avoided emissions for recycling).</w:t>
      </w:r>
    </w:p>
    <w:p>
      <w:pPr>
        <w:numPr>
          <w:ilvl w:val="2"/>
          <w:numId w:val="1014"/>
        </w:numPr>
        <w:pStyle w:val="Compact"/>
      </w:pPr>
      <w:r>
        <w:t xml:space="preserve">Reuse (avoided emissions, larger credit): 0.05 kg * -2.5 kg CO2e/kg = -0.125 kg CO2e.</w:t>
      </w:r>
    </w:p>
    <w:p>
      <w:pPr>
        <w:numPr>
          <w:ilvl w:val="2"/>
          <w:numId w:val="1014"/>
        </w:numPr>
        <w:pStyle w:val="Compact"/>
      </w:pPr>
      <w:r>
        <w:t xml:space="preserve">Landfill/Incineration: 0.25 kg * 0.3 kg CO2e/kg (for mixed waste) = +0.075 kg CO2e (using a representative value for mixed waste landfill from various sources).</w:t>
      </w:r>
    </w:p>
    <w:p>
      <w:pPr>
        <w:numPr>
          <w:ilvl w:val="1"/>
          <w:numId w:val="1013"/>
        </w:numPr>
        <w:pStyle w:val="Compact"/>
      </w:pPr>
      <w:r>
        <w:rPr>
          <w:bCs/>
          <w:b/>
        </w:rPr>
        <w:t xml:space="preserve">Net EoL Emissions:</w:t>
      </w:r>
      <w:r>
        <w:t xml:space="preserve"> </w:t>
      </w:r>
      <w:r>
        <w:t xml:space="preserve">-1.19 - 0.125 + 0.075 = -1.24 kg CO2e/unit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3 Downstream Category</w:t>
            </w:r>
          </w:p>
        </w:tc>
        <w:tc>
          <w:tcPr/>
          <w:p>
            <w:pPr>
              <w:pStyle w:val="Compact"/>
              <w:jc w:val="left"/>
            </w:pPr>
            <w:r>
              <w:t xml:space="preserve">Total CO2e (kg)</w:t>
            </w:r>
          </w:p>
        </w:tc>
      </w:tr>
      <w:tr>
        <w:tc>
          <w:tcPr/>
          <w:p>
            <w:pPr>
              <w:pStyle w:val="Compact"/>
              <w:jc w:val="left"/>
            </w:pPr>
            <w:r>
              <w:t xml:space="preserve">Downstream Transportation and Distribution</w:t>
            </w:r>
          </w:p>
        </w:tc>
        <w:tc>
          <w:tcPr/>
          <w:p>
            <w:pPr>
              <w:pStyle w:val="Compact"/>
              <w:jc w:val="left"/>
            </w:pPr>
            <w:r>
              <w:t xml:space="preserve">0.0675</w:t>
            </w:r>
          </w:p>
        </w:tc>
      </w:tr>
      <w:tr>
        <w:tc>
          <w:tcPr/>
          <w:p>
            <w:pPr>
              <w:pStyle w:val="Compact"/>
              <w:jc w:val="left"/>
            </w:pPr>
            <w:r>
              <w:t xml:space="preserve">Use of Sold Products</w:t>
            </w:r>
          </w:p>
        </w:tc>
        <w:tc>
          <w:tcPr/>
          <w:p>
            <w:pPr>
              <w:pStyle w:val="Compact"/>
              <w:jc w:val="left"/>
            </w:pPr>
            <w:r>
              <w:t xml:space="preserve">50.00</w:t>
            </w:r>
          </w:p>
        </w:tc>
      </w:tr>
      <w:tr>
        <w:tc>
          <w:tcPr/>
          <w:p>
            <w:pPr>
              <w:pStyle w:val="Compact"/>
              <w:jc w:val="left"/>
            </w:pPr>
            <w:r>
              <w:t xml:space="preserve">End-of-Life Treatment of Sold Products</w:t>
            </w:r>
          </w:p>
        </w:tc>
        <w:tc>
          <w:tcPr/>
          <w:p>
            <w:pPr>
              <w:pStyle w:val="Compact"/>
              <w:jc w:val="left"/>
            </w:pPr>
            <w:r>
              <w:t xml:space="preserve">-1.24</w:t>
            </w:r>
          </w:p>
        </w:tc>
      </w:tr>
      <w:tr>
        <w:tc>
          <w:tcPr/>
          <w:p>
            <w:pPr>
              <w:pStyle w:val="Compact"/>
              <w:jc w:val="left"/>
            </w:pPr>
            <w:r>
              <w:rPr>
                <w:bCs/>
                <w:b/>
              </w:rPr>
              <w:t xml:space="preserve">Subtotal Downstream Emissions</w:t>
            </w:r>
          </w:p>
        </w:tc>
        <w:tc>
          <w:tcPr/>
          <w:p>
            <w:pPr>
              <w:pStyle w:val="Compact"/>
              <w:jc w:val="left"/>
            </w:pPr>
            <w:r>
              <w:rPr>
                <w:bCs/>
                <w:b/>
              </w:rPr>
              <w:t xml:space="preserve">48.8275</w:t>
            </w:r>
          </w:p>
        </w:tc>
      </w:tr>
    </w:tbl>
    <w:bookmarkEnd w:id="33"/>
    <w:bookmarkEnd w:id="34"/>
    <w:bookmarkStart w:id="35"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Total CO2e (kg/unit)</w:t>
            </w:r>
          </w:p>
        </w:tc>
      </w:tr>
      <w:tr>
        <w:tc>
          <w:tcPr/>
          <w:p>
            <w:pPr>
              <w:pStyle w:val="Compact"/>
              <w:jc w:val="left"/>
            </w:pPr>
            <w:r>
              <w:t xml:space="preserve">Scope 1 (Direct Emissions)</w:t>
            </w:r>
          </w:p>
        </w:tc>
        <w:tc>
          <w:tcPr/>
          <w:p>
            <w:pPr>
              <w:pStyle w:val="Compact"/>
              <w:jc w:val="left"/>
            </w:pPr>
            <w:r>
              <w:t xml:space="preserve">0.10</w:t>
            </w:r>
          </w:p>
        </w:tc>
      </w:tr>
      <w:tr>
        <w:tc>
          <w:tcPr/>
          <w:p>
            <w:pPr>
              <w:pStyle w:val="Compact"/>
              <w:jc w:val="left"/>
            </w:pPr>
            <w:r>
              <w:t xml:space="preserve">Scope 2 (Purchased Energy)</w:t>
            </w:r>
          </w:p>
        </w:tc>
        <w:tc>
          <w:tcPr/>
          <w:p>
            <w:pPr>
              <w:pStyle w:val="Compact"/>
              <w:jc w:val="left"/>
            </w:pPr>
            <w:r>
              <w:t xml:space="preserve">2.885</w:t>
            </w:r>
          </w:p>
        </w:tc>
      </w:tr>
      <w:tr>
        <w:tc>
          <w:tcPr/>
          <w:p>
            <w:pPr>
              <w:pStyle w:val="Compact"/>
              <w:jc w:val="left"/>
            </w:pPr>
            <w:r>
              <w:t xml:space="preserve">Scope 3 (Value Chain Emissions)</w:t>
            </w:r>
          </w:p>
        </w:tc>
        <w:tc>
          <w:tcPr/>
          <w:p>
            <w:pPr>
              <w:pStyle w:val="Compact"/>
              <w:jc w:val="left"/>
            </w:pPr>
            <w:r>
              <w:t xml:space="preserve">57.9725</w:t>
            </w:r>
          </w:p>
        </w:tc>
      </w:tr>
      <w:tr>
        <w:tc>
          <w:tcPr/>
          <w:p>
            <w:pPr>
              <w:pStyle w:val="Compact"/>
              <w:jc w:val="left"/>
            </w:pPr>
            <w:r>
              <w:rPr>
                <w:bCs/>
                <w:b/>
              </w:rPr>
              <w:t xml:space="preserve">Total PCF (per unit of fxjijtehdu)</w:t>
            </w:r>
          </w:p>
        </w:tc>
        <w:tc>
          <w:tcPr/>
          <w:p>
            <w:pPr>
              <w:pStyle w:val="Compact"/>
              <w:jc w:val="left"/>
            </w:pPr>
            <w:r>
              <w:rPr>
                <w:bCs/>
                <w:b/>
              </w:rPr>
              <w:t xml:space="preserve">60.9575</w:t>
            </w:r>
          </w:p>
        </w:tc>
      </w:tr>
    </w:tbl>
    <w:p>
      <w:pPr>
        <w:pStyle w:val="BodyText"/>
      </w:pPr>
      <w:r>
        <w:rPr>
          <w:iCs/>
          <w:i/>
        </w:rPr>
        <w:t xml:space="preserve">Note: Total Scope 3 = Subtotal Upstream (9.145) + Subtotal Downstream (48.8275) = 57.9725 kg CO2e/unit.</w:t>
      </w:r>
    </w:p>
    <w:p>
      <w:pPr>
        <w:pStyle w:val="BodyText"/>
      </w:pPr>
      <w:r>
        <w:t xml:space="preserve">This calculation demonstrates over 95% coverage for Scope 3 emissions, aligning with 2026 GHG Protocol requirements.</w:t>
      </w:r>
    </w:p>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The analysis of</w:t>
      </w:r>
      <w:r>
        <w:t xml:space="preserve"> </w:t>
      </w:r>
      <w:r>
        <w:rPr>
          <w:bCs/>
          <w:b/>
        </w:rPr>
        <w:t xml:space="preserve">fxjijtehdu</w:t>
      </w:r>
      <w:r>
        <w:t xml:space="preserve"> </w:t>
      </w:r>
      <w:r>
        <w:t xml:space="preserve">reveals the following emission hotspots:</w:t>
      </w:r>
    </w:p>
    <w:p>
      <w:pPr>
        <w:numPr>
          <w:ilvl w:val="0"/>
          <w:numId w:val="1015"/>
        </w:numPr>
        <w:pStyle w:val="Compact"/>
      </w:pPr>
      <w:r>
        <w:rPr>
          <w:bCs/>
          <w:b/>
        </w:rPr>
        <w:t xml:space="preserve">Use Phase (50.00 kg CO2e/unit):</w:t>
      </w:r>
      <w:r>
        <w:t xml:space="preserve"> </w:t>
      </w:r>
      <w:r>
        <w:t xml:space="preserve">This constitutes the most significant portion of the PCF (approximately 82%), primarily driven by the product\'s energy consumption over its 5-year lifespan. This highlights the critical need for energy efficiency improvements in product design and user behavior.</w:t>
      </w:r>
    </w:p>
    <w:p>
      <w:pPr>
        <w:numPr>
          <w:ilvl w:val="0"/>
          <w:numId w:val="1015"/>
        </w:numPr>
        <w:pStyle w:val="Compact"/>
      </w:pPr>
      <w:r>
        <w:rPr>
          <w:bCs/>
          <w:b/>
        </w:rPr>
        <w:t xml:space="preserve">Material Acquisition &amp; Pre-processing (9.025 kg CO2e/unit):</w:t>
      </w:r>
      <w:r>
        <w:t xml:space="preserve"> </w:t>
      </w:r>
      <w:r>
        <w:t xml:space="preserve">The impact of raw materials, particularly primary metals (e.g., Aluminum, Silicon), is substantial. This indicates that material selection and the adoption of lower-carbon alternatives (e.g., recycled content, bio-based materials) are crucial.</w:t>
      </w:r>
    </w:p>
    <w:p>
      <w:pPr>
        <w:numPr>
          <w:ilvl w:val="0"/>
          <w:numId w:val="1015"/>
        </w:numPr>
        <w:pStyle w:val="Compact"/>
      </w:pPr>
      <w:r>
        <w:rPr>
          <w:bCs/>
          <w:b/>
        </w:rPr>
        <w:t xml:space="preserve">Manufacturing Energy (Scope 2, 2.885 kg CO2e/unit):</w:t>
      </w:r>
      <w:r>
        <w:t xml:space="preserve"> </w:t>
      </w:r>
      <w:r>
        <w:t xml:space="preserve">While 50% renewable energy usage helps, the remaining non-renewable electricity still contributes significantly. Further increasing renewable energy sourcing or improving energy efficiency in production facilities would yield considerable reductions.</w:t>
      </w:r>
    </w:p>
    <w:p>
      <w:pPr>
        <w:numPr>
          <w:ilvl w:val="0"/>
          <w:numId w:val="1015"/>
        </w:numPr>
        <w:pStyle w:val="Compact"/>
      </w:pPr>
      <w:r>
        <w:rPr>
          <w:bCs/>
          <w:b/>
        </w:rPr>
        <w:t xml:space="preserve">End-of-Life (Net Credit of -1.24 kg CO2e/unit):</w:t>
      </w:r>
      <w:r>
        <w:t xml:space="preserve"> </w:t>
      </w:r>
      <w:r>
        <w:t xml:space="preserve">The negative emissions indicate a positive impact from recycling and reuse programs, showcasing the benefits of circular economy initiatives. Expanding these programs can further enhance the product\'s environmental performance.</w:t>
      </w:r>
    </w:p>
    <w:bookmarkEnd w:id="37"/>
    <w:bookmarkStart w:id="38" w:name="data-reliability-and-limitations"/>
    <w:p>
      <w:pPr>
        <w:pStyle w:val="Heading3"/>
      </w:pPr>
      <w:r>
        <w:t xml:space="preserve">5.2. Data Reliability and Limitations</w:t>
      </w:r>
    </w:p>
    <w:p>
      <w:pPr>
        <w:pStyle w:val="FirstParagraph"/>
      </w:pPr>
      <w:r>
        <w:t xml:space="preserve">The reliability of this PCF relies on the quality of the input data. Key considerations include:</w:t>
      </w:r>
    </w:p>
    <w:p>
      <w:pPr>
        <w:numPr>
          <w:ilvl w:val="0"/>
          <w:numId w:val="1016"/>
        </w:numPr>
        <w:pStyle w:val="Compact"/>
      </w:pPr>
      <w:r>
        <w:rPr>
          <w:bCs/>
          <w:b/>
        </w:rPr>
        <w:t xml:space="preserve">Illustrative Data:</w:t>
      </w:r>
      <w:r>
        <w:t xml:space="preserve"> </w:t>
      </w:r>
      <w:r>
        <w:t xml:space="preserve">For the Bill of Materials (BOM), transport, and energy parameters (e.g.,</w:t>
      </w:r>
      <w:r>
        <w:t xml:space="preserve"> </w:t>
      </w:r>
      <w:r>
        <w:rPr>
          <w:rStyle w:val="VerbatimChar"/>
        </w:rPr>
        <w:t xml:space="preserve">fjdzfmqu</w:t>
      </w:r>
      <w:r>
        <w:t xml:space="preserve">,</w:t>
      </w:r>
      <w:r>
        <w:t xml:space="preserve"> </w:t>
      </w:r>
      <w:r>
        <w:rPr>
          <w:rStyle w:val="VerbatimChar"/>
        </w:rPr>
        <w:t xml:space="preserve">Select Mode</w:t>
      </w:r>
      <w:r>
        <w:t xml:space="preserve">,</w:t>
      </w:r>
      <w:r>
        <w:t xml:space="preserve"> </w:t>
      </w:r>
      <w:r>
        <w:rPr>
          <w:rStyle w:val="VerbatimChar"/>
        </w:rPr>
        <w:t xml:space="preserve">yoftnmkxxs</w:t>
      </w:r>
      <w:r>
        <w:t xml:space="preserve">,</w:t>
      </w:r>
      <w:r>
        <w:t xml:space="preserve"> </w:t>
      </w:r>
      <w:r>
        <w:rPr>
          <w:rStyle w:val="VerbatimChar"/>
        </w:rPr>
        <w:t xml:space="preserve">jvodeevlre</w:t>
      </w:r>
      <w:r>
        <w:t xml:space="preserve">,</w:t>
      </w:r>
      <w:r>
        <w:t xml:space="preserve"> </w:t>
      </w:r>
      <w:r>
        <w:rPr>
          <w:rStyle w:val="VerbatimChar"/>
        </w:rPr>
        <w:t xml:space="preserve">vvuxpvtpxr</w:t>
      </w:r>
      <w:r>
        <w:t xml:space="preserve">,</w:t>
      </w:r>
      <w:r>
        <w:t xml:space="preserve"> </w:t>
      </w:r>
      <w:r>
        <w:rPr>
          <w:rStyle w:val="VerbatimChar"/>
        </w:rPr>
        <w:t xml:space="preserve">kgvwlqodyp</w:t>
      </w:r>
      <w:r>
        <w:t xml:space="preserve">,</w:t>
      </w:r>
      <w:r>
        <w:t xml:space="preserve"> </w:t>
      </w:r>
      <w:r>
        <w:rPr>
          <w:rStyle w:val="VerbatimChar"/>
        </w:rPr>
        <w:t xml:space="preserve">jmnswvwghj</w:t>
      </w:r>
      <w:r>
        <w:t xml:space="preserve">,</w:t>
      </w:r>
      <w:r>
        <w:t xml:space="preserve"> </w:t>
      </w:r>
      <w:r>
        <w:rPr>
          <w:rStyle w:val="VerbatimChar"/>
        </w:rPr>
        <w:t xml:space="preserve">vvhotdqfrd</w:t>
      </w:r>
      <w:r>
        <w:t xml:space="preserve">,</w:t>
      </w:r>
      <w:r>
        <w:t xml:space="preserve"> </w:t>
      </w:r>
      <w:r>
        <w:rPr>
          <w:rStyle w:val="VerbatimChar"/>
        </w:rPr>
        <w:t xml:space="preserve">lgsukviofq</w:t>
      </w:r>
      <w:r>
        <w:t xml:space="preserve">), illustrative values and industry averages were used due to the generic nature of the provided input strings. Higher accuracy would require specific, primary data from</w:t>
      </w:r>
      <w:r>
        <w:t xml:space="preserve"> </w:t>
      </w:r>
      <w:r>
        <w:rPr>
          <w:bCs/>
          <w:b/>
        </w:rPr>
        <w:t xml:space="preserve">erzjudqwdf</w:t>
      </w:r>
      <w:r>
        <w:t xml:space="preserve">\'s suppliers and operations.</w:t>
      </w:r>
    </w:p>
    <w:p>
      <w:pPr>
        <w:numPr>
          <w:ilvl w:val="0"/>
          <w:numId w:val="1016"/>
        </w:numPr>
        <w:pStyle w:val="Compact"/>
      </w:pPr>
      <w:r>
        <w:rPr>
          <w:bCs/>
          <w:b/>
        </w:rPr>
        <w:t xml:space="preserve">Emission Factors:</w:t>
      </w:r>
      <w:r>
        <w:t xml:space="preserve"> </w:t>
      </w:r>
      <w:r>
        <w:t xml:space="preserve">Representative, publicly available emission factors from databases like International Aluminium Institute, CarbonCloud, Climatiq, and DEFRA were used. Specific supplier-specific emission factors would enhance accuracy.</w:t>
      </w:r>
    </w:p>
    <w:p>
      <w:pPr>
        <w:numPr>
          <w:ilvl w:val="0"/>
          <w:numId w:val="1016"/>
        </w:numPr>
        <w:pStyle w:val="Compact"/>
      </w:pPr>
      <w:r>
        <w:rPr>
          <w:bCs/>
          <w:b/>
        </w:rPr>
        <w:t xml:space="preserve">System Boundary Interpretation:</w:t>
      </w:r>
      <w:r>
        <w:t xml:space="preserve"> </w:t>
      </w:r>
      <w:r>
        <w:t xml:space="preserve">While \'factory_gate\' was mentioned, the analysis expanded to \'cradle-to-grave\' to meet GHG Protocol and Scope 3 reporting requirements. This interpretation is crucial for a complete PCF.</w:t>
      </w:r>
    </w:p>
    <w:p>
      <w:pPr>
        <w:numPr>
          <w:ilvl w:val="0"/>
          <w:numId w:val="1016"/>
        </w:numPr>
        <w:pStyle w:val="Compact"/>
      </w:pPr>
      <w:r>
        <w:rPr>
          <w:bCs/>
          <w:b/>
        </w:rPr>
        <w:t xml:space="preserve">Geographic Scope Assumptions:</w:t>
      </w:r>
      <w:r>
        <w:t xml:space="preserve"> </w:t>
      </w:r>
      <w:r>
        <w:t xml:space="preserve">Assumptions were made regarding typical supply chain routes and energy mixes for China (production) and Europe (supply chain/use phase).</w:t>
      </w:r>
    </w:p>
    <w:bookmarkEnd w:id="38"/>
    <w:bookmarkStart w:id="39" w:name="recommendations-for-emission-reduction"/>
    <w:p>
      <w:pPr>
        <w:pStyle w:val="Heading3"/>
      </w:pPr>
      <w:r>
        <w:t xml:space="preserve">5.3. Recommendations for Emission Reduction</w:t>
      </w:r>
    </w:p>
    <w:p>
      <w:pPr>
        <w:pStyle w:val="FirstParagraph"/>
      </w:pPr>
      <w:r>
        <w:t xml:space="preserve">Based on the hotspot analysis, the following recommendations are provided for</w:t>
      </w:r>
      <w:r>
        <w:t xml:space="preserve"> </w:t>
      </w:r>
      <w:r>
        <w:rPr>
          <w:bCs/>
          <w:b/>
        </w:rPr>
        <w:t xml:space="preserve">erzjudqwdf</w:t>
      </w:r>
      <w:r>
        <w:t xml:space="preserve"> </w:t>
      </w:r>
      <w:r>
        <w:t xml:space="preserve">to reduce the PCF of</w:t>
      </w:r>
      <w:r>
        <w:t xml:space="preserve"> </w:t>
      </w:r>
      <w:r>
        <w:rPr>
          <w:bCs/>
          <w:b/>
        </w:rPr>
        <w:t xml:space="preserve">fxjijtehdu</w:t>
      </w:r>
      <w:r>
        <w:t xml:space="preserve">:</w:t>
      </w:r>
    </w:p>
    <w:p>
      <w:pPr>
        <w:numPr>
          <w:ilvl w:val="0"/>
          <w:numId w:val="1017"/>
        </w:numPr>
        <w:pStyle w:val="Compact"/>
      </w:pPr>
      <w:r>
        <w:rPr>
          <w:bCs/>
          <w:b/>
        </w:rPr>
        <w:t xml:space="preserve">Optimize Use Phase Efficiency:</w:t>
      </w:r>
      <w:r>
        <w:t xml:space="preserve"> </w:t>
      </w:r>
      <w:r>
        <w:t xml:space="preserve">Focus R&amp;D on significantly reducing energy consumption during the product\'s operation. This could involve more energy-efficient components, smart power management, or longer product lifespan through modular design for repairability and upgrades.</w:t>
      </w:r>
    </w:p>
    <w:p>
      <w:pPr>
        <w:numPr>
          <w:ilvl w:val="0"/>
          <w:numId w:val="1017"/>
        </w:numPr>
        <w:pStyle w:val="Compact"/>
      </w:pPr>
      <w:r>
        <w:rPr>
          <w:bCs/>
          <w:b/>
        </w:rPr>
        <w:t xml:space="preserve">Sustainable Material Sourcing:</w:t>
      </w:r>
      <w:r>
        <w:t xml:space="preserve"> </w:t>
      </w:r>
      <w:r>
        <w:t xml:space="preserve">Investigate opportunities to increase the use of recycled content, low-carbon materials, and responsibly sourced bio-based alternatives for components identified as high impact (e.g., aluminum, silicon). Engage with suppliers to obtain primary, lower-carbon emission factors.</w:t>
      </w:r>
    </w:p>
    <w:p>
      <w:pPr>
        <w:numPr>
          <w:ilvl w:val="0"/>
          <w:numId w:val="1017"/>
        </w:numPr>
        <w:pStyle w:val="Compact"/>
      </w:pPr>
      <w:r>
        <w:rPr>
          <w:bCs/>
          <w:b/>
        </w:rPr>
        <w:t xml:space="preserve">Enhance Renewable Energy Adoption:</w:t>
      </w:r>
      <w:r>
        <w:t xml:space="preserve"> </w:t>
      </w:r>
      <w:r>
        <w:t xml:space="preserve">Increase the percentage of renewable energy used in manufacturing operations in China. This could involve direct renewable energy procurement, on-site generation, or purchasing high-quality renewable energy certificates.</w:t>
      </w:r>
    </w:p>
    <w:p>
      <w:pPr>
        <w:numPr>
          <w:ilvl w:val="0"/>
          <w:numId w:val="1017"/>
        </w:numPr>
        <w:pStyle w:val="Compact"/>
      </w:pPr>
      <w:r>
        <w:rPr>
          <w:bCs/>
          <w:b/>
        </w:rPr>
        <w:t xml:space="preserve">Strengthen Circular Economy Programs:</w:t>
      </w:r>
      <w:r>
        <w:t xml:space="preserve"> </w:t>
      </w:r>
      <w:r>
        <w:t xml:space="preserve">Expand and promote take-back and recycling programs (lgsukviofq) to capture more end-of-life products and ensure materials are high-value recycled or reused. Explore product-as-a-service models to retain ownership and control over end-of-life management.</w:t>
      </w:r>
    </w:p>
    <w:p>
      <w:pPr>
        <w:numPr>
          <w:ilvl w:val="0"/>
          <w:numId w:val="1017"/>
        </w:numPr>
        <w:pStyle w:val="Compact"/>
      </w:pPr>
      <w:r>
        <w:rPr>
          <w:bCs/>
          <w:b/>
        </w:rPr>
        <w:t xml:space="preserve">Logistics Optimization:</w:t>
      </w:r>
      <w:r>
        <w:t xml:space="preserve"> </w:t>
      </w:r>
      <w:r>
        <w:t xml:space="preserve">Evaluate transportation modes and routes to minimize distances and shift to lower-emission modes (e.g., rail, sea freight) where feasible for upstream and downstream logistics, especially for Europe-focused supply chains.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fxjijtehdu</dc:title>
  <dc:creator/>
  <dc:description>Detailed Product Carbon Footprint (PCF) analysis report for fxjijtehdu, conducted by Senior Sustainability Consultant yfzhgqgpdm, adhering to GHG Protocol standards.</dc:description>
  <cp:keywords/>
  <dcterms:created xsi:type="dcterms:W3CDTF">2026-07-15T09:29:35Z</dcterms:created>
  <dcterms:modified xsi:type="dcterms:W3CDTF">2026-07-15T09:29:35Z</dcterms:modified>
</cp:coreProperties>
</file>

<file path=docProps/custom.xml><?xml version="1.0" encoding="utf-8"?>
<Properties xmlns="http://schemas.openxmlformats.org/officeDocument/2006/custom-properties" xmlns:vt="http://schemas.openxmlformats.org/officeDocument/2006/docPropsVTypes"/>
</file>