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fwsjnsezvx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fwsjnsezvx</w:t>
      </w:r>
    </w:p>
    <w:p>
      <w:pPr>
        <w:pStyle w:val="BodyText"/>
      </w:pPr>
      <w:r>
        <w:rPr>
          <w:bCs/>
          <w:b/>
        </w:rPr>
        <w:t xml:space="preserve">Company Name:</w:t>
      </w:r>
      <w:r>
        <w:t xml:space="preserve"> </w:t>
      </w:r>
      <w:r>
        <w:t xml:space="preserve">hdmnnspovm</w:t>
      </w:r>
    </w:p>
    <w:p>
      <w:pPr>
        <w:pStyle w:val="BodyText"/>
      </w:pPr>
      <w:r>
        <w:rPr>
          <w:bCs/>
          <w:b/>
        </w:rPr>
        <w:t xml:space="preserve">Senior Sustainability Consultant:</w:t>
      </w:r>
      <w:r>
        <w:t xml:space="preserve"> </w:t>
      </w:r>
      <w:r>
        <w:t xml:space="preserve">ldmwmljhmy</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actual carbon footprint may vary depending on real-world conditions and specific data availability. The input parameters provided were symbolic, and illustrative data has been used to demonstrate the calculation methodology.</w:t>
      </w:r>
    </w:p>
    <w:bookmarkEnd w:id="20"/>
    <w:bookmarkStart w:id="42" w:name="Xf2c7ca520564d7857b33048aa32c551bc681b8a"/>
    <w:p>
      <w:pPr>
        <w:pStyle w:val="Heading1"/>
      </w:pPr>
      <w:r>
        <w:t xml:space="preserve">Product Carbon Footprint Analysis Report: fwsjnsezvx</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fwsjnsezvx</w:t>
      </w:r>
      <w:r>
        <w:t xml:space="preserve">, manufactured by</w:t>
      </w:r>
      <w:r>
        <w:t xml:space="preserve"> </w:t>
      </w:r>
      <w:r>
        <w:rPr>
          <w:bCs/>
          <w:b/>
        </w:rPr>
        <w:t xml:space="preserve">hdmnnspovm</w:t>
      </w:r>
      <w:r>
        <w:t xml:space="preserve">. The assessment was conducted by</w:t>
      </w:r>
      <w:r>
        <w:t xml:space="preserve"> </w:t>
      </w:r>
      <w:r>
        <w:rPr>
          <w:bCs/>
          <w:b/>
        </w:rPr>
        <w:t xml:space="preserve">ldmwmljhmy</w:t>
      </w:r>
      <w:r>
        <w:t xml:space="preserve">, a Senior Sustainability Consultant, adhering strictly to the Greenhouse Gas (GHG) Protocol standards, including the 2026 Land Sector and Removals (LSR) update and ensuring over 95% Scope 3 coverage. The primary goal is to quantify the total greenhouse gas emissions associated with the product\'s lifecycle, identify emission hotspots, and provide a foundation for sustainability improvements. The analysis covers emissions from raw material extraction, manufacturing, transportation, the use phase, and end-of-life disposal, expressed in kilograms of carbon dioxide equivalent (kg CO2e) per functional unit.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analysis is defined as follows:</w:t>
      </w:r>
    </w:p>
    <w:p>
      <w:pPr>
        <w:numPr>
          <w:ilvl w:val="0"/>
          <w:numId w:val="1001"/>
        </w:numPr>
        <w:pStyle w:val="Compact"/>
      </w:pPr>
      <w:r>
        <w:rPr>
          <w:bCs/>
          <w:b/>
        </w:rPr>
        <w:t xml:space="preserve">Functional Unit:</w:t>
      </w:r>
      <w:r>
        <w:t xml:space="preserve"> </w:t>
      </w:r>
      <w:r>
        <w:t xml:space="preserve">1.0 unit of fwsjnsezvx. This represents the reference unit to which all inputs and outputs are related.</w:t>
      </w:r>
    </w:p>
    <w:p>
      <w:pPr>
        <w:numPr>
          <w:ilvl w:val="0"/>
          <w:numId w:val="1001"/>
        </w:numPr>
        <w:pStyle w:val="Compact"/>
      </w:pPr>
      <w:r>
        <w:rPr>
          <w:bCs/>
          <w:b/>
        </w:rPr>
        <w:t xml:space="preserve">System Boundary:</w:t>
      </w:r>
      <w:r>
        <w:t xml:space="preserve"> </w:t>
      </w:r>
      <w:r>
        <w:t xml:space="preserve">factory_gate. This boundary includes all upstream processes from raw material extraction, material processing, and manufacturing up to the point the finished product leaves the factory gate. Downstream emissions (transport to customer, use phase, end-of-life) are also included in the overall lifecycle assessment but are categorized as Scope 3.</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significant upstream supply chain activities originating from or transiting through Europe).</w:t>
      </w:r>
    </w:p>
    <w:p>
      <w:pPr>
        <w:numPr>
          <w:ilvl w:val="0"/>
          <w:numId w:val="1001"/>
        </w:numPr>
        <w:pStyle w:val="Compact"/>
      </w:pPr>
      <w:r>
        <w:rPr>
          <w:bCs/>
          <w:b/>
        </w:rPr>
        <w:t xml:space="preserve">Accounting Standard:</w:t>
      </w:r>
      <w:r>
        <w:t xml:space="preserve"> </w:t>
      </w:r>
      <w:r>
        <w:t xml:space="preserve">The Greenhouse Gas (GHG) Protocol Product Standard. This report specifically incorporates the principles of the 2026 Land Sector and Removals (LSR) Standard for accounting for land use and carbon removals, and ensures at least 95% coverage for Scope 3 reporting as per 2026 requirements.</w:t>
      </w:r>
    </w:p>
    <w:p>
      <w:pPr>
        <w:numPr>
          <w:ilvl w:val="0"/>
          <w:numId w:val="1001"/>
        </w:numPr>
        <w:pStyle w:val="Compact"/>
      </w:pPr>
      <w:r>
        <w:rPr>
          <w:bCs/>
          <w:b/>
        </w:rPr>
        <w:t xml:space="preserve">Allocation:</w:t>
      </w:r>
      <w:r>
        <w:t xml:space="preserve"> </w:t>
      </w:r>
      <w:r>
        <w:t xml:space="preserve">All emissions are directly allocated to the functional unit as this assessment focuses on a single product. Co-product allocation methods (e.g., by mass or economic value) are not required for this specific analysis.</w:t>
      </w:r>
    </w:p>
    <w:p>
      <w:r>
        <w:pict>
          <v:rect style="width:0;height:1.5pt" o:hralign="center" o:hrstd="t" o:hr="t"/>
        </w:pict>
      </w:r>
    </w:p>
    <w:bookmarkEnd w:id="22"/>
    <w:bookmarkStart w:id="28" w:name="lifecycle-mapping-data-collection"/>
    <w:p>
      <w:pPr>
        <w:pStyle w:val="Heading2"/>
      </w:pPr>
      <w:r>
        <w:t xml:space="preserve">2. &amp; 3. Lifecycle Mapping &amp; Data Collection</w:t>
      </w:r>
    </w:p>
    <w:p>
      <w:pPr>
        <w:pStyle w:val="FirstParagraph"/>
      </w:pPr>
      <w:r>
        <w:t xml:space="preserve">This section details the lifecycle stages considered and the primary and secondary data points collected or assumed for the analysis of fwsjnsezvx. Due to the symbolic nature of some input parameters (e.g., ttpnxgsm, Select Mode), representative data following the specified formats has been used to illustrate the methodology and calculations.</w:t>
      </w:r>
    </w:p>
    <w:bookmarkStart w:id="23" w:name="X3cfeacc2d476bf6a75ec07d30eb19409b61ef7d"/>
    <w:p>
      <w:pPr>
        <w:pStyle w:val="Heading3"/>
      </w:pPr>
      <w:r>
        <w:t xml:space="preserve">2.1. Material Acquisition &amp; Manufacturing (Upstream - Scope 3)</w:t>
      </w:r>
    </w:p>
    <w:p>
      <w:pPr>
        <w:pStyle w:val="FirstParagraph"/>
      </w:pPr>
      <w:r>
        <w:t xml:space="preserve">The detailed Bill of Materials (BOM) for fwsjnsezvx is a critical input for calculating the upstream material impact. The following table presents the assumed BOM, including quantities, units, and associated emission factors. These values are illustrative, based on industry averages and the format provided by the user.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0.18</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bl>
    <w:p>
      <w:pPr>
        <w:pStyle w:val="BodyText"/>
      </w:pPr>
      <w:r>
        <w:rPr>
          <w:iCs/>
          <w:i/>
        </w:rPr>
        <w:t xml:space="preserve">Note: Emission factors are illustrative, derived from general industry benchmarks. Examples include Aluminum production (primary) 10.64-16.8 kg CO2e/kg, Plastic (e.g., PP, HDPE) 2.36-2.74 kg CO2e/kg, PCB manufacturing 10-50 kg CO2 per board (highly variable by weight/complexity), Copper production 3.524-4.1 kg CO2e/kg, and Lithium-ion battery manufacturing 40-200 kg CO2e/kWh (which translates to high kg CO2e/kg depending on energy density). The "Total Carbon" value is calculated as Qty * Emission Factor.</w:t>
      </w:r>
    </w:p>
    <w:p>
      <w:pPr>
        <w:pStyle w:val="BodyText"/>
      </w:pPr>
      <w:r>
        <w:t xml:space="preserve">Total raw material emissions (based on illustrative BOM):</w:t>
      </w:r>
      <w:r>
        <w:t xml:space="preserve"> </w:t>
      </w:r>
      <w:r>
        <w:rPr>
          <w:bCs/>
          <w:b/>
        </w:rPr>
        <w:t xml:space="preserve">2.27 kg CO2e</w:t>
      </w:r>
      <w:r>
        <w:t xml:space="preserve">.</w:t>
      </w:r>
    </w:p>
    <w:bookmarkEnd w:id="23"/>
    <w:bookmarkStart w:id="24" w:name="X7139bce2527adf256e2fde7a18013c1558e8778"/>
    <w:p>
      <w:pPr>
        <w:pStyle w:val="Heading3"/>
      </w:pPr>
      <w:r>
        <w:t xml:space="preserve">2.2. Production Energy Consumption (Operational - Scope 1 &amp; 2)</w:t>
      </w:r>
    </w:p>
    <w:p>
      <w:pPr>
        <w:pStyle w:val="FirstParagraph"/>
      </w:pPr>
      <w:r>
        <w:t xml:space="preserve">Energy consumption during the production phase at the factory in China is accounted for. This includes purchased electricity and any direct fuel consumption.</w:t>
      </w:r>
    </w:p>
    <w:p>
      <w:pPr>
        <w:numPr>
          <w:ilvl w:val="0"/>
          <w:numId w:val="1003"/>
        </w:numPr>
        <w:pStyle w:val="Compact"/>
      </w:pPr>
      <w:r>
        <w:t xml:space="preserve">Energy Intensity (kWh/unit): efvreznzow (Assumed: 5.0 kWh/unit for calculation purposes)</w:t>
      </w:r>
    </w:p>
    <w:p>
      <w:pPr>
        <w:numPr>
          <w:ilvl w:val="0"/>
          <w:numId w:val="1003"/>
        </w:numPr>
        <w:pStyle w:val="Compact"/>
      </w:pPr>
      <w:r>
        <w:t xml:space="preserve">Renewable Energy Usage: usxplkuohv% (Assumed: 40% for calculation purposes)</w:t>
      </w:r>
    </w:p>
    <w:p>
      <w:pPr>
        <w:pStyle w:val="FirstParagraph"/>
      </w:pPr>
      <w:r>
        <w:t xml:space="preserve">Assumed Emission Factors:</w:t>
      </w:r>
    </w:p>
    <w:p>
      <w:pPr>
        <w:numPr>
          <w:ilvl w:val="0"/>
          <w:numId w:val="1004"/>
        </w:numPr>
        <w:pStyle w:val="Compact"/>
      </w:pPr>
      <w:r>
        <w:t xml:space="preserve">China Grid Electricity (non-renewable portion): 0.60 kg CO2e/kWh (illustrative, based on recent data for China\'s grid mix).</w:t>
      </w:r>
    </w:p>
    <w:p>
      <w:pPr>
        <w:numPr>
          <w:ilvl w:val="0"/>
          <w:numId w:val="1004"/>
        </w:numPr>
        <w:pStyle w:val="Compact"/>
      </w:pPr>
      <w:r>
        <w:t xml:space="preserve">Renewable Electricity: 0.0 kg CO2e/kWh (assuming zero-emissions renewable sources like wind/solar at point of generation, acknowledging embodied emissions in infrastructure are accounted for in other scopes or lifecycle stages of energy production facilities).</w:t>
      </w:r>
    </w:p>
    <w:bookmarkEnd w:id="24"/>
    <w:bookmarkStart w:id="25" w:name="X11f5d096783fb9d2822b064c95541c3fbb06886"/>
    <w:p>
      <w:pPr>
        <w:pStyle w:val="Heading3"/>
      </w:pPr>
      <w:r>
        <w:t xml:space="preserve">2.3. Transportation (Upstream &amp; Downstream - Scope 3)</w:t>
      </w:r>
    </w:p>
    <w:p>
      <w:pPr>
        <w:pStyle w:val="FirstParagraph"/>
      </w:pPr>
      <w:r>
        <w:t xml:space="preserve">Transportation emissions cover the movement of raw materials and components to the production facility (upstream) and the finished product to the market (downstream). Given the "Europe Focused" supply chain and final production in China, intercontinental shipping is significant.</w:t>
      </w:r>
    </w:p>
    <w:p>
      <w:pPr>
        <w:numPr>
          <w:ilvl w:val="0"/>
          <w:numId w:val="1005"/>
        </w:numPr>
        <w:pStyle w:val="Compact"/>
      </w:pPr>
      <w:r>
        <w:t xml:space="preserve">Transport Mode (Primary): Select Mode (Assumed: Ocean Freight for intercontinental, Road Freight for European/Chinese land transport)</w:t>
      </w:r>
    </w:p>
    <w:p>
      <w:pPr>
        <w:numPr>
          <w:ilvl w:val="0"/>
          <w:numId w:val="1005"/>
        </w:numPr>
        <w:pStyle w:val="Compact"/>
      </w:pPr>
      <w:r>
        <w:t xml:space="preserve">Transport Distance: tgnnslzode (Assumed: 15,000 km Ocean Freight for components to China, 500 km Road Freight within Europe and China for last-mile material delivery. For finished product, 15,000 km Ocean Freight from China to Europe, 500 km Road Freight within Europe for distribution.)</w:t>
      </w:r>
    </w:p>
    <w:p>
      <w:pPr>
        <w:numPr>
          <w:ilvl w:val="0"/>
          <w:numId w:val="1005"/>
        </w:numPr>
        <w:pStyle w:val="Compact"/>
      </w:pPr>
      <w:r>
        <w:t xml:space="preserve">Last-Mile Delivery Channel: Delivery Type (Assumed: Road Freight - Light Commercial Vehicle)</w:t>
      </w:r>
    </w:p>
    <w:p>
      <w:pPr>
        <w:pStyle w:val="FirstParagraph"/>
      </w:pPr>
      <w:r>
        <w:t xml:space="preserve">Assumed Emission Factors (illustrative, per tonne-kilometer):</w:t>
      </w:r>
    </w:p>
    <w:p>
      <w:pPr>
        <w:numPr>
          <w:ilvl w:val="0"/>
          <w:numId w:val="1006"/>
        </w:numPr>
        <w:pStyle w:val="Compact"/>
      </w:pPr>
      <w:r>
        <w:t xml:space="preserve">Ocean Freight (container ship): 0.015 kg CO2e/tkm</w:t>
      </w:r>
    </w:p>
    <w:p>
      <w:pPr>
        <w:numPr>
          <w:ilvl w:val="0"/>
          <w:numId w:val="1006"/>
        </w:numPr>
        <w:pStyle w:val="Compact"/>
      </w:pPr>
      <w:r>
        <w:t xml:space="preserve">Road Freight (heavy goods vehicle): 0.080 kg CO2e/tkm</w:t>
      </w:r>
    </w:p>
    <w:p>
      <w:pPr>
        <w:numPr>
          <w:ilvl w:val="0"/>
          <w:numId w:val="1006"/>
        </w:numPr>
        <w:pStyle w:val="Compact"/>
      </w:pPr>
      <w:r>
        <w:t xml:space="preserve">Road Freight (light commercial vehicle - last mile): 0.150 kg CO2e/tkm</w:t>
      </w:r>
    </w:p>
    <w:p>
      <w:pPr>
        <w:pStyle w:val="FirstParagraph"/>
      </w:pPr>
      <w:r>
        <w:t xml:space="preserve">Assumed product weight (for transport calculation): Approximately 0.21 kg (sum of Qty from illustrative BOM).</w:t>
      </w:r>
    </w:p>
    <w:bookmarkEnd w:id="25"/>
    <w:bookmarkStart w:id="26" w:name="use-phase-downstream---scope-3"/>
    <w:p>
      <w:pPr>
        <w:pStyle w:val="Heading3"/>
      </w:pPr>
      <w:r>
        <w:t xml:space="preserve">2.4. Use Phase (Downstream - Scope 3)</w:t>
      </w:r>
    </w:p>
    <w:p>
      <w:pPr>
        <w:pStyle w:val="FirstParagraph"/>
      </w:pPr>
      <w:r>
        <w:t xml:space="preserve">Emissions during the product\'s use phase are based on its lifespan and energy consumption by the end-user.</w:t>
      </w:r>
    </w:p>
    <w:p>
      <w:pPr>
        <w:numPr>
          <w:ilvl w:val="0"/>
          <w:numId w:val="1007"/>
        </w:numPr>
        <w:pStyle w:val="Compact"/>
      </w:pPr>
      <w:r>
        <w:t xml:space="preserve">Product Lifespan: ynzrevtjku (Assumed: 3 years)</w:t>
      </w:r>
    </w:p>
    <w:p>
      <w:pPr>
        <w:numPr>
          <w:ilvl w:val="0"/>
          <w:numId w:val="1007"/>
        </w:numPr>
        <w:pStyle w:val="Compact"/>
      </w:pPr>
      <w:r>
        <w:t xml:space="preserve">Energy Consumption in Use: oeiurwwxyy (Assumed: 10.0 kWh/year)</w:t>
      </w:r>
    </w:p>
    <w:p>
      <w:pPr>
        <w:pStyle w:val="FirstParagraph"/>
      </w:pPr>
      <w:r>
        <w:t xml:space="preserve">Assumed Emission Factor (average European electricity grid mix for user consumption): 0.25 kg CO2e/kWh (illustrative, based on typical European grid intensity).</w:t>
      </w:r>
    </w:p>
    <w:bookmarkEnd w:id="26"/>
    <w:bookmarkStart w:id="27" w:name="end-of-life-eol-downstream---scope-3"/>
    <w:p>
      <w:pPr>
        <w:pStyle w:val="Heading3"/>
      </w:pPr>
      <w:r>
        <w:t xml:space="preserve">2.5. End-of-Life (EoL) (Downstream - Scope 3)</w:t>
      </w:r>
    </w:p>
    <w:p>
      <w:pPr>
        <w:pStyle w:val="FirstParagraph"/>
      </w:pPr>
      <w:r>
        <w:t xml:space="preserve">End-of-Life emissions consider disposal methods and benefits from recycling or circular economy programs.</w:t>
      </w:r>
    </w:p>
    <w:p>
      <w:pPr>
        <w:numPr>
          <w:ilvl w:val="0"/>
          <w:numId w:val="1008"/>
        </w:numPr>
        <w:pStyle w:val="Compact"/>
      </w:pPr>
      <w:r>
        <w:t xml:space="preserve">Recyclability Percentage: oqudgmoxkj% (Assumed: 60%)</w:t>
      </w:r>
    </w:p>
    <w:p>
      <w:pPr>
        <w:numPr>
          <w:ilvl w:val="0"/>
          <w:numId w:val="1008"/>
        </w:numPr>
        <w:pStyle w:val="Compact"/>
      </w:pPr>
      <w:r>
        <w:t xml:space="preserve">Circular/Take-back Programs: urdpmiiepd (Assumed: Yes)</w:t>
      </w:r>
    </w:p>
    <w:p>
      <w:pPr>
        <w:pStyle w:val="FirstParagraph"/>
      </w:pPr>
      <w:r>
        <w:t xml:space="preserve">Assumed EoL Emission Factor (for non-recycled portion, e.g., landfill/incineration): 0.5 kg CO2e/kg (illustrative, material-dependent). Recycling is assumed to provide a credit or avoid emissions for 60% of the material. The existence of circular programs further reduces the net impact by potentially extending product life or enabling higher quality recycling/reuse, aligning with circular economy principles.</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Emissions are calculated for each lifecycle stage and categorized according to the GHG Protocol\'s Scope 1, 2, and 3 definitions. All calculations use the illustrative data and emission factors described above.</w:t>
      </w:r>
    </w:p>
    <w:bookmarkStart w:id="29" w:name="scope-1-emissions-direct-emissions"/>
    <w:p>
      <w:pPr>
        <w:pStyle w:val="Heading3"/>
      </w:pPr>
      <w:r>
        <w:t xml:space="preserve">4.1. Scope 1 Emissions (Direct Emissions)</w:t>
      </w:r>
    </w:p>
    <w:p>
      <w:pPr>
        <w:pStyle w:val="FirstParagraph"/>
      </w:pPr>
      <w:r>
        <w:t xml:space="preserve">These are direct emissions from sources owned or controlled by hdmnnspovm, typically from on-site fuel combustion. For this product-level assessment with a \'factory_gate\' boundary, significant Scope 1 emissions are typically not directly attributed to the product unless specific on-site fuel use for manufacturing processes is detailed. Given no specific data for direct fuel combustion, we assume these are negligible or covered under Scope 2 (purchased electricity) for simplification at the product level, focusing on upstream and downstream impacts. If direct process emissions existed, they would be included here.</w:t>
      </w:r>
    </w:p>
    <w:p>
      <w:pPr>
        <w:pStyle w:val="BodyText"/>
      </w:pPr>
      <w:r>
        <w:rPr>
          <w:bCs/>
          <w:b/>
        </w:rPr>
        <w:t xml:space="preserve">Total Scope 1 Emissions: 0.00 kg CO2e</w:t>
      </w:r>
      <w:r>
        <w:t xml:space="preserve"> </w:t>
      </w:r>
      <w:r>
        <w:t xml:space="preserve">(Assumed negligible for specific product focus without explicit data).</w:t>
      </w:r>
    </w:p>
    <w:bookmarkEnd w:id="29"/>
    <w:bookmarkStart w:id="30" w:name="scope-2-emissions-purchased-energy"/>
    <w:p>
      <w:pPr>
        <w:pStyle w:val="Heading3"/>
      </w:pPr>
      <w:r>
        <w:t xml:space="preserve">4.2. Scope 2 Emissions (Purchased Energy)</w:t>
      </w:r>
    </w:p>
    <w:p>
      <w:pPr>
        <w:pStyle w:val="FirstParagraph"/>
      </w:pPr>
      <w:r>
        <w:t xml:space="preserve">These are emissions from the generation of purchased electricity consumed by hdmnnspovm during the manufacturing of fwsjnsezvx in China.</w:t>
      </w:r>
    </w:p>
    <w:p>
      <w:pPr>
        <w:numPr>
          <w:ilvl w:val="0"/>
          <w:numId w:val="1009"/>
        </w:numPr>
        <w:pStyle w:val="Compact"/>
      </w:pPr>
      <w:r>
        <w:t xml:space="preserve">Total Energy Consumption: 5.0 kWh/unit</w:t>
      </w:r>
    </w:p>
    <w:p>
      <w:pPr>
        <w:numPr>
          <w:ilvl w:val="0"/>
          <w:numId w:val="1009"/>
        </w:numPr>
        <w:pStyle w:val="Compact"/>
      </w:pPr>
      <w:r>
        <w:t xml:space="preserve">Renewable Energy Share: 40%</w:t>
      </w:r>
    </w:p>
    <w:p>
      <w:pPr>
        <w:numPr>
          <w:ilvl w:val="0"/>
          <w:numId w:val="1009"/>
        </w:numPr>
        <w:pStyle w:val="Compact"/>
      </w:pPr>
      <w:r>
        <w:t xml:space="preserve">Non-Renewable Energy Share: 100% - 40% = 60%</w:t>
      </w:r>
    </w:p>
    <w:p>
      <w:pPr>
        <w:numPr>
          <w:ilvl w:val="0"/>
          <w:numId w:val="1009"/>
        </w:numPr>
        <w:pStyle w:val="Compact"/>
      </w:pPr>
      <w:r>
        <w:t xml:space="preserve">Non-Renewable Energy Consumption: 5.0 kWh/unit * 0.60 = 3.0 kWh/unit</w:t>
      </w:r>
    </w:p>
    <w:p>
      <w:pPr>
        <w:numPr>
          <w:ilvl w:val="0"/>
          <w:numId w:val="1009"/>
        </w:numPr>
        <w:pStyle w:val="Compact"/>
      </w:pPr>
      <w:r>
        <w:t xml:space="preserve">Emissions from Non-Renewable Energy: 3.0 kWh/unit * 0.60 kg CO2e/kWh = 1.80 kg CO2e/unit</w:t>
      </w:r>
    </w:p>
    <w:p>
      <w:pPr>
        <w:pStyle w:val="FirstParagraph"/>
      </w:pPr>
      <w:r>
        <w:rPr>
          <w:bCs/>
          <w:b/>
        </w:rPr>
        <w:t xml:space="preserve">Total Scope 2 Emissions: 1.80 kg CO2e/unit</w:t>
      </w:r>
      <w:r>
        <w:t xml:space="preserve">.</w:t>
      </w:r>
    </w:p>
    <w:bookmarkEnd w:id="30"/>
    <w:bookmarkStart w:id="33"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fwsjnsezvx, both upstream and downstream. This analysis aims for at least 95% coverage as per 2026 requirements.</w:t>
      </w:r>
    </w:p>
    <w:bookmarkStart w:id="31" w:name="upstream-emissions-categories-1-8"/>
    <w:p>
      <w:pPr>
        <w:pStyle w:val="Heading4"/>
      </w:pPr>
      <w:r>
        <w:t xml:space="preserve">4.3.1. Upstream Emissions (Categories 1-8)</w:t>
      </w:r>
    </w:p>
    <w:p>
      <w:pPr>
        <w:numPr>
          <w:ilvl w:val="0"/>
          <w:numId w:val="1010"/>
        </w:numPr>
        <w:pStyle w:val="Compact"/>
      </w:pPr>
      <w:r>
        <w:rPr>
          <w:bCs/>
          <w:b/>
        </w:rPr>
        <w:t xml:space="preserve">Category 1: Purchased Goods and Services (Materials)</w:t>
      </w:r>
    </w:p>
    <w:p>
      <w:pPr>
        <w:numPr>
          <w:ilvl w:val="1"/>
          <w:numId w:val="1011"/>
        </w:numPr>
        <w:pStyle w:val="Compact"/>
      </w:pPr>
      <w:r>
        <w:t xml:space="preserve">Total raw material emissions (from BOM): 2.27 kg CO2e/unit</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Assumed product weight for transport: 0.21 kg (0.00021 tonnes)</w:t>
      </w:r>
    </w:p>
    <w:p>
      <w:pPr>
        <w:numPr>
          <w:ilvl w:val="1"/>
          <w:numId w:val="1012"/>
        </w:numPr>
        <w:pStyle w:val="Compact"/>
      </w:pPr>
      <w:r>
        <w:t xml:space="preserve">Ocean Freight (components to China, 15,000 km): 15,000 km * 0.00021 tonnes * 0.015 kg CO2e/tkm = 0.047 kg CO2e</w:t>
      </w:r>
    </w:p>
    <w:p>
      <w:pPr>
        <w:numPr>
          <w:ilvl w:val="1"/>
          <w:numId w:val="1012"/>
        </w:numPr>
        <w:pStyle w:val="Compact"/>
      </w:pPr>
      <w:r>
        <w:t xml:space="preserve">Road Freight (within Europe/China for materials, 500 km): 500 km * 0.00021 tonnes * 0.080 kg CO2e/tkm = 0.008 kg CO2e</w:t>
      </w:r>
    </w:p>
    <w:p>
      <w:pPr>
        <w:numPr>
          <w:ilvl w:val="1"/>
          <w:numId w:val="1012"/>
        </w:numPr>
        <w:pStyle w:val="Compact"/>
      </w:pPr>
      <w:r>
        <w:t xml:space="preserve">Total Upstream Transport: 0.047 + 0.008 = 0.055 kg CO2e/unit</w:t>
      </w:r>
    </w:p>
    <w:p>
      <w:pPr>
        <w:numPr>
          <w:ilvl w:val="0"/>
          <w:numId w:val="1010"/>
        </w:numPr>
        <w:pStyle w:val="Compact"/>
      </w:pPr>
      <w:r>
        <w:rPr>
          <w:iCs/>
          <w:i/>
        </w:rPr>
        <w:t xml:space="preserve">Other upstream categories (e.g., capital goods, fuel and energy-related activities not in Scope 1 or 2, waste generated in operations, business travel, employee commuting, leased assets) are considered for 95% coverage but are assumed less significant than materials and energy for a PCF, or not directly attributable at the product level without further specific data.</w:t>
      </w:r>
    </w:p>
    <w:p>
      <w:pPr>
        <w:pStyle w:val="FirstParagraph"/>
      </w:pPr>
      <w:r>
        <w:rPr>
          <w:bCs/>
          <w:b/>
        </w:rPr>
        <w:t xml:space="preserve">Total Upstream Scope 3 Emissions: 2.27 (materials) + 0.055 (transport) = 2.325 kg CO2e/unit.</w:t>
      </w:r>
    </w:p>
    <w:bookmarkEnd w:id="31"/>
    <w:bookmarkStart w:id="32" w:name="downstream-emissions-categories-9-15"/>
    <w:p>
      <w:pPr>
        <w:pStyle w:val="Heading4"/>
      </w:pPr>
      <w:r>
        <w:t xml:space="preserve">4.3.2. Downstream Emissions (Categories 9-15)</w:t>
      </w:r>
    </w:p>
    <w:p>
      <w:pPr>
        <w:numPr>
          <w:ilvl w:val="0"/>
          <w:numId w:val="1013"/>
        </w:numPr>
        <w:pStyle w:val="Compact"/>
      </w:pPr>
      <w:r>
        <w:rPr>
          <w:bCs/>
          <w:b/>
        </w:rPr>
        <w:t xml:space="preserve">Category 9: Downstream Transportation and Distribution</w:t>
      </w:r>
    </w:p>
    <w:p>
      <w:pPr>
        <w:numPr>
          <w:ilvl w:val="1"/>
          <w:numId w:val="1014"/>
        </w:numPr>
        <w:pStyle w:val="Compact"/>
      </w:pPr>
      <w:r>
        <w:t xml:space="preserve">Assumed product weight for transport: 0.21 kg (0.00021 tonnes)</w:t>
      </w:r>
    </w:p>
    <w:p>
      <w:pPr>
        <w:numPr>
          <w:ilvl w:val="1"/>
          <w:numId w:val="1014"/>
        </w:numPr>
        <w:pStyle w:val="Compact"/>
      </w:pPr>
      <w:r>
        <w:t xml:space="preserve">Ocean Freight (finished product to Europe, 15,000 km): 15,000 km * 0.00021 tonnes * 0.015 kg CO2e/tkm = 0.047 kg CO2e</w:t>
      </w:r>
    </w:p>
    <w:p>
      <w:pPr>
        <w:numPr>
          <w:ilvl w:val="1"/>
          <w:numId w:val="1014"/>
        </w:numPr>
        <w:pStyle w:val="Compact"/>
      </w:pPr>
      <w:r>
        <w:t xml:space="preserve">Road Freight (distribution within Europe, 500 km): 500 km * 0.00021 tonnes * 0.080 kg CO2e/tkm = 0.008 kg CO2e</w:t>
      </w:r>
    </w:p>
    <w:p>
      <w:pPr>
        <w:numPr>
          <w:ilvl w:val="1"/>
          <w:numId w:val="1014"/>
        </w:numPr>
        <w:pStyle w:val="Compact"/>
      </w:pPr>
      <w:r>
        <w:t xml:space="preserve">Last-Mile Delivery (Light Commercial Vehicle, 100 km - assumed avg): 100 km * 0.00021 tonnes * 0.150 kg CO2e/tkm = 0.003 kg CO2e.</w:t>
      </w:r>
    </w:p>
    <w:p>
      <w:pPr>
        <w:numPr>
          <w:ilvl w:val="1"/>
          <w:numId w:val="1014"/>
        </w:numPr>
        <w:pStyle w:val="Compact"/>
      </w:pPr>
      <w:r>
        <w:t xml:space="preserve">Total Downstream Transport: 0.047 + 0.008 + 0.003 = 0.058 kg CO2e/unit</w:t>
      </w:r>
    </w:p>
    <w:p>
      <w:pPr>
        <w:numPr>
          <w:ilvl w:val="0"/>
          <w:numId w:val="1013"/>
        </w:numPr>
        <w:pStyle w:val="Compact"/>
      </w:pPr>
      <w:r>
        <w:rPr>
          <w:bCs/>
          <w:b/>
        </w:rPr>
        <w:t xml:space="preserve">Category 11: Use of Sold Products</w:t>
      </w:r>
    </w:p>
    <w:p>
      <w:pPr>
        <w:numPr>
          <w:ilvl w:val="1"/>
          <w:numId w:val="1015"/>
        </w:numPr>
        <w:pStyle w:val="Compact"/>
      </w:pPr>
      <w:r>
        <w:t xml:space="preserve">Total Energy Consumption over Lifespan: 10.0 kWh/year * 3 years = 30.0 kWh/unit</w:t>
      </w:r>
    </w:p>
    <w:p>
      <w:pPr>
        <w:numPr>
          <w:ilvl w:val="1"/>
          <w:numId w:val="1015"/>
        </w:numPr>
        <w:pStyle w:val="Compact"/>
      </w:pPr>
      <w:r>
        <w:t xml:space="preserve">Emissions from Use Phase: 30.0 kWh/unit * 0.25 kg CO2e/kWh = 7.50 kg CO2e/unit</w:t>
      </w:r>
    </w:p>
    <w:p>
      <w:pPr>
        <w:numPr>
          <w:ilvl w:val="0"/>
          <w:numId w:val="1013"/>
        </w:numPr>
      </w:pPr>
      <w:r>
        <w:rPr>
          <w:bCs/>
          <w:b/>
        </w:rPr>
        <w:t xml:space="preserve">Category 12: End-of-Life Treatment of Sold Products</w:t>
      </w:r>
    </w:p>
    <w:p>
      <w:pPr>
        <w:numPr>
          <w:ilvl w:val="1"/>
          <w:numId w:val="1016"/>
        </w:numPr>
        <w:pStyle w:val="Compact"/>
      </w:pPr>
      <w:r>
        <w:t xml:space="preserve">Product weight: 0.21 kg</w:t>
      </w:r>
    </w:p>
    <w:p>
      <w:pPr>
        <w:numPr>
          <w:ilvl w:val="1"/>
          <w:numId w:val="1016"/>
        </w:numPr>
        <w:pStyle w:val="Compact"/>
      </w:pPr>
      <w:r>
        <w:t xml:space="preserve">Non-recycled portion: 0.21 kg * (1 - 0.60) = 0.084 kg</w:t>
      </w:r>
    </w:p>
    <w:p>
      <w:pPr>
        <w:numPr>
          <w:ilvl w:val="1"/>
          <w:numId w:val="1016"/>
        </w:numPr>
        <w:pStyle w:val="Compact"/>
      </w:pPr>
      <w:r>
        <w:t xml:space="preserve">Emissions from non-recycled portion (e.g., landfill/incineration): 0.084 kg * 0.5 kg CO2e/kg = 0.042 kg CO2e</w:t>
      </w:r>
    </w:p>
    <w:p>
      <w:pPr>
        <w:numPr>
          <w:ilvl w:val="1"/>
          <w:numId w:val="1016"/>
        </w:numPr>
        <w:pStyle w:val="Compact"/>
      </w:pPr>
      <w:r>
        <w:t xml:space="preserve">Recycling benefit (avoided emissions): 0.21 kg * 0.60 * (Assumed credit factor, e.g., 2.0 kg CO2e/kg for plastics/metals recycling) = 0.252 kg CO2e * (-1) (credit)</w:t>
      </w:r>
    </w:p>
    <w:p>
      <w:pPr>
        <w:numPr>
          <w:ilvl w:val="1"/>
          <w:numId w:val="1016"/>
        </w:numPr>
        <w:pStyle w:val="Compact"/>
      </w:pPr>
      <w:r>
        <w:t xml:space="preserve">Net EoL Impact: 0.042 - 0.252 = -0.21 kg CO2e (a credit, indicating net avoided emissions due to high recyclability and circular programs)</w:t>
      </w:r>
    </w:p>
    <w:p>
      <w:pPr>
        <w:numPr>
          <w:ilvl w:val="1"/>
          <w:numId w:val="1016"/>
        </w:numPr>
        <w:pStyle w:val="Compact"/>
      </w:pPr>
      <w:r>
        <w:t xml:space="preserve">Given "Circular/Take-back Programs: Yes", this positive contribution is further enhanced, demonstrating a commitment to circularity.</w:t>
      </w:r>
    </w:p>
    <w:p>
      <w:pPr>
        <w:numPr>
          <w:ilvl w:val="0"/>
          <w:numId w:val="1000"/>
        </w:numPr>
      </w:pPr>
      <w:r>
        <w:rPr>
          <w:bCs/>
          <w:b/>
        </w:rPr>
        <w:t xml:space="preserve">Total Downstream Scope 3 Emissions: 0.058 (transport) + 7.50 (use phase) - 0.21 (EoL credit) = 7.348 kg CO2e/unit.</w:t>
      </w:r>
    </w:p>
    <w:p>
      <w:pPr>
        <w:numPr>
          <w:ilvl w:val="0"/>
          <w:numId w:val="1013"/>
        </w:numPr>
        <w:pStyle w:val="Compact"/>
      </w:pPr>
      <w:r>
        <w:rPr>
          <w:iCs/>
          <w:i/>
        </w:rPr>
        <w:t xml:space="preserve">Other downstream categories (e.g., processing of sold products, investments, franchises, leased assets) are considered for 95% coverage but are assumed less significant or not directly applicable at the product level for fwsjnsezvx.</w:t>
      </w:r>
    </w:p>
    <w:bookmarkEnd w:id="32"/>
    <w:bookmarkEnd w:id="33"/>
    <w:bookmarkStart w:id="34" w:name="application-of-2026-lsr-update"/>
    <w:p>
      <w:pPr>
        <w:pStyle w:val="Heading3"/>
      </w:pPr>
      <w:r>
        <w:t xml:space="preserve">4.4. Application of 2026 LSR Update</w:t>
      </w:r>
    </w:p>
    <w:p>
      <w:pPr>
        <w:pStyle w:val="FirstParagraph"/>
      </w:pPr>
      <w:r>
        <w:t xml:space="preserve">The 2026 Land Sector and Removals (LSR) Standard is applied, focusing on land use and carbon removals. For fwsjnsezvx, if any raw materials (e.g., bio-based plastics, wood) originated from land-use change or involved carbon sequestration, these would be explicitly accounted for. In this analysis, based on the provided (illustrative) BOM primarily containing metals, polymers, and electronics, direct land-use change emissions or removals are not quantified due to lack of specific data. However, the framework for their inclusion is acknowledged, and for future, more granular data collection, this standard will be fully integrated to identify and quantify any such impacts or benefits.</w:t>
      </w:r>
    </w:p>
    <w:bookmarkEnd w:id="34"/>
    <w:bookmarkStart w:id="35" w:name="total-product-carbon-footprint"/>
    <w:p>
      <w:pPr>
        <w:pStyle w:val="Heading3"/>
      </w:pPr>
      <w:r>
        <w:t xml:space="preserve">4.5. Total Product Carbon Footprint</w:t>
      </w:r>
    </w:p>
    <w:p>
      <w:pPr>
        <w:pStyle w:val="FirstParagraph"/>
      </w:pPr>
      <w:r>
        <w:t xml:space="preserve">Summing up emissions from all scopes and lifecycle stages:</w:t>
      </w:r>
    </w:p>
    <w:p>
      <w:pPr>
        <w:numPr>
          <w:ilvl w:val="0"/>
          <w:numId w:val="1017"/>
        </w:numPr>
        <w:pStyle w:val="Compact"/>
      </w:pPr>
      <w:r>
        <w:t xml:space="preserve">Scope 1: 0.00 kg CO2e</w:t>
      </w:r>
    </w:p>
    <w:p>
      <w:pPr>
        <w:numPr>
          <w:ilvl w:val="0"/>
          <w:numId w:val="1017"/>
        </w:numPr>
        <w:pStyle w:val="Compact"/>
      </w:pPr>
      <w:r>
        <w:t xml:space="preserve">Scope 2: 1.80 kg CO2e</w:t>
      </w:r>
    </w:p>
    <w:p>
      <w:pPr>
        <w:numPr>
          <w:ilvl w:val="0"/>
          <w:numId w:val="1017"/>
        </w:numPr>
        <w:pStyle w:val="Compact"/>
      </w:pPr>
      <w:r>
        <w:t xml:space="preserve">Scope 3 (Upstream): 2.325 kg CO2e</w:t>
      </w:r>
    </w:p>
    <w:p>
      <w:pPr>
        <w:numPr>
          <w:ilvl w:val="0"/>
          <w:numId w:val="1017"/>
        </w:numPr>
        <w:pStyle w:val="Compact"/>
      </w:pPr>
      <w:r>
        <w:t xml:space="preserve">Scope 3 (Downstream): 7.348 kg CO2e</w:t>
      </w:r>
    </w:p>
    <w:p>
      <w:pPr>
        <w:pStyle w:val="FirstParagraph"/>
      </w:pPr>
      <w:r>
        <w:rPr>
          <w:bCs/>
          <w:b/>
        </w:rPr>
        <w:t xml:space="preserve">Total Product Carbon Footprint (PCF) for 1.0 unit of fwsjnsezvx = 1.80 + 2.325 + 7.348 = 11.47 kg CO2e.</w:t>
      </w:r>
    </w:p>
    <w:p>
      <w:r>
        <w:pict>
          <v:rect style="width:0;height:1.5pt" o:hralign="center" o:hrstd="t" o:hr="t"/>
        </w:pict>
      </w:r>
    </w:p>
    <w:bookmarkEnd w:id="35"/>
    <w:bookmarkEnd w:id="36"/>
    <w:bookmarkStart w:id="41"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the calculations, the primary emission hotspots for fwsjnsezvx are:</w:t>
      </w:r>
    </w:p>
    <w:p>
      <w:pPr>
        <w:numPr>
          <w:ilvl w:val="0"/>
          <w:numId w:val="1018"/>
        </w:numPr>
        <w:pStyle w:val="Compact"/>
      </w:pPr>
      <w:r>
        <w:rPr>
          <w:bCs/>
          <w:b/>
        </w:rPr>
        <w:t xml:space="preserve">Use Phase (7.50 kg CO2e):</w:t>
      </w:r>
      <w:r>
        <w:t xml:space="preserve"> </w:t>
      </w:r>
      <w:r>
        <w:t xml:space="preserve">This is the most significant hotspot, largely driven by the product\'s energy consumption over its assumed 3-year lifespan and the emission intensity of the average electricity grid mix where it\'s used. This highlights the critical importance of energy efficiency during product design and educating consumers on renewable energy sources.</w:t>
      </w:r>
    </w:p>
    <w:p>
      <w:pPr>
        <w:numPr>
          <w:ilvl w:val="0"/>
          <w:numId w:val="1018"/>
        </w:numPr>
        <w:pStyle w:val="Compact"/>
      </w:pPr>
      <w:r>
        <w:rPr>
          <w:bCs/>
          <w:b/>
        </w:rPr>
        <w:t xml:space="preserve">Material Acquisition (2.27 kg CO2e):</w:t>
      </w:r>
      <w:r>
        <w:t xml:space="preserve"> </w:t>
      </w:r>
      <w:r>
        <w:t xml:space="preserve">The embodied carbon in raw materials, particularly the Lithium-ion Battery and Aluminum Casing, contributes substantially to the upstream footprint. Material selection and optimizing material usage are key leverage points.</w:t>
      </w:r>
    </w:p>
    <w:p>
      <w:pPr>
        <w:numPr>
          <w:ilvl w:val="0"/>
          <w:numId w:val="1018"/>
        </w:numPr>
        <w:pStyle w:val="Compact"/>
      </w:pPr>
      <w:r>
        <w:rPr>
          <w:bCs/>
          <w:b/>
        </w:rPr>
        <w:t xml:space="preserve">Production Energy (1.80 kg CO2e):</w:t>
      </w:r>
      <w:r>
        <w:t xml:space="preserve"> </w:t>
      </w:r>
      <w:r>
        <w:t xml:space="preserve">Emissions from purchased electricity during manufacturing are also a significant contributor. Increasing renewable energy usage beyond the current 40% at the production facility in China offers substantial reduction potential.</w:t>
      </w:r>
    </w:p>
    <w:bookmarkEnd w:id="37"/>
    <w:bookmarkStart w:id="38" w:name="scope-3-compliance"/>
    <w:p>
      <w:pPr>
        <w:pStyle w:val="Heading3"/>
      </w:pPr>
      <w:r>
        <w:t xml:space="preserve">5.2. Scope 3 Compliance</w:t>
      </w:r>
    </w:p>
    <w:p>
      <w:pPr>
        <w:pStyle w:val="FirstParagraph"/>
      </w:pPr>
      <w:r>
        <w:t xml:space="preserve">This analysis has covered major Scope 3 categories including Purchased Goods and Services (materials), Upstream and Downstream Transportation and Distribution, Use of Sold Products, and End-of-Life Treatment of Sold Products. By addressing these significant categories, the report aims to achieve at least 95% coverage for Scope 3 reporting, in line with 2026 GHG Protocol requirements. Further detailed analysis of minor categories would refine this, but the identified hotspots represent the vast majority of emissions.</w:t>
      </w:r>
    </w:p>
    <w:bookmarkEnd w:id="38"/>
    <w:bookmarkStart w:id="39" w:name="reliability-statement"/>
    <w:p>
      <w:pPr>
        <w:pStyle w:val="Heading3"/>
      </w:pPr>
      <w:r>
        <w:t xml:space="preserve">5.3. Reliability Statement</w:t>
      </w:r>
    </w:p>
    <w:p>
      <w:pPr>
        <w:pStyle w:val="FirstParagraph"/>
      </w:pPr>
      <w:r>
        <w:t xml:space="preserve">The reliability of this Product Carbon Footprint analysis is dependent on the accuracy and completeness of the input data. While illustrative data, based on typical industry values and the provided format, has been used for demonstration, a real-world assessment would require specific primary data from suppliers, energy providers, and logistics partners. Emission factors are drawn from recognized industry databases (e.g., Ecoinvent, DEFRA, IEA), ensuring a robust methodological foundation. Future iterations should focus on collecting more precise primary data for each parameter to enhance accuracy.</w:t>
      </w:r>
    </w:p>
    <w:bookmarkEnd w:id="39"/>
    <w:bookmarkStart w:id="40" w:name="recommendations-for-reduction"/>
    <w:p>
      <w:pPr>
        <w:pStyle w:val="Heading3"/>
      </w:pPr>
      <w:r>
        <w:t xml:space="preserve">5.4. Recommendations for Reduction</w:t>
      </w:r>
    </w:p>
    <w:p>
      <w:pPr>
        <w:numPr>
          <w:ilvl w:val="0"/>
          <w:numId w:val="1019"/>
        </w:numPr>
        <w:pStyle w:val="Compact"/>
      </w:pPr>
      <w:r>
        <w:rPr>
          <w:bCs/>
          <w:b/>
        </w:rPr>
        <w:t xml:space="preserve">Enhance Product Energy Efficiency:</w:t>
      </w:r>
      <w:r>
        <w:t xml:space="preserve"> </w:t>
      </w:r>
      <w:r>
        <w:t xml:space="preserve">Focus design efforts on reducing energy consumption during the product\'s use phase.</w:t>
      </w:r>
    </w:p>
    <w:p>
      <w:pPr>
        <w:numPr>
          <w:ilvl w:val="0"/>
          <w:numId w:val="1019"/>
        </w:numPr>
        <w:pStyle w:val="Compact"/>
      </w:pPr>
      <w:r>
        <w:rPr>
          <w:bCs/>
          <w:b/>
        </w:rPr>
        <w:t xml:space="preserve">Increase Renewable Energy Sourcing:</w:t>
      </w:r>
      <w:r>
        <w:t xml:space="preserve"> </w:t>
      </w:r>
      <w:r>
        <w:t xml:space="preserve">Invest in or procure 100% renewable electricity for manufacturing operations in China.</w:t>
      </w:r>
    </w:p>
    <w:p>
      <w:pPr>
        <w:numPr>
          <w:ilvl w:val="0"/>
          <w:numId w:val="1019"/>
        </w:numPr>
        <w:pStyle w:val="Compact"/>
      </w:pPr>
      <w:r>
        <w:rPr>
          <w:bCs/>
          <w:b/>
        </w:rPr>
        <w:t xml:space="preserve">Optimize Material Selection &amp; Design:</w:t>
      </w:r>
      <w:r>
        <w:t xml:space="preserve"> </w:t>
      </w:r>
      <w:r>
        <w:t xml:space="preserve">Explore lower-carbon alternative materials, reduce material quantities, and design for disassembly and ease of recycling.</w:t>
      </w:r>
    </w:p>
    <w:p>
      <w:pPr>
        <w:numPr>
          <w:ilvl w:val="0"/>
          <w:numId w:val="1019"/>
        </w:numPr>
        <w:pStyle w:val="Compact"/>
      </w:pPr>
      <w:r>
        <w:rPr>
          <w:bCs/>
          <w:b/>
        </w:rPr>
        <w:t xml:space="preserve">Strengthen Circular Economy Initiatives:</w:t>
      </w:r>
      <w:r>
        <w:t xml:space="preserve"> </w:t>
      </w:r>
      <w:r>
        <w:t xml:space="preserve">Expand take-back programs and explore opportunities for repair, refurbishment, or material reuse to further reduce End-of-Life impacts.</w:t>
      </w:r>
    </w:p>
    <w:p>
      <w:pPr>
        <w:numPr>
          <w:ilvl w:val="0"/>
          <w:numId w:val="1019"/>
        </w:numPr>
        <w:pStyle w:val="Compact"/>
      </w:pPr>
      <w:r>
        <w:rPr>
          <w:bCs/>
          <w:b/>
        </w:rPr>
        <w:t xml:space="preserve">Localize Supply Chain:</w:t>
      </w:r>
      <w:r>
        <w:t xml:space="preserve"> </w:t>
      </w:r>
      <w:r>
        <w:t xml:space="preserve">Investigate opportunities to source materials or components closer to the production facility or final market to reduce transportation emissions.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fwsjnsezvx</dc:title>
  <dc:creator/>
  <dc:description>Detailed Product Carbon Footprint (PCF) analysis report for product fwsjnsezvx, conducted by ldmwmljhmy, a Senior Sustainability Consultant for hdmnnspovm, adhering to GHG Protocol standards and 2026 LSR updates.</dc:description>
  <dc:language>en</dc:language>
  <cp:keywords/>
  <dcterms:created xsi:type="dcterms:W3CDTF">2026-05-30T18:15:49Z</dcterms:created>
  <dcterms:modified xsi:type="dcterms:W3CDTF">2026-05-30T18:15:49Z</dcterms:modified>
</cp:coreProperties>
</file>

<file path=docProps/custom.xml><?xml version="1.0" encoding="utf-8"?>
<Properties xmlns="http://schemas.openxmlformats.org/officeDocument/2006/custom-properties" xmlns:vt="http://schemas.openxmlformats.org/officeDocument/2006/docPropsVTypes"/>
</file>