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fvrxjnwdqv</w:t>
      </w:r>
    </w:p>
    <w:p>
      <w:pPr>
        <w:pStyle w:val="FirstParagraph"/>
      </w:pPr>
      <w:r>
        <w:t xml:space="preserve">carboncalcpcf.com</w:t>
      </w:r>
    </w:p>
    <w:p>
      <w:pPr>
        <w:pStyle w:val="BodyText"/>
      </w:pPr>
      <w:r>
        <w:t xml:space="preserve">Product Carbon Footprint Analysis Report</w:t>
      </w:r>
    </w:p>
    <w:p>
      <w:pPr>
        <w:pStyle w:val="BodyText"/>
      </w:pPr>
      <w:r>
        <w:rPr>
          <w:bCs/>
          <w:b/>
        </w:rPr>
        <w:t xml:space="preserve">Product:</w:t>
      </w:r>
      <w:r>
        <w:t xml:space="preserve"> </w:t>
      </w:r>
      <w:r>
        <w:t xml:space="preserve">fvrxjnwdqv</w:t>
      </w:r>
    </w:p>
    <w:p>
      <w:pPr>
        <w:pStyle w:val="BodyText"/>
      </w:pPr>
      <w:r>
        <w:rPr>
          <w:bCs/>
          <w:b/>
        </w:rPr>
        <w:t xml:space="preserve">Company:</w:t>
      </w:r>
      <w:r>
        <w:t xml:space="preserve"> </w:t>
      </w:r>
      <w:r>
        <w:t xml:space="preserve">gejevjsizr</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joetwhkyhq</w:t>
      </w:r>
    </w:p>
    <w:p>
      <w:pPr>
        <w:pStyle w:val="BodyText"/>
      </w:pPr>
      <w:r>
        <w:t xml:space="preserve">Disclaimer: This report is generated based on available data and industry standards.</w:t>
      </w:r>
      <w:r>
        <w:t xml:space="preserve"> </w:t>
      </w:r>
      <w:r>
        <w:t xml:space="preserve">The calculations and estimations provided are indicative and intended for informational purposes.</w:t>
      </w:r>
      <w:r>
        <w:t xml:space="preserve"> </w:t>
      </w:r>
      <w:r>
        <w:t xml:space="preserve">Actual emissions may vary.</w:t>
      </w:r>
    </w:p>
    <w:p>
      <w:pPr>
        <w:pStyle w:val="BodyText"/>
      </w:pPr>
      <w:r>
        <w:t xml:space="preserve">Generated Date: May 18, 2026</w:t>
      </w:r>
    </w:p>
    <w:bookmarkStart w:id="51" w:name="X06bc7621ed4e6e8aaaa0bd5bc4866b9954959b6"/>
    <w:p>
      <w:pPr>
        <w:pStyle w:val="Heading1"/>
      </w:pPr>
      <w:r>
        <w:t xml:space="preserve">Product Carbon Footprint Analysis Report: fvrxjnwdqv</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fvrxjnwdqv</w:t>
      </w:r>
      <w:r>
        <w:t xml:space="preserve">, manufactured by</w:t>
      </w:r>
      <w:r>
        <w:t xml:space="preserve"> </w:t>
      </w:r>
      <w:r>
        <w:rPr>
          <w:bCs/>
          <w:b/>
        </w:rPr>
        <w:t xml:space="preserve">gejevjsizr</w:t>
      </w:r>
      <w:r>
        <w:t xml:space="preserve">.</w:t>
      </w:r>
      <w:r>
        <w:t xml:space="preserve"> </w:t>
      </w:r>
      <w:r>
        <w:t xml:space="preserve">The analysis adheres strictly to the Greenhouse Gas (GHG) Protocol Accounting Standard, incorporating the 2026 Land Sector and Removals (LSR) Update and ensuring at least 95% coverage for Scope 3 emissions.</w:t>
      </w:r>
      <w:r>
        <w:t xml:space="preserve"> </w:t>
      </w:r>
      <w:r>
        <w:t xml:space="preserve">The primary objective is to quantify the greenhouse gas emissions associated with the product\'s lifecycle, from raw material extraction to end-of-life, providing insights into emission hotspots and areas for improvement.</w:t>
      </w:r>
      <w:r>
        <w:t xml:space="preserve"> </w:t>
      </w:r>
      <w:r>
        <w:t xml:space="preserve">This assessment serves as a foundational step for</w:t>
      </w:r>
      <w:r>
        <w:t xml:space="preserve"> </w:t>
      </w:r>
      <w:r>
        <w:rPr>
          <w:bCs/>
          <w:b/>
        </w:rPr>
        <w:t xml:space="preserve">gejevjsizr</w:t>
      </w:r>
      <w:r>
        <w:t xml:space="preserve">\'s sustainability strategy and reporting.</w:t>
      </w:r>
    </w:p>
    <w:p>
      <w:r>
        <w:pict>
          <v:rect style="width:0;height:1.5pt" o:hralign="center" o:hrstd="t" o:hr="t"/>
        </w:pict>
      </w:r>
    </w:p>
    <w:bookmarkEnd w:id="20"/>
    <w:bookmarkStart w:id="26" w:name="defining-the-scope"/>
    <w:p>
      <w:pPr>
        <w:pStyle w:val="Heading2"/>
      </w:pPr>
      <w:r>
        <w:t xml:space="preserve">1. Defining the Scope</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fvrxjnwdqv</w:t>
      </w:r>
      <w:r>
        <w:t xml:space="preserve">, representing the quantified performance of the product system.</w:t>
      </w:r>
    </w:p>
    <w:bookmarkEnd w:id="21"/>
    <w:bookmarkStart w:id="22"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"cradle-to-gate" approach includes emissions from raw material acquisition, pre-processing, and manufacturing up to the point where the finished product leaves the production facility. For a comprehensive PCF, we extend this to a "cradle-to-grave" analysis covering transport to customer, use phase, and end-of-life, as specified in the parameters.</w:t>
      </w:r>
    </w:p>
    <w:bookmarkEnd w:id="22"/>
    <w:bookmarkStart w:id="23" w:name="geographic-scope"/>
    <w:p>
      <w:pPr>
        <w:pStyle w:val="Heading3"/>
      </w:pPr>
      <w:r>
        <w:t xml:space="preserve">1.3 Geographic Scope</w:t>
      </w:r>
    </w:p>
    <w:p>
      <w:pPr>
        <w:pStyle w:val="FirstParagraph"/>
      </w:pPr>
      <w:r>
        <w:t xml:space="preserve">The final production country for</w:t>
      </w:r>
      <w:r>
        <w:t xml:space="preserve"> </w:t>
      </w:r>
      <w:r>
        <w:rPr>
          <w:bCs/>
          <w:b/>
        </w:rPr>
        <w:t xml:space="preserve">fvrxjnwdqv</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implying that raw materials may be sourced from or transported through Europe, and distribution eventually reaches European markets.</w:t>
      </w:r>
    </w:p>
    <w:bookmarkEnd w:id="23"/>
    <w:bookmarkStart w:id="24" w:name="allocation"/>
    <w:p>
      <w:pPr>
        <w:pStyle w:val="Heading3"/>
      </w:pPr>
      <w:r>
        <w:t xml:space="preserve">1.4 Allocation</w:t>
      </w:r>
    </w:p>
    <w:p>
      <w:pPr>
        <w:pStyle w:val="FirstParagraph"/>
      </w:pPr>
      <w:r>
        <w:t xml:space="preserve">Allocation of emissions for shared processes or by-products is performed in accordance with GHG Protocol guidelines, primarily focusing on mass or economic allocation where applicable. For this product-level analysis, direct attribution of emissions to the functional unit is prioritized.</w:t>
      </w:r>
    </w:p>
    <w:bookmarkEnd w:id="24"/>
    <w:bookmarkStart w:id="25"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 Product Standard (A Corporate Accounting and Reporting Standard for the Carbon Footprint of Goods and Services)</w:t>
      </w:r>
      <w:r>
        <w:t xml:space="preserve">. All emissions are categorized into Scope 1 (direct emissions), Scope 2 (purchased energy emissions), and Scope 3 (all other indirect emissions across the value chain).</w:t>
      </w:r>
    </w:p>
    <w:p>
      <w:r>
        <w:pict>
          <v:rect style="width:0;height:1.5pt" o:hralign="center" o:hrstd="t" o:hr="t"/>
        </w:pict>
      </w:r>
    </w:p>
    <w:bookmarkEnd w:id="25"/>
    <w:bookmarkEnd w:id="26"/>
    <w:bookmarkStart w:id="33" w:name="mapping-the-lifecycle-3.-collecting-data"/>
    <w:p>
      <w:pPr>
        <w:pStyle w:val="Heading2"/>
      </w:pPr>
      <w:r>
        <w:t xml:space="preserve">2. Mapping the Lifecycle &amp; 3. Collecting Data</w:t>
      </w:r>
    </w:p>
    <w:p>
      <w:pPr>
        <w:pStyle w:val="FirstParagraph"/>
      </w:pPr>
      <w:r>
        <w:t xml:space="preserve">The lifecycle of fvrxjnwdqv is mapped across several stages, with data collected from the provided parameters and supplemented with industry-standard emission factors where specific data is not available.</w:t>
      </w:r>
    </w:p>
    <w:bookmarkStart w:id="28" w:name="X3338fd18249f9a3eb3c47c3cd6bc81e02c48275"/>
    <w:p>
      <w:pPr>
        <w:pStyle w:val="Heading3"/>
      </w:pPr>
      <w:r>
        <w:t xml:space="preserve">2.1 Raw Materials Acquisition &amp; Pre-processing (Scope 3, Category 1: Purchased goods and services)</w:t>
      </w:r>
    </w:p>
    <w:p>
      <w:pPr>
        <w:pStyle w:val="FirstParagraph"/>
      </w:pPr>
      <w:r>
        <w:t xml:space="preserve">The Detailed Bill of Materials (BOM) for</w:t>
      </w:r>
      <w:r>
        <w:t xml:space="preserve"> </w:t>
      </w:r>
      <w:r>
        <w:rPr>
          <w:bCs/>
          <w:b/>
        </w:rPr>
        <w:t xml:space="preserve">fvrxjnwdqv</w:t>
      </w:r>
      <w:r>
        <w:t xml:space="preserve">, identified as</w:t>
      </w:r>
      <w:r>
        <w:t xml:space="preserve"> </w:t>
      </w:r>
      <w:r>
        <w:rPr>
          <w:bCs/>
          <w:b/>
        </w:rPr>
        <w:t xml:space="preserve">pohqiszl</w:t>
      </w:r>
      <w:r>
        <w:t xml:space="preserve">, provides specific emission data for each component, leading to a high-accuracy material impact calculation.</w:t>
      </w:r>
    </w:p>
    <w:bookmarkStart w:id="27" w:name="detailed-bill-of-materials-bom-breakdown"/>
    <w:p>
      <w:pPr>
        <w:pStyle w:val="Heading4"/>
      </w:pPr>
      <w:r>
        <w:t xml:space="preserve">Detailed Bill of Materials (BOM) Breakdown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bl>
    <w:p>
      <w:pPr>
        <w:pStyle w:val="BodyText"/>
      </w:pPr>
      <w:r>
        <w:t xml:space="preserve">Based on the provided BOM, the following raw materials and their associated carbon footprints are considered:</w:t>
      </w:r>
    </w:p>
    <w:p>
      <w:pPr>
        <w:numPr>
          <w:ilvl w:val="0"/>
          <w:numId w:val="1001"/>
        </w:numPr>
        <w:pStyle w:val="Compact"/>
      </w:pPr>
      <w:r>
        <w:rPr>
          <w:bCs/>
          <w:b/>
        </w:rPr>
        <w:t xml:space="preserve">Material A: Plastic</w:t>
      </w:r>
      <w:r>
        <w:t xml:space="preserve">, processed via Injection Molding, contributing significantly to the material footprint.</w:t>
      </w:r>
    </w:p>
    <w:p>
      <w:pPr>
        <w:numPr>
          <w:ilvl w:val="0"/>
          <w:numId w:val="1001"/>
        </w:numPr>
        <w:pStyle w:val="Compact"/>
      </w:pPr>
      <w:r>
        <w:rPr>
          <w:bCs/>
          <w:b/>
        </w:rPr>
        <w:t xml:space="preserve">Material B: Metal</w:t>
      </w:r>
      <w:r>
        <w:t xml:space="preserve">, manufactured through Casting, also a key contributor.</w:t>
      </w:r>
    </w:p>
    <w:p>
      <w:pPr>
        <w:numPr>
          <w:ilvl w:val="0"/>
          <w:numId w:val="1001"/>
        </w:numPr>
        <w:pStyle w:val="Compact"/>
      </w:pPr>
      <w:r>
        <w:rPr>
          <w:bCs/>
          <w:b/>
        </w:rPr>
        <w:t xml:space="preserve">Material C: Silicon</w:t>
      </w:r>
      <w:r>
        <w:t xml:space="preserve">, produced via Etching, further adding to the upstream impact.</w:t>
      </w:r>
    </w:p>
    <w:p>
      <w:pPr>
        <w:numPr>
          <w:ilvl w:val="0"/>
          <w:numId w:val="1001"/>
        </w:numPr>
        <w:pStyle w:val="Compact"/>
      </w:pPr>
      <w:r>
        <w:rPr>
          <w:bCs/>
          <w:b/>
        </w:rPr>
        <w:t xml:space="preserve">Packaging Cardboard: Paper</w:t>
      </w:r>
      <w:r>
        <w:t xml:space="preserve">, used for packaging, with its own embodied emissions. The Land Sector and Removals (LSR) Standard is particularly relevant for the paper component, acknowledging potential biogenic carbon flows, though detailed data for specific land use change and removals associated with this particular cardboard is not provided in the parameters.</w:t>
      </w:r>
    </w:p>
    <w:bookmarkEnd w:id="27"/>
    <w:bookmarkEnd w:id="28"/>
    <w:bookmarkStart w:id="29" w:name="manufacturingproduction-scope-1-2"/>
    <w:p>
      <w:pPr>
        <w:pStyle w:val="Heading3"/>
      </w:pPr>
      <w:r>
        <w:t xml:space="preserve">2.2 Manufacturing/Production (Scope 1 &amp; 2)</w:t>
      </w:r>
    </w:p>
    <w:p>
      <w:pPr>
        <w:pStyle w:val="FirstParagraph"/>
      </w:pPr>
      <w:r>
        <w:t xml:space="preserve">Emissions from the manufacturing phase include direct emissions from company-owned or controlled sources (Scope 1) and indirect emissions from the generation of purchased electricity (Scope 2).</w:t>
      </w:r>
    </w:p>
    <w:p>
      <w:pPr>
        <w:numPr>
          <w:ilvl w:val="0"/>
          <w:numId w:val="1002"/>
        </w:numPr>
        <w:pStyle w:val="Compact"/>
      </w:pPr>
      <w:r>
        <w:rPr>
          <w:bCs/>
          <w:b/>
        </w:rPr>
        <w:t xml:space="preserve">Energy Intensity (kWh/unit):</w:t>
      </w:r>
      <w:r>
        <w:t xml:space="preserve"> </w:t>
      </w:r>
      <w:r>
        <w:t xml:space="preserve">The parameter</w:t>
      </w:r>
      <w:r>
        <w:t xml:space="preserve"> </w:t>
      </w:r>
      <w:r>
        <w:rPr>
          <w:bCs/>
          <w:b/>
        </w:rPr>
        <w:t xml:space="preserve">fugdqkwiuo</w:t>
      </w:r>
      <w:r>
        <w:t xml:space="preserve"> </w:t>
      </w:r>
      <w:r>
        <w:t xml:space="preserve">is provided. For calculation, an illustrative value of 10 kWh/unit is assumed due to the placeholder nature.</w:t>
      </w:r>
    </w:p>
    <w:p>
      <w:pPr>
        <w:numPr>
          <w:ilvl w:val="0"/>
          <w:numId w:val="1002"/>
        </w:numPr>
        <w:pStyle w:val="Compact"/>
      </w:pPr>
      <w:r>
        <w:rPr>
          <w:bCs/>
          <w:b/>
        </w:rPr>
        <w:t xml:space="preserve">Renewable Energy Usage:</w:t>
      </w:r>
      <w:r>
        <w:t xml:space="preserve"> </w:t>
      </w:r>
      <w:r>
        <w:t xml:space="preserve">The parameter</w:t>
      </w:r>
      <w:r>
        <w:t xml:space="preserve"> </w:t>
      </w:r>
      <w:r>
        <w:rPr>
          <w:bCs/>
          <w:b/>
        </w:rPr>
        <w:t xml:space="preserve">urxnlusvei</w:t>
      </w:r>
      <w:r>
        <w:t xml:space="preserve"> </w:t>
      </w:r>
      <w:r>
        <w:t xml:space="preserve">is provided. For calculation, an illustrative value of 50% renewable energy for production is assumed.</w:t>
      </w:r>
    </w:p>
    <w:p>
      <w:pPr>
        <w:numPr>
          <w:ilvl w:val="0"/>
          <w:numId w:val="1002"/>
        </w:numPr>
        <w:pStyle w:val="Compact"/>
      </w:pPr>
      <w:r>
        <w:rPr>
          <w:bCs/>
          <w:b/>
        </w:rPr>
        <w:t xml:space="preserve">Geographic Scope for Production:</w:t>
      </w:r>
      <w:r>
        <w:t xml:space="preserve"> </w:t>
      </w:r>
      <w:r>
        <w:t xml:space="preserve">China. The grid emission factor for electricity in China will be used, adjusted by the specified renewable energy usage.</w:t>
      </w:r>
    </w:p>
    <w:p>
      <w:pPr>
        <w:numPr>
          <w:ilvl w:val="0"/>
          <w:numId w:val="1002"/>
        </w:numPr>
        <w:pStyle w:val="Compact"/>
      </w:pPr>
      <w:r>
        <w:rPr>
          <w:bCs/>
          <w:b/>
        </w:rPr>
        <w:t xml:space="preserve">Scope 1 Emissions:</w:t>
      </w:r>
      <w:r>
        <w:t xml:space="preserve"> </w:t>
      </w:r>
      <w:r>
        <w:t xml:space="preserve">For the purpose of this PCF, it\'s assumed direct fuel combustion at the factory related specifically to the product manufacturing process is negligible or accounted for within process emissions factors if not otherwise specified.</w:t>
      </w:r>
    </w:p>
    <w:bookmarkEnd w:id="29"/>
    <w:bookmarkStart w:id="30" w:name="Xb57f48a4b363f770f936b9be60724ec3c1fcf60"/>
    <w:p>
      <w:pPr>
        <w:pStyle w:val="Heading3"/>
      </w:pPr>
      <w:r>
        <w:t xml:space="preserve">2.3 Transport &amp; Distribution (Scope 3, Category 4 &amp; 9: Upstream and Downstream Transportation and Distribution)</w:t>
      </w:r>
    </w:p>
    <w:p>
      <w:pPr>
        <w:pStyle w:val="FirstParagraph"/>
      </w:pPr>
      <w:r>
        <w:t xml:space="preserve">Transportation plays a crucial role in the overall footprint, covering both upstream logistics of materials to the factory and downstream distribution of the finished product to the customer.</w:t>
      </w:r>
    </w:p>
    <w:p>
      <w:pPr>
        <w:numPr>
          <w:ilvl w:val="0"/>
          <w:numId w:val="1003"/>
        </w:numPr>
        <w:pStyle w:val="Compact"/>
      </w:pPr>
      <w:r>
        <w:rPr>
          <w:bCs/>
          <w:b/>
        </w:rPr>
        <w:t xml:space="preserve">Transport Mode (main):</w:t>
      </w:r>
      <w:r>
        <w:t xml:space="preserve"> </w:t>
      </w:r>
      <w:r>
        <w:t xml:space="preserve">The parameter</w:t>
      </w:r>
      <w:r>
        <w:t xml:space="preserve"> </w:t>
      </w:r>
      <w:r>
        <w:rPr>
          <w:bCs/>
          <w:b/>
        </w:rPr>
        <w:t xml:space="preserve">Select Mode</w:t>
      </w:r>
      <w:r>
        <w:t xml:space="preserve"> </w:t>
      </w:r>
      <w:r>
        <w:t xml:space="preserve">is provided. For illustrative calculations, Ocean Freight is assumed for intercontinental shipping (China to Europe) and Road Freight (Heavy Goods Vehicle) for last-mile.</w:t>
      </w:r>
    </w:p>
    <w:p>
      <w:pPr>
        <w:numPr>
          <w:ilvl w:val="0"/>
          <w:numId w:val="1003"/>
        </w:numPr>
        <w:pStyle w:val="Compact"/>
      </w:pPr>
      <w:r>
        <w:rPr>
          <w:bCs/>
          <w:b/>
        </w:rPr>
        <w:t xml:space="preserve">Transport Distance (main):</w:t>
      </w:r>
      <w:r>
        <w:t xml:space="preserve"> </w:t>
      </w:r>
      <w:r>
        <w:t xml:space="preserve">The parameter</w:t>
      </w:r>
      <w:r>
        <w:t xml:space="preserve"> </w:t>
      </w:r>
      <w:r>
        <w:rPr>
          <w:bCs/>
          <w:b/>
        </w:rPr>
        <w:t xml:space="preserve">gqnymoxkhe</w:t>
      </w:r>
      <w:r>
        <w:t xml:space="preserve"> </w:t>
      </w:r>
      <w:r>
        <w:t xml:space="preserve">is provided. For illustrative calculations, an indicative distance of 20,000 km for Ocean Freight and 500 km for Road Freight is assumed.</w:t>
      </w:r>
    </w:p>
    <w:p>
      <w:pPr>
        <w:numPr>
          <w:ilvl w:val="0"/>
          <w:numId w:val="1003"/>
        </w:numPr>
        <w:pStyle w:val="Compact"/>
      </w:pPr>
      <w:r>
        <w:rPr>
          <w:bCs/>
          <w:b/>
        </w:rPr>
        <w:t xml:space="preserve">Last-Mile Delivery Channel:</w:t>
      </w:r>
      <w:r>
        <w:t xml:space="preserve"> </w:t>
      </w:r>
      <w:r>
        <w:t xml:space="preserve">The parameter</w:t>
      </w:r>
      <w:r>
        <w:t xml:space="preserve"> </w:t>
      </w:r>
      <w:r>
        <w:rPr>
          <w:bCs/>
          <w:b/>
        </w:rPr>
        <w:t xml:space="preserve">Delivery Type</w:t>
      </w:r>
      <w:r>
        <w:t xml:space="preserve"> </w:t>
      </w:r>
      <w:r>
        <w:t xml:space="preserve">is provided. For illustrative calculations, Road Freight (Light Commercial Vehicle) is assumed.</w:t>
      </w:r>
    </w:p>
    <w:bookmarkEnd w:id="30"/>
    <w:bookmarkStart w:id="31" w:name="Xc8d47610e025d3b1fe367d676386ecee874efa3"/>
    <w:p>
      <w:pPr>
        <w:pStyle w:val="Heading3"/>
      </w:pPr>
      <w:r>
        <w:t xml:space="preserve">2.4 Use Phase (Scope 3, Category 11: Use of sold products)</w:t>
      </w:r>
    </w:p>
    <w:p>
      <w:pPr>
        <w:pStyle w:val="FirstParagraph"/>
      </w:pPr>
      <w:r>
        <w:t xml:space="preserve">The emissions during the product\'s use phase are calculated based on its expected lifespan and energy consumption by the end-user.</w:t>
      </w:r>
    </w:p>
    <w:p>
      <w:pPr>
        <w:numPr>
          <w:ilvl w:val="0"/>
          <w:numId w:val="1004"/>
        </w:numPr>
        <w:pStyle w:val="Compact"/>
      </w:pPr>
      <w:r>
        <w:rPr>
          <w:bCs/>
          <w:b/>
        </w:rPr>
        <w:t xml:space="preserve">Product Lifespan:</w:t>
      </w:r>
      <w:r>
        <w:t xml:space="preserve"> </w:t>
      </w:r>
      <w:r>
        <w:t xml:space="preserve">The parameter</w:t>
      </w:r>
      <w:r>
        <w:t xml:space="preserve"> </w:t>
      </w:r>
      <w:r>
        <w:rPr>
          <w:bCs/>
          <w:b/>
        </w:rPr>
        <w:t xml:space="preserve">peyftxrthj</w:t>
      </w:r>
      <w:r>
        <w:t xml:space="preserve"> </w:t>
      </w:r>
      <w:r>
        <w:t xml:space="preserve">is provided. For illustrative calculations, a lifespan of 5 years is assumed.</w:t>
      </w:r>
    </w:p>
    <w:p>
      <w:pPr>
        <w:numPr>
          <w:ilvl w:val="0"/>
          <w:numId w:val="1004"/>
        </w:numPr>
        <w:pStyle w:val="Compact"/>
      </w:pPr>
      <w:r>
        <w:rPr>
          <w:bCs/>
          <w:b/>
        </w:rPr>
        <w:t xml:space="preserve">Energy Consumption in Use:</w:t>
      </w:r>
      <w:r>
        <w:t xml:space="preserve"> </w:t>
      </w:r>
      <w:r>
        <w:t xml:space="preserve">The parameter</w:t>
      </w:r>
      <w:r>
        <w:t xml:space="preserve"> </w:t>
      </w:r>
      <w:r>
        <w:rPr>
          <w:bCs/>
          <w:b/>
        </w:rPr>
        <w:t xml:space="preserve">evrvgqhvdj</w:t>
      </w:r>
      <w:r>
        <w:t xml:space="preserve"> </w:t>
      </w:r>
      <w:r>
        <w:t xml:space="preserve">is provided. For illustrative calculations, an energy consumption of 50 kWh/year is assumed.</w:t>
      </w:r>
    </w:p>
    <w:bookmarkEnd w:id="31"/>
    <w:bookmarkStart w:id="32" w:name="X22f9dae0edae5a4ebf0dcf5b8ca74de2c6ea5a4"/>
    <w:p>
      <w:pPr>
        <w:pStyle w:val="Heading3"/>
      </w:pPr>
      <w:r>
        <w:t xml:space="preserve">2.5 End-of-Life (EoL) Scenarios (Scope 3, Category 12: End-of-life treatment of sold products)</w:t>
      </w:r>
    </w:p>
    <w:p>
      <w:pPr>
        <w:pStyle w:val="FirstParagraph"/>
      </w:pPr>
      <w:r>
        <w:t xml:space="preserve">The end-of-life stage accounts for emissions or avoided emissions from disposal, recycling, and circular economy initiatives.</w:t>
      </w:r>
    </w:p>
    <w:p>
      <w:pPr>
        <w:numPr>
          <w:ilvl w:val="0"/>
          <w:numId w:val="1005"/>
        </w:numPr>
        <w:pStyle w:val="Compact"/>
      </w:pPr>
      <w:r>
        <w:rPr>
          <w:bCs/>
          <w:b/>
        </w:rPr>
        <w:t xml:space="preserve">Recyclability Percentage:</w:t>
      </w:r>
      <w:r>
        <w:t xml:space="preserve"> </w:t>
      </w:r>
      <w:r>
        <w:t xml:space="preserve">The parameter</w:t>
      </w:r>
      <w:r>
        <w:t xml:space="preserve"> </w:t>
      </w:r>
      <w:r>
        <w:rPr>
          <w:bCs/>
          <w:b/>
        </w:rPr>
        <w:t xml:space="preserve">otnytvozkf</w:t>
      </w:r>
      <w:r>
        <w:t xml:space="preserve"> </w:t>
      </w:r>
      <w:r>
        <w:t xml:space="preserve">is provided. For illustrative calculations, a recyclability percentage of 70% is assumed.</w:t>
      </w:r>
    </w:p>
    <w:p>
      <w:pPr>
        <w:numPr>
          <w:ilvl w:val="0"/>
          <w:numId w:val="1005"/>
        </w:numPr>
        <w:pStyle w:val="Compact"/>
      </w:pPr>
      <w:r>
        <w:rPr>
          <w:bCs/>
          <w:b/>
        </w:rPr>
        <w:t xml:space="preserve">Circular/Take-back Programs:</w:t>
      </w:r>
      <w:r>
        <w:t xml:space="preserve"> </w:t>
      </w:r>
      <w:r>
        <w:t xml:space="preserve">The parameter</w:t>
      </w:r>
      <w:r>
        <w:t xml:space="preserve"> </w:t>
      </w:r>
      <w:r>
        <w:rPr>
          <w:bCs/>
          <w:b/>
        </w:rPr>
        <w:t xml:space="preserve">zfzomtktrv</w:t>
      </w:r>
      <w:r>
        <w:t xml:space="preserve"> </w:t>
      </w:r>
      <w:r>
        <w:t xml:space="preserve">is provided. Acknowledging their presence, a moderate positive impact on reducing virgin material demand and landfill waste is assumed, factored into avoided emissions.</w:t>
      </w:r>
    </w:p>
    <w:p>
      <w:r>
        <w:pict>
          <v:rect style="width:0;height:1.5pt" o:hralign="center" o:hrstd="t" o:hr="t"/>
        </w:pict>
      </w:r>
    </w:p>
    <w:bookmarkEnd w:id="32"/>
    <w:bookmarkEnd w:id="33"/>
    <w:bookmarkStart w:id="45" w:name="X2c62247db19834934c44c209ad423fe06ba5c64"/>
    <w:p>
      <w:pPr>
        <w:pStyle w:val="Heading2"/>
      </w:pPr>
      <w:r>
        <w:t xml:space="preserve">4. Calculation of Emissions (Activity * Emission Factor = CO2e)</w:t>
      </w:r>
    </w:p>
    <w:p>
      <w:pPr>
        <w:pStyle w:val="FirstParagraph"/>
      </w:pPr>
      <w:r>
        <w:t xml:space="preserve">Emissions are calculated for each stage of the product\'s lifecycle, categorizing them according to the GHG Protocol. Industry-standard emission factors (e.g., from Ecoinvent/DEFRA equivalents) are used where specific values are not provided, ensuring consistency and comparability. All calculations are indicative due to the placeholder nature of some input parameters.</w:t>
      </w:r>
    </w:p>
    <w:bookmarkStart w:id="34" w:name="scope-1-2-and-3-categorization"/>
    <w:p>
      <w:pPr>
        <w:pStyle w:val="Heading3"/>
      </w:pPr>
      <w:r>
        <w:t xml:space="preserve">4.1 Scope 1, 2, and 3 Categorization</w:t>
      </w:r>
    </w:p>
    <w:p>
      <w:pPr>
        <w:numPr>
          <w:ilvl w:val="0"/>
          <w:numId w:val="1006"/>
        </w:numPr>
        <w:pStyle w:val="Compact"/>
      </w:pPr>
      <w:r>
        <w:rPr>
          <w:bCs/>
          <w:b/>
        </w:rPr>
        <w:t xml:space="preserve">Scope 1: Direct Emissions</w:t>
      </w:r>
      <w:r>
        <w:t xml:space="preserve"> </w:t>
      </w:r>
      <w:r>
        <w:t xml:space="preserve">- No significant direct operational emissions are assumed for the manufacturing of \'fvrxjnwdqv\' at the factory gate, beyond those potentially embedded in the process-specific material emission factors.</w:t>
      </w:r>
    </w:p>
    <w:p>
      <w:pPr>
        <w:numPr>
          <w:ilvl w:val="0"/>
          <w:numId w:val="1006"/>
        </w:numPr>
        <w:pStyle w:val="Compact"/>
      </w:pPr>
      <w:r>
        <w:rPr>
          <w:bCs/>
          <w:b/>
        </w:rPr>
        <w:t xml:space="preserve">Scope 2: Purchased Electricity Emissions</w:t>
      </w:r>
      <w:r>
        <w:t xml:space="preserve"> </w:t>
      </w:r>
      <w:r>
        <w:t xml:space="preserve">- Calculated based on energy intensity, renewable energy usage, and China\'s grid emission factor.</w:t>
      </w:r>
    </w:p>
    <w:p>
      <w:pPr>
        <w:numPr>
          <w:ilvl w:val="0"/>
          <w:numId w:val="1006"/>
        </w:numPr>
        <w:pStyle w:val="Compact"/>
      </w:pPr>
      <w:r>
        <w:rPr>
          <w:bCs/>
          <w:b/>
        </w:rPr>
        <w:t xml:space="preserve">Scope 3: Value Chain Emissions</w:t>
      </w:r>
      <w:r>
        <w:t xml:space="preserve"> </w:t>
      </w:r>
      <w:r>
        <w:t xml:space="preserve">- This forms the majority of the PCF, covering:</w:t>
      </w:r>
    </w:p>
    <w:p>
      <w:pPr>
        <w:numPr>
          <w:ilvl w:val="1"/>
          <w:numId w:val="1007"/>
        </w:numPr>
        <w:pStyle w:val="Compact"/>
      </w:pPr>
      <w:r>
        <w:rPr>
          <w:bCs/>
          <w:b/>
        </w:rPr>
        <w:t xml:space="preserve">Category 1: Purchased Goods and Services:</w:t>
      </w:r>
      <w:r>
        <w:t xml:space="preserve"> </w:t>
      </w:r>
      <w:r>
        <w:t xml:space="preserve">Raw materials and packaging (from BOM).</w:t>
      </w:r>
    </w:p>
    <w:p>
      <w:pPr>
        <w:numPr>
          <w:ilvl w:val="1"/>
          <w:numId w:val="1007"/>
        </w:numPr>
        <w:pStyle w:val="Compact"/>
      </w:pPr>
      <w:r>
        <w:rPr>
          <w:bCs/>
          <w:b/>
        </w:rPr>
        <w:t xml:space="preserve">Category 4: Upstream Transportation and Distribution:</w:t>
      </w:r>
      <w:r>
        <w:t xml:space="preserve"> </w:t>
      </w:r>
      <w:r>
        <w:t xml:space="preserve">Transport of raw materials to the manufacturing plant in China.</w:t>
      </w:r>
    </w:p>
    <w:p>
      <w:pPr>
        <w:numPr>
          <w:ilvl w:val="1"/>
          <w:numId w:val="1007"/>
        </w:numPr>
        <w:pStyle w:val="Compact"/>
      </w:pPr>
      <w:r>
        <w:rPr>
          <w:bCs/>
          <w:b/>
        </w:rPr>
        <w:t xml:space="preserve">Category 9: Downstream Transportation and Distribution:</w:t>
      </w:r>
      <w:r>
        <w:t xml:space="preserve"> </w:t>
      </w:r>
      <w:r>
        <w:t xml:space="preserve">Transport of finished product from China to Europe and last-mile delivery.</w:t>
      </w:r>
    </w:p>
    <w:p>
      <w:pPr>
        <w:numPr>
          <w:ilvl w:val="1"/>
          <w:numId w:val="1007"/>
        </w:numPr>
        <w:pStyle w:val="Compact"/>
      </w:pPr>
      <w:r>
        <w:rPr>
          <w:bCs/>
          <w:b/>
        </w:rPr>
        <w:t xml:space="preserve">Category 11: Use of Sold Products:</w:t>
      </w:r>
      <w:r>
        <w:t xml:space="preserve"> </w:t>
      </w:r>
      <w:r>
        <w:t xml:space="preserve">Energy consumption during the product\'s lifespan.</w:t>
      </w:r>
    </w:p>
    <w:p>
      <w:pPr>
        <w:numPr>
          <w:ilvl w:val="1"/>
          <w:numId w:val="1007"/>
        </w:numPr>
        <w:pStyle w:val="Compact"/>
      </w:pPr>
      <w:r>
        <w:rPr>
          <w:bCs/>
          <w:b/>
        </w:rPr>
        <w:t xml:space="preserve">Category 12: End-of-Life Treatment of Sold Products:</w:t>
      </w:r>
      <w:r>
        <w:t xml:space="preserve"> </w:t>
      </w:r>
      <w:r>
        <w:t xml:space="preserve">Emissions from waste disposal and potential avoided emissions from recycling.</w:t>
      </w:r>
    </w:p>
    <w:bookmarkEnd w:id="34"/>
    <w:bookmarkStart w:id="35" w:name="emission-factor-assumptions-illustrative"/>
    <w:p>
      <w:pPr>
        <w:pStyle w:val="Heading3"/>
      </w:pPr>
      <w:r>
        <w:t xml:space="preserve">4.2 Emission Factor Assumptions (Illustrative)</w:t>
      </w:r>
    </w:p>
    <w:p>
      <w:pPr>
        <w:numPr>
          <w:ilvl w:val="0"/>
          <w:numId w:val="1008"/>
        </w:numPr>
        <w:pStyle w:val="Compact"/>
      </w:pPr>
      <w:r>
        <w:rPr>
          <w:bCs/>
          <w:b/>
        </w:rPr>
        <w:t xml:space="preserve">China Grid Emission Factor (Electricity):</w:t>
      </w:r>
      <w:r>
        <w:t xml:space="preserve"> </w:t>
      </w:r>
      <w:r>
        <w:t xml:space="preserve">0.65 kg CO2e/kWh (indicative, varies by region/year).</w:t>
      </w:r>
    </w:p>
    <w:p>
      <w:pPr>
        <w:numPr>
          <w:ilvl w:val="0"/>
          <w:numId w:val="1008"/>
        </w:numPr>
        <w:pStyle w:val="Compact"/>
      </w:pPr>
      <w:r>
        <w:rPr>
          <w:bCs/>
          <w:b/>
        </w:rPr>
        <w:t xml:space="preserve">Ocean Freight (Container Ship):</w:t>
      </w:r>
      <w:r>
        <w:t xml:space="preserve"> </w:t>
      </w:r>
      <w:r>
        <w:t xml:space="preserve">0.01 kg CO2e/tonne-km (indicative).</w:t>
      </w:r>
    </w:p>
    <w:p>
      <w:pPr>
        <w:numPr>
          <w:ilvl w:val="0"/>
          <w:numId w:val="1008"/>
        </w:numPr>
        <w:pStyle w:val="Compact"/>
      </w:pPr>
      <w:r>
        <w:rPr>
          <w:bCs/>
          <w:b/>
        </w:rPr>
        <w:t xml:space="preserve">Road Freight (Heavy Goods Vehicle):</w:t>
      </w:r>
      <w:r>
        <w:t xml:space="preserve"> </w:t>
      </w:r>
      <w:r>
        <w:t xml:space="preserve">0.09 kg CO2e/tonne-km (indicative).</w:t>
      </w:r>
    </w:p>
    <w:p>
      <w:pPr>
        <w:numPr>
          <w:ilvl w:val="0"/>
          <w:numId w:val="1008"/>
        </w:numPr>
        <w:pStyle w:val="Compact"/>
      </w:pPr>
      <w:r>
        <w:rPr>
          <w:bCs/>
          <w:b/>
        </w:rPr>
        <w:t xml:space="preserve">Road Freight (Light Commercial Vehicle, Last-Mile):</w:t>
      </w:r>
      <w:r>
        <w:t xml:space="preserve"> </w:t>
      </w:r>
      <w:r>
        <w:t xml:space="preserve">0.15 kg CO2e/tonne-km (indicative).</w:t>
      </w:r>
    </w:p>
    <w:p>
      <w:pPr>
        <w:numPr>
          <w:ilvl w:val="0"/>
          <w:numId w:val="1008"/>
        </w:numPr>
        <w:pStyle w:val="Compact"/>
      </w:pPr>
      <w:r>
        <w:rPr>
          <w:bCs/>
          <w:b/>
        </w:rPr>
        <w:t xml:space="preserve">Landfill Emission Factor (Mixed Waste):</w:t>
      </w:r>
      <w:r>
        <w:t xml:space="preserve"> </w:t>
      </w:r>
      <w:r>
        <w:t xml:space="preserve">0.5 kg CO2e/kg (indicative, accounts for methane emissions).</w:t>
      </w:r>
    </w:p>
    <w:p>
      <w:pPr>
        <w:numPr>
          <w:ilvl w:val="0"/>
          <w:numId w:val="1008"/>
        </w:numPr>
        <w:pStyle w:val="Compact"/>
      </w:pPr>
      <w:r>
        <w:rPr>
          <w:bCs/>
          <w:b/>
        </w:rPr>
        <w:t xml:space="preserve">Recycling Credit Factor:</w:t>
      </w:r>
      <w:r>
        <w:t xml:space="preserve"> </w:t>
      </w:r>
      <w:r>
        <w:t xml:space="preserve">-0.8 kg CO2e/kg for plastics, -1.5 kg CO2e/kg for metals (indicative, represents avoided virgin material production). A blended average of -1.0 kg CO2e/kg is used illustratively.</w:t>
      </w:r>
    </w:p>
    <w:bookmarkEnd w:id="35"/>
    <w:bookmarkStart w:id="41" w:name="calculations"/>
    <w:p>
      <w:pPr>
        <w:pStyle w:val="Heading3"/>
      </w:pPr>
      <w:r>
        <w:t xml:space="preserve">4.3 Calculations</w:t>
      </w:r>
    </w:p>
    <w:p>
      <w:pPr>
        <w:pStyle w:val="FirstParagraph"/>
      </w:pPr>
      <w:r>
        <w:t xml:space="preserve">**Note on Placeholders:** The following calculations use illustrative numerical values for placeholder parameters (e.g., `Select Mode`, `gqnymoxkhe`, `urxnlusvei`, `fugdqkwiuo`, `peyftxrthj`, `evrvgqhvdj`, `otnytvozkf`, `zfzomtktrv`) to demonstrate the methodology. For a precise calculation, actual data for these parameters would be required.</w:t>
      </w:r>
    </w:p>
    <w:bookmarkStart w:id="36" w:name="material-impact-scope-3-category-1"/>
    <w:p>
      <w:pPr>
        <w:pStyle w:val="Heading4"/>
      </w:pPr>
      <w:r>
        <w:t xml:space="preserve">Material Impact (Scope 3, Category 1)</w:t>
      </w:r>
    </w:p>
    <w:p>
      <w:pPr>
        <w:pStyle w:val="FirstParagraph"/>
      </w:pPr>
      <w:r>
        <w:t xml:space="preserve">Total carbon from the BOM is directly summed as provided.</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 CO2e)</w:t>
            </w:r>
          </w:p>
        </w:tc>
      </w:tr>
      <w:tr>
        <w:tc>
          <w:tcPr/>
          <w:p>
            <w:pPr>
              <w:pStyle w:val="Compact"/>
              <w:jc w:val="left"/>
            </w:pPr>
            <w:r>
              <w:rPr>
                <w:bCs/>
                <w:b/>
              </w:rPr>
              <w:t xml:space="preserve">Subtotal Material Impact</w:t>
            </w:r>
          </w:p>
        </w:tc>
        <w:tc>
          <w:tcPr/>
          <w:p>
            <w:pPr>
              <w:pStyle w:val="Compact"/>
              <w:jc w:val="left"/>
            </w:pPr>
          </w:p>
        </w:tc>
      </w:tr>
    </w:tbl>
    <w:bookmarkEnd w:id="36"/>
    <w:bookmarkStart w:id="37" w:name="production-energy-scope-2"/>
    <w:p>
      <w:pPr>
        <w:pStyle w:val="Heading4"/>
      </w:pPr>
      <w:r>
        <w:t xml:space="preserve">Production Energy (Scope 2)</w:t>
      </w:r>
    </w:p>
    <w:p>
      <w:pPr>
        <w:numPr>
          <w:ilvl w:val="0"/>
          <w:numId w:val="1009"/>
        </w:numPr>
        <w:pStyle w:val="Compact"/>
      </w:pPr>
      <w:r>
        <w:t xml:space="preserve">Assumed Energy Intensity: 10 kWh/unit (from \'fugdqkwiuo\').</w:t>
      </w:r>
    </w:p>
    <w:p>
      <w:pPr>
        <w:numPr>
          <w:ilvl w:val="0"/>
          <w:numId w:val="1009"/>
        </w:numPr>
        <w:pStyle w:val="Compact"/>
      </w:pPr>
      <w:r>
        <w:t xml:space="preserve">Assumed Renewable Energy Usage: 50% (from \'urxnlusvei\').</w:t>
      </w:r>
    </w:p>
    <w:p>
      <w:pPr>
        <w:numPr>
          <w:ilvl w:val="0"/>
          <w:numId w:val="1009"/>
        </w:numPr>
        <w:pStyle w:val="Compact"/>
      </w:pPr>
      <w:r>
        <w:t xml:space="preserve">Conventional Grid Electricity: 10 kWh/unit * 50% = 5 kWh/unit.</w:t>
      </w:r>
    </w:p>
    <w:p>
      <w:pPr>
        <w:numPr>
          <w:ilvl w:val="0"/>
          <w:numId w:val="1009"/>
        </w:numPr>
        <w:pStyle w:val="Compact"/>
      </w:pPr>
      <w:r>
        <w:t xml:space="preserve">Renewable Electricity (zero emissions assumed at point of use): 10 kWh/unit * 50% = 5 kWh/unit.</w:t>
      </w:r>
    </w:p>
    <w:p>
      <w:pPr>
        <w:numPr>
          <w:ilvl w:val="0"/>
          <w:numId w:val="1009"/>
        </w:numPr>
        <w:pStyle w:val="Compact"/>
      </w:pPr>
      <w:r>
        <w:t xml:space="preserve">Scope 2 Emissions = 5 kWh/unit * 0.65 kg CO2e/kWh (China grid factor) =</w:t>
      </w:r>
      <w:r>
        <w:t xml:space="preserve"> </w:t>
      </w:r>
      <w:r>
        <w:rPr>
          <w:bCs/>
          <w:b/>
        </w:rPr>
        <w:t xml:space="preserve">3.25 kg CO2e/unit</w:t>
      </w:r>
      <w:r>
        <w:t xml:space="preserve">.</w:t>
      </w:r>
    </w:p>
    <w:bookmarkEnd w:id="37"/>
    <w:bookmarkStart w:id="38" w:name="transportation-scope-3-category-4-9"/>
    <w:p>
      <w:pPr>
        <w:pStyle w:val="Heading4"/>
      </w:pPr>
      <w:r>
        <w:t xml:space="preserve">Transportation (Scope 3, Category 4 &amp; 9)</w:t>
      </w:r>
    </w:p>
    <w:p>
      <w:pPr>
        <w:pStyle w:val="FirstParagraph"/>
      </w:pPr>
      <w:r>
        <w:t xml:space="preserve">Assumed Product Weight: 1 kg (for transport calculations, based on BOM quantities and typical product size).</w:t>
      </w:r>
    </w:p>
    <w:p>
      <w:pPr>
        <w:numPr>
          <w:ilvl w:val="0"/>
          <w:numId w:val="1010"/>
        </w:numPr>
        <w:pStyle w:val="Compact"/>
      </w:pPr>
      <w:r>
        <w:rPr>
          <w:bCs/>
          <w:b/>
        </w:rPr>
        <w:t xml:space="preserve">Upstream Transport (Raw Materials to China Factory):</w:t>
      </w:r>
    </w:p>
    <w:p>
      <w:pPr>
        <w:numPr>
          <w:ilvl w:val="1"/>
          <w:numId w:val="1011"/>
        </w:numPr>
        <w:pStyle w:val="Compact"/>
      </w:pPr>
      <w:r>
        <w:t xml:space="preserve">Assume materials from diverse sources, average 1,000 km by road (HGV) to port, then 5,000 km by ocean to China (illustrative).</w:t>
      </w:r>
    </w:p>
    <w:p>
      <w:pPr>
        <w:numPr>
          <w:ilvl w:val="1"/>
          <w:numId w:val="1011"/>
        </w:numPr>
        <w:pStyle w:val="Compact"/>
      </w:pPr>
      <w:r>
        <w:t xml:space="preserve">Road: 1 kg * 1,000 km * 0.09 kg CO2e/tonne-km = 0.09 kg CO2e</w:t>
      </w:r>
    </w:p>
    <w:p>
      <w:pPr>
        <w:numPr>
          <w:ilvl w:val="1"/>
          <w:numId w:val="1011"/>
        </w:numPr>
        <w:pStyle w:val="Compact"/>
      </w:pPr>
      <w:r>
        <w:t xml:space="preserve">Ocean: 1 kg * 5,000 km * 0.01 kg CO2e/tonne-km = 0.05 kg CO2e</w:t>
      </w:r>
    </w:p>
    <w:p>
      <w:pPr>
        <w:numPr>
          <w:ilvl w:val="1"/>
          <w:numId w:val="1011"/>
        </w:numPr>
        <w:pStyle w:val="Compact"/>
      </w:pPr>
      <w:r>
        <w:t xml:space="preserve">Subtotal Upstream Transport:</w:t>
      </w:r>
      <w:r>
        <w:t xml:space="preserve"> </w:t>
      </w:r>
      <w:r>
        <w:rPr>
          <w:bCs/>
          <w:b/>
        </w:rPr>
        <w:t xml:space="preserve">0.14 kg CO2e/unit</w:t>
      </w:r>
    </w:p>
    <w:p>
      <w:pPr>
        <w:numPr>
          <w:ilvl w:val="0"/>
          <w:numId w:val="1010"/>
        </w:numPr>
        <w:pStyle w:val="Compact"/>
      </w:pPr>
      <w:r>
        <w:rPr>
          <w:bCs/>
          <w:b/>
        </w:rPr>
        <w:t xml:space="preserve">Downstream Transport (China Factory to Europe, then Last-Mile):</w:t>
      </w:r>
    </w:p>
    <w:p>
      <w:pPr>
        <w:numPr>
          <w:ilvl w:val="1"/>
          <w:numId w:val="1012"/>
        </w:numPr>
        <w:pStyle w:val="Compact"/>
      </w:pPr>
      <w:r>
        <w:t xml:space="preserve">Main Transport: Assume 20,000 km Ocean Freight (from \'gqnymoxkhe\' and \'Select Mode\').</w:t>
      </w:r>
    </w:p>
    <w:p>
      <w:pPr>
        <w:numPr>
          <w:ilvl w:val="1"/>
          <w:numId w:val="1012"/>
        </w:numPr>
        <w:pStyle w:val="Compact"/>
      </w:pPr>
      <w:r>
        <w:t xml:space="preserve">Ocean: 1 kg * 20,000 km * 0.01 kg CO2e/tonne-km = 0.20 kg CO2e</w:t>
      </w:r>
    </w:p>
    <w:p>
      <w:pPr>
        <w:numPr>
          <w:ilvl w:val="1"/>
          <w:numId w:val="1012"/>
        </w:numPr>
        <w:pStyle w:val="Compact"/>
      </w:pPr>
      <w:r>
        <w:t xml:space="preserve">Last-Mile Delivery: Assume 500 km Road Freight (LCV) in Europe (from \'gqnymoxkhe\' and \'Delivery Type\').</w:t>
      </w:r>
    </w:p>
    <w:p>
      <w:pPr>
        <w:numPr>
          <w:ilvl w:val="1"/>
          <w:numId w:val="1012"/>
        </w:numPr>
        <w:pStyle w:val="Compact"/>
      </w:pPr>
      <w:r>
        <w:t xml:space="preserve">Road: 1 kg * 500 km * 0.15 kg CO2e/tonne-km = 0.075 kg CO2e</w:t>
      </w:r>
    </w:p>
    <w:p>
      <w:pPr>
        <w:numPr>
          <w:ilvl w:val="1"/>
          <w:numId w:val="1012"/>
        </w:numPr>
        <w:pStyle w:val="Compact"/>
      </w:pPr>
      <w:r>
        <w:t xml:space="preserve">Subtotal Downstream Transport:</w:t>
      </w:r>
      <w:r>
        <w:t xml:space="preserve"> </w:t>
      </w:r>
      <w:r>
        <w:rPr>
          <w:bCs/>
          <w:b/>
        </w:rPr>
        <w:t xml:space="preserve">0.275 kg CO2e/unit</w:t>
      </w:r>
    </w:p>
    <w:p>
      <w:pPr>
        <w:numPr>
          <w:ilvl w:val="0"/>
          <w:numId w:val="1010"/>
        </w:numPr>
        <w:pStyle w:val="Compact"/>
      </w:pPr>
      <w:r>
        <w:rPr>
          <w:bCs/>
          <w:b/>
        </w:rPr>
        <w:t xml:space="preserve">Total Transport Emissions:</w:t>
      </w:r>
      <w:r>
        <w:t xml:space="preserve"> </w:t>
      </w:r>
      <w:r>
        <w:t xml:space="preserve">0.14 + 0.275 =</w:t>
      </w:r>
      <w:r>
        <w:t xml:space="preserve"> </w:t>
      </w:r>
      <w:r>
        <w:rPr>
          <w:bCs/>
          <w:b/>
        </w:rPr>
        <w:t xml:space="preserve">0.415 kg CO2e/unit</w:t>
      </w:r>
      <w:r>
        <w:t xml:space="preserve">.</w:t>
      </w:r>
    </w:p>
    <w:bookmarkEnd w:id="38"/>
    <w:bookmarkStart w:id="39" w:name="use-phase-scope-3-category-11"/>
    <w:p>
      <w:pPr>
        <w:pStyle w:val="Heading4"/>
      </w:pPr>
      <w:r>
        <w:t xml:space="preserve">Use Phase (Scope 3, Category 11)</w:t>
      </w:r>
    </w:p>
    <w:p>
      <w:pPr>
        <w:numPr>
          <w:ilvl w:val="0"/>
          <w:numId w:val="1013"/>
        </w:numPr>
        <w:pStyle w:val="Compact"/>
      </w:pPr>
      <w:r>
        <w:t xml:space="preserve">Assumed Product Lifespan: 5 years (from \'peyftxrthj\').</w:t>
      </w:r>
    </w:p>
    <w:p>
      <w:pPr>
        <w:numPr>
          <w:ilvl w:val="0"/>
          <w:numId w:val="1013"/>
        </w:numPr>
        <w:pStyle w:val="Compact"/>
      </w:pPr>
      <w:r>
        <w:t xml:space="preserve">Assumed Energy Consumption in Use: 50 kWh/year (from \'evrvgqhvdj\').</w:t>
      </w:r>
    </w:p>
    <w:p>
      <w:pPr>
        <w:numPr>
          <w:ilvl w:val="0"/>
          <w:numId w:val="1013"/>
        </w:numPr>
        <w:pStyle w:val="Compact"/>
      </w:pPr>
      <w:r>
        <w:t xml:space="preserve">Total Energy in Use: 50 kWh/year * 5 years = 250 kWh.</w:t>
      </w:r>
    </w:p>
    <w:p>
      <w:pPr>
        <w:numPr>
          <w:ilvl w:val="0"/>
          <w:numId w:val="1013"/>
        </w:numPr>
        <w:pStyle w:val="Compact"/>
      </w:pPr>
      <w:r>
        <w:t xml:space="preserve">Use Phase Emissions (assuming average European grid mix for use): 250 kWh * 0.25 kg CO2e/kWh (indicative EU grid) =</w:t>
      </w:r>
      <w:r>
        <w:t xml:space="preserve"> </w:t>
      </w:r>
      <w:r>
        <w:rPr>
          <w:bCs/>
          <w:b/>
        </w:rPr>
        <w:t xml:space="preserve">62.5 kg CO2e/unit</w:t>
      </w:r>
      <w:r>
        <w:t xml:space="preserve">.</w:t>
      </w:r>
    </w:p>
    <w:bookmarkEnd w:id="39"/>
    <w:bookmarkStart w:id="40" w:name="end-of-life-eol-scope-3-category-12"/>
    <w:p>
      <w:pPr>
        <w:pStyle w:val="Heading4"/>
      </w:pPr>
      <w:r>
        <w:t xml:space="preserve">End-of-Life (EoL) (Scope 3, Category 12)</w:t>
      </w:r>
    </w:p>
    <w:p>
      <w:pPr>
        <w:pStyle w:val="FirstParagraph"/>
      </w:pPr>
      <w:r>
        <w:t xml:space="preserve">Assumed Product Weight at EoL: 1 kg (same as above).</w:t>
      </w:r>
    </w:p>
    <w:p>
      <w:pPr>
        <w:numPr>
          <w:ilvl w:val="0"/>
          <w:numId w:val="1014"/>
        </w:numPr>
        <w:pStyle w:val="Compact"/>
      </w:pPr>
      <w:r>
        <w:t xml:space="preserve">Assumed Recyclability Percentage: 70% (from \'otnytvozkf\').</w:t>
      </w:r>
    </w:p>
    <w:p>
      <w:pPr>
        <w:numPr>
          <w:ilvl w:val="0"/>
          <w:numId w:val="1014"/>
        </w:numPr>
        <w:pStyle w:val="Compact"/>
      </w:pPr>
      <w:r>
        <w:t xml:space="preserve">Waste to Landfill: 1 kg * (1 - 0.70) = 0.3 kg.</w:t>
      </w:r>
    </w:p>
    <w:p>
      <w:pPr>
        <w:numPr>
          <w:ilvl w:val="0"/>
          <w:numId w:val="1014"/>
        </w:numPr>
        <w:pStyle w:val="Compact"/>
      </w:pPr>
      <w:r>
        <w:t xml:space="preserve">Emissions from Landfill: 0.3 kg * 0.5 kg CO2e/kg = 0.15 kg CO2e.</w:t>
      </w:r>
    </w:p>
    <w:p>
      <w:pPr>
        <w:numPr>
          <w:ilvl w:val="0"/>
          <w:numId w:val="1014"/>
        </w:numPr>
        <w:pStyle w:val="Compact"/>
      </w:pPr>
      <w:r>
        <w:t xml:space="preserve">Recycled Material: 1 kg * 0.70 = 0.7 kg.</w:t>
      </w:r>
    </w:p>
    <w:p>
      <w:pPr>
        <w:numPr>
          <w:ilvl w:val="0"/>
          <w:numId w:val="1014"/>
        </w:numPr>
        <w:pStyle w:val="Compact"/>
      </w:pPr>
      <w:r>
        <w:t xml:space="preserve">Avoided Emissions from Recycling (assuming blended average of plastics/metals recycling credit): 0.7 kg * -1.0 kg CO2e/kg (illustrative average credit) = -0.7 kg CO2e.</w:t>
      </w:r>
    </w:p>
    <w:p>
      <w:pPr>
        <w:numPr>
          <w:ilvl w:val="0"/>
          <w:numId w:val="1014"/>
        </w:numPr>
        <w:pStyle w:val="Compact"/>
      </w:pPr>
      <w:r>
        <w:t xml:space="preserve">Circular/Take-back Programs:</w:t>
      </w:r>
      <w:r>
        <w:t xml:space="preserve"> </w:t>
      </w:r>
      <w:r>
        <w:rPr>
          <w:bCs/>
          <w:b/>
        </w:rPr>
        <w:t xml:space="preserve">zfzomtktrv</w:t>
      </w:r>
      <w:r>
        <w:t xml:space="preserve"> </w:t>
      </w:r>
      <w:r>
        <w:t xml:space="preserve">(placeholder). For simplicity here, the high recyclability percentage largely reflects the impact of such programs, with an additional illustrative avoided emissions of -0.05 kg CO2e for enhanced circularity.</w:t>
      </w:r>
    </w:p>
    <w:p>
      <w:pPr>
        <w:numPr>
          <w:ilvl w:val="0"/>
          <w:numId w:val="1014"/>
        </w:numPr>
        <w:pStyle w:val="Compact"/>
      </w:pPr>
      <w:r>
        <w:t xml:space="preserve">Total EoL Emissions: 0.15 kg CO2e - 0.7 kg CO2e - 0.05 kg CO2e =</w:t>
      </w:r>
      <w:r>
        <w:t xml:space="preserve"> </w:t>
      </w:r>
      <w:r>
        <w:rPr>
          <w:bCs/>
          <w:b/>
        </w:rPr>
        <w:t xml:space="preserve">-0.6 kg CO2e/unit</w:t>
      </w:r>
      <w:r>
        <w:t xml:space="preserve">. (Negative value indicates a net carbon sink or avoided emissions).</w:t>
      </w:r>
    </w:p>
    <w:bookmarkEnd w:id="40"/>
    <w:bookmarkEnd w:id="41"/>
    <w:bookmarkStart w:id="42" w:name="total-product-carbon-footprint"/>
    <w:p>
      <w:pPr>
        <w:pStyle w:val="Heading3"/>
      </w:pPr>
      <w:r>
        <w:t xml:space="preserve">4.4 Total Product Carbon Footprint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Lifecycle Stage (GHG Scope)</w:t>
            </w:r>
          </w:p>
        </w:tc>
        <w:tc>
          <w:tcPr/>
          <w:p>
            <w:pPr>
              <w:pStyle w:val="Compact"/>
              <w:jc w:val="left"/>
            </w:pPr>
            <w:r>
              <w:t xml:space="preserve">Estimated CO2e (kg/unit)</w:t>
            </w:r>
          </w:p>
        </w:tc>
      </w:tr>
      <w:tr>
        <w:tc>
          <w:tcPr/>
          <w:p>
            <w:pPr>
              <w:pStyle w:val="Compact"/>
              <w:jc w:val="left"/>
            </w:pPr>
            <w:r>
              <w:t xml:space="preserve">Raw Materials &amp; Pre-processing (Scope 3, Cat 1)</w:t>
            </w:r>
          </w:p>
        </w:tc>
        <w:tc>
          <w:tcPr/>
          <w:p>
            <w:pPr>
              <w:pStyle w:val="Compact"/>
            </w:pPr>
          </w:p>
        </w:tc>
      </w:tr>
      <w:tr>
        <w:tc>
          <w:tcPr/>
          <w:p>
            <w:pPr>
              <w:pStyle w:val="Compact"/>
              <w:jc w:val="left"/>
            </w:pPr>
            <w:r>
              <w:t xml:space="preserve">Manufacturing Energy (Scope 2)</w:t>
            </w:r>
          </w:p>
        </w:tc>
        <w:tc>
          <w:tcPr/>
          <w:p>
            <w:pPr>
              <w:pStyle w:val="Compact"/>
              <w:jc w:val="left"/>
            </w:pPr>
            <w:r>
              <w:t xml:space="preserve">3.25</w:t>
            </w:r>
          </w:p>
        </w:tc>
      </w:tr>
      <w:tr>
        <w:tc>
          <w:tcPr/>
          <w:p>
            <w:pPr>
              <w:pStyle w:val="Compact"/>
              <w:jc w:val="left"/>
            </w:pPr>
            <w:r>
              <w:t xml:space="preserve">Transportation (Scope 3, Cat 4 &amp; 9)</w:t>
            </w:r>
          </w:p>
        </w:tc>
        <w:tc>
          <w:tcPr/>
          <w:p>
            <w:pPr>
              <w:pStyle w:val="Compact"/>
              <w:jc w:val="left"/>
            </w:pPr>
            <w:r>
              <w:t xml:space="preserve">0.415</w:t>
            </w:r>
          </w:p>
        </w:tc>
      </w:tr>
      <w:tr>
        <w:tc>
          <w:tcPr/>
          <w:p>
            <w:pPr>
              <w:pStyle w:val="Compact"/>
              <w:jc w:val="left"/>
            </w:pPr>
            <w:r>
              <w:t xml:space="preserve">Use Phase (Scope 3, Cat 11)</w:t>
            </w:r>
          </w:p>
        </w:tc>
        <w:tc>
          <w:tcPr/>
          <w:p>
            <w:pPr>
              <w:pStyle w:val="Compact"/>
              <w:jc w:val="left"/>
            </w:pPr>
            <w:r>
              <w:t xml:space="preserve">62.5</w:t>
            </w:r>
          </w:p>
        </w:tc>
      </w:tr>
      <w:tr>
        <w:tc>
          <w:tcPr/>
          <w:p>
            <w:pPr>
              <w:pStyle w:val="Compact"/>
              <w:jc w:val="left"/>
            </w:pPr>
            <w:r>
              <w:t xml:space="preserve">End-of-Life (Scope 3, Cat 12)</w:t>
            </w:r>
          </w:p>
        </w:tc>
        <w:tc>
          <w:tcPr/>
          <w:p>
            <w:pPr>
              <w:pStyle w:val="Compact"/>
              <w:jc w:val="left"/>
            </w:pPr>
            <w:r>
              <w:t xml:space="preserve">-0.6</w:t>
            </w:r>
          </w:p>
        </w:tc>
      </w:tr>
      <w:tr>
        <w:tc>
          <w:tcPr/>
          <w:p>
            <w:pPr>
              <w:pStyle w:val="Compact"/>
              <w:jc w:val="left"/>
            </w:pPr>
            <w:r>
              <w:rPr>
                <w:bCs/>
                <w:b/>
              </w:rPr>
              <w:t xml:space="preserve">Total Product Carbon Footprint</w:t>
            </w:r>
          </w:p>
        </w:tc>
        <w:tc>
          <w:tcPr/>
          <w:p>
            <w:pPr>
              <w:pStyle w:val="Compact"/>
              <w:jc w:val="left"/>
            </w:pPr>
          </w:p>
        </w:tc>
      </w:tr>
    </w:tbl>
    <w:bookmarkEnd w:id="42"/>
    <w:bookmarkStart w:id="43" w:name="X4445851c14d44f9a23021f1d53388bca2c4dd3d"/>
    <w:p>
      <w:pPr>
        <w:pStyle w:val="Heading3"/>
      </w:pPr>
      <w:r>
        <w:t xml:space="preserve">4.5 Land Sector and Removals (LSR) Standard (2026 Update)</w:t>
      </w:r>
    </w:p>
    <w:p>
      <w:pPr>
        <w:pStyle w:val="FirstParagraph"/>
      </w:pPr>
      <w:r>
        <w:t xml:space="preserve">The 2026 LSR Standard is designed to enhance the accounting of emissions and removals from land use. For this product, the primary relevance of the LSR Standard would be for the "Packaging Cardboard" component in the BOM. While specific land use data for the cardboard\'s origin is not provided, the LSR standard would typically require:</w:t>
      </w:r>
    </w:p>
    <w:p>
      <w:pPr>
        <w:numPr>
          <w:ilvl w:val="0"/>
          <w:numId w:val="1015"/>
        </w:numPr>
        <w:pStyle w:val="Compact"/>
      </w:pPr>
      <w:r>
        <w:rPr>
          <w:bCs/>
          <w:b/>
        </w:rPr>
        <w:t xml:space="preserve">Biogenic Carbon:</w:t>
      </w:r>
      <w:r>
        <w:t xml:space="preserve"> </w:t>
      </w:r>
      <w:r>
        <w:t xml:space="preserve">Accounting for the carbon stored in the biomass of the paper product and its release at EoL or sequestration during growth.</w:t>
      </w:r>
    </w:p>
    <w:p>
      <w:pPr>
        <w:numPr>
          <w:ilvl w:val="0"/>
          <w:numId w:val="1015"/>
        </w:numPr>
        <w:pStyle w:val="Compact"/>
      </w:pPr>
      <w:r>
        <w:rPr>
          <w:bCs/>
          <w:b/>
        </w:rPr>
        <w:t xml:space="preserve">Land Use Change:</w:t>
      </w:r>
      <w:r>
        <w:t xml:space="preserve"> </w:t>
      </w:r>
      <w:r>
        <w:t xml:space="preserve">Assessing emissions or removals associated with land use changes linked to the raw material sourcing (e.g., deforestation for pulp production).</w:t>
      </w:r>
    </w:p>
    <w:p>
      <w:pPr>
        <w:numPr>
          <w:ilvl w:val="0"/>
          <w:numId w:val="1015"/>
        </w:numPr>
        <w:pStyle w:val="Compact"/>
      </w:pPr>
      <w:r>
        <w:rPr>
          <w:bCs/>
          <w:b/>
        </w:rPr>
        <w:t xml:space="preserve">Removals:</w:t>
      </w:r>
      <w:r>
        <w:t xml:space="preserve"> </w:t>
      </w:r>
      <w:r>
        <w:t xml:space="preserve">Quantifying any carbon removals through sustainable forest management or bioenergy with carbon capture and storage (BECCS) if applicable to the supply chain.</w:t>
      </w:r>
    </w:p>
    <w:p>
      <w:pPr>
        <w:pStyle w:val="FirstParagraph"/>
      </w:pPr>
      <w:r>
        <w:t xml:space="preserve">Given the general nature of the "Packaging Cardboard" entry, this report acknowledges the applicability of the LSR Standard and recommends detailed supply chain tracing for forest-based products to fully implement its requirements. For the current analysis, the \'Total Carbon\' for Packaging Cardboard is assumed to encompass its net impact.</w:t>
      </w:r>
    </w:p>
    <w:bookmarkEnd w:id="43"/>
    <w:bookmarkStart w:id="44" w:name="scope-3-compliance-95-coverage"/>
    <w:p>
      <w:pPr>
        <w:pStyle w:val="Heading3"/>
      </w:pPr>
      <w:r>
        <w:t xml:space="preserve">4.6 Scope 3 Compliance (95% Coverage)</w:t>
      </w:r>
    </w:p>
    <w:p>
      <w:pPr>
        <w:pStyle w:val="FirstParagraph"/>
      </w:pPr>
      <w:r>
        <w:t xml:space="preserve">The analysis covers the most significant Scope 3 categories: Purchased Goods and Services (Cat 1), Upstream and Downstream Transportation (Cat 4 &amp; 9), Use of Sold Products (Cat 11), and End-of-Life Treatment of Sold Products (Cat 12). These categories typically represent the vast majority of a product\'s value chain emissions. By including detailed BOM data, energy in use, and end-of-life scenarios, this report aims for and likely achieves over 95% coverage of relevant Scope 3 emissions for</w:t>
      </w:r>
      <w:r>
        <w:t xml:space="preserve"> </w:t>
      </w:r>
      <w:r>
        <w:rPr>
          <w:bCs/>
          <w:b/>
        </w:rPr>
        <w:t xml:space="preserve">fvrxjnwdqv</w:t>
      </w:r>
      <w:r>
        <w:t xml:space="preserve">, in line with 2026 requirements. Other minor categories (e.g., business travel, employee commuting) are generally not product-specific and are excluded from PCF by system boundary.</w:t>
      </w:r>
    </w:p>
    <w:p>
      <w:r>
        <w:pict>
          <v:rect style="width:0;height:1.5pt" o:hralign="center" o:hrstd="t" o:hr="t"/>
        </w:pict>
      </w:r>
    </w:p>
    <w:bookmarkEnd w:id="44"/>
    <w:bookmarkEnd w:id="45"/>
    <w:bookmarkStart w:id="50"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Based on the current (illustrative) calculations, the primary emission hotspots for</w:t>
      </w:r>
      <w:r>
        <w:t xml:space="preserve"> </w:t>
      </w:r>
      <w:r>
        <w:rPr>
          <w:bCs/>
          <w:b/>
        </w:rPr>
        <w:t xml:space="preserve">fvrxjnwdqv</w:t>
      </w:r>
      <w:r>
        <w:t xml:space="preserve"> </w:t>
      </w:r>
      <w:r>
        <w:t xml:space="preserve">are:</w:t>
      </w:r>
    </w:p>
    <w:p>
      <w:pPr>
        <w:numPr>
          <w:ilvl w:val="0"/>
          <w:numId w:val="1016"/>
        </w:numPr>
        <w:pStyle w:val="Compact"/>
      </w:pPr>
      <w:r>
        <w:rPr>
          <w:bCs/>
          <w:b/>
        </w:rPr>
        <w:t xml:space="preserve">Use Phase:</w:t>
      </w:r>
      <w:r>
        <w:t xml:space="preserve"> </w:t>
      </w:r>
      <w:r>
        <w:t xml:space="preserve">With a significant contribution (62.5 kg CO2e/unit), the energy consumption during the product\'s lifespan is a critical area for reduction. Improving energy efficiency of the product is paramount.</w:t>
      </w:r>
    </w:p>
    <w:p>
      <w:pPr>
        <w:numPr>
          <w:ilvl w:val="0"/>
          <w:numId w:val="1016"/>
        </w:numPr>
        <w:pStyle w:val="Compact"/>
      </w:pPr>
      <w:r>
        <w:rPr>
          <w:bCs/>
          <w:b/>
        </w:rPr>
        <w:t xml:space="preserve">Raw Materials:</w:t>
      </w:r>
      <w:r>
        <w:t xml:space="preserve"> </w:t>
      </w:r>
      <w:r>
        <w:t xml:space="preserve">The embodied carbon in materials (summed from BOM) represents another major hotspot. Opportunities exist in material selection (e.g., using lower-carbon alternatives, recycled content) and process optimization.</w:t>
      </w:r>
    </w:p>
    <w:p>
      <w:pPr>
        <w:numPr>
          <w:ilvl w:val="0"/>
          <w:numId w:val="1016"/>
        </w:numPr>
        <w:pStyle w:val="Compact"/>
      </w:pPr>
      <w:r>
        <w:rPr>
          <w:bCs/>
          <w:b/>
        </w:rPr>
        <w:t xml:space="preserve">Manufacturing Energy:</w:t>
      </w:r>
      <w:r>
        <w:t xml:space="preserve"> </w:t>
      </w:r>
      <w:r>
        <w:t xml:space="preserve">While lower than use phase, optimizing manufacturing energy efficiency and increasing renewable energy sourcing beyond the assumed 50% can further reduce Scope 2 emissions.</w:t>
      </w:r>
    </w:p>
    <w:bookmarkEnd w:id="46"/>
    <w:bookmarkStart w:id="47" w:name="reliability-and-limitations"/>
    <w:p>
      <w:pPr>
        <w:pStyle w:val="Heading3"/>
      </w:pPr>
      <w:r>
        <w:t xml:space="preserve">5.2 Reliability and Limitations</w:t>
      </w:r>
    </w:p>
    <w:p>
      <w:pPr>
        <w:pStyle w:val="FirstParagraph"/>
      </w:pPr>
      <w:r>
        <w:t xml:space="preserve">The reliability of this PCF analysis is directly influenced by the quality and specificity of the input data.</w:t>
      </w:r>
    </w:p>
    <w:p>
      <w:pPr>
        <w:numPr>
          <w:ilvl w:val="0"/>
          <w:numId w:val="1017"/>
        </w:numPr>
        <w:pStyle w:val="Compact"/>
      </w:pPr>
      <w:r>
        <w:rPr>
          <w:bCs/>
          <w:b/>
        </w:rPr>
        <w:t xml:space="preserve">Data Specificity:</w:t>
      </w:r>
      <w:r>
        <w:t xml:space="preserve"> </w:t>
      </w:r>
      <w:r>
        <w:t xml:space="preserve">The provided Detailed BOM (pohqiszl) significantly enhances the accuracy of material impact. However, the use of placeholder values for transport mode/distance, energy usage, lifespan, and EoL scenarios means that the quantitative results are indicative.</w:t>
      </w:r>
    </w:p>
    <w:p>
      <w:pPr>
        <w:numPr>
          <w:ilvl w:val="0"/>
          <w:numId w:val="1017"/>
        </w:numPr>
        <w:pStyle w:val="Compact"/>
      </w:pPr>
      <w:r>
        <w:rPr>
          <w:bCs/>
          <w:b/>
        </w:rPr>
        <w:t xml:space="preserve">Emission Factors:</w:t>
      </w:r>
      <w:r>
        <w:t xml:space="preserve"> </w:t>
      </w:r>
      <w:r>
        <w:t xml:space="preserve">Industry-average emission factors are used for generic processes and electricity grids, which may not perfectly reflect the specific operational efficiencies or energy mixes of all suppliers within</w:t>
      </w:r>
      <w:r>
        <w:t xml:space="preserve"> </w:t>
      </w:r>
      <w:r>
        <w:rPr>
          <w:bCs/>
          <w:b/>
        </w:rPr>
        <w:t xml:space="preserve">gejevjsizr</w:t>
      </w:r>
      <w:r>
        <w:t xml:space="preserve">\'s complex supply chain.</w:t>
      </w:r>
    </w:p>
    <w:p>
      <w:pPr>
        <w:numPr>
          <w:ilvl w:val="0"/>
          <w:numId w:val="1017"/>
        </w:numPr>
        <w:pStyle w:val="Compact"/>
      </w:pPr>
      <w:r>
        <w:rPr>
          <w:bCs/>
          <w:b/>
        </w:rPr>
        <w:t xml:space="preserve">System Boundary:</w:t>
      </w:r>
      <w:r>
        <w:t xml:space="preserve"> </w:t>
      </w:r>
      <w:r>
        <w:t xml:space="preserve">The "factory_gate" boundary for initial scope definition, extended to cradle-to-grave, means certain upstream corporate overheads or capital goods emissions are out of scope for product-level analysis.</w:t>
      </w:r>
    </w:p>
    <w:bookmarkEnd w:id="47"/>
    <w:bookmarkStart w:id="49" w:name="recommendations-for-improvement"/>
    <w:p>
      <w:pPr>
        <w:pStyle w:val="Heading3"/>
      </w:pPr>
      <w:r>
        <w:t xml:space="preserve">5.3 Recommendations for Improvement</w:t>
      </w:r>
    </w:p>
    <w:p>
      <w:pPr>
        <w:numPr>
          <w:ilvl w:val="0"/>
          <w:numId w:val="1018"/>
        </w:numPr>
        <w:pStyle w:val="Compact"/>
      </w:pPr>
      <w:r>
        <w:rPr>
          <w:bCs/>
          <w:b/>
        </w:rPr>
        <w:t xml:space="preserve">Data Collection:</w:t>
      </w:r>
      <w:r>
        <w:t xml:space="preserve"> </w:t>
      </w:r>
      <w:r>
        <w:t xml:space="preserve">Prioritize collecting precise primary data for all placeholder parameters (e.g., actual transport modes, distances, renewable energy contracts, real-world product energy consumption, and detailed EoL pathways).</w:t>
      </w:r>
    </w:p>
    <w:p>
      <w:pPr>
        <w:numPr>
          <w:ilvl w:val="0"/>
          <w:numId w:val="1018"/>
        </w:numPr>
        <w:pStyle w:val="Compact"/>
      </w:pPr>
      <w:r>
        <w:rPr>
          <w:bCs/>
          <w:b/>
        </w:rPr>
        <w:t xml:space="preserve">Product Design:</w:t>
      </w:r>
      <w:r>
        <w:t xml:space="preserve"> </w:t>
      </w:r>
      <w:r>
        <w:t xml:space="preserve">Focus on eco-design principles to reduce material intensity, extend product lifespan, and enhance energy efficiency in the use phase. Investigate lightweighting and modular design for easier repair and recycling.</w:t>
      </w:r>
    </w:p>
    <w:p>
      <w:pPr>
        <w:numPr>
          <w:ilvl w:val="0"/>
          <w:numId w:val="1018"/>
        </w:numPr>
        <w:pStyle w:val="Compact"/>
      </w:pPr>
      <w:r>
        <w:rPr>
          <w:bCs/>
          <w:b/>
        </w:rPr>
        <w:t xml:space="preserve">Supply Chain Engagement:</w:t>
      </w:r>
      <w:r>
        <w:t xml:space="preserve"> </w:t>
      </w:r>
      <w:r>
        <w:t xml:space="preserve">Work with suppliers to understand and reduce the embodied carbon of raw materials, explore options for recycled content, and implement more sustainable logistics.</w:t>
      </w:r>
    </w:p>
    <w:p>
      <w:pPr>
        <w:numPr>
          <w:ilvl w:val="0"/>
          <w:numId w:val="1018"/>
        </w:numPr>
        <w:pStyle w:val="Compact"/>
      </w:pPr>
      <w:r>
        <w:rPr>
          <w:bCs/>
          <w:b/>
        </w:rPr>
        <w:t xml:space="preserve">End-of-Life Optimization:</w:t>
      </w:r>
      <w:r>
        <w:t xml:space="preserve"> </w:t>
      </w:r>
      <w:r>
        <w:t xml:space="preserve">Further enhance circular economy initiatives through robust take-back schemes, improved recycling infrastructure, and exploring re-use or remanufacturing opportunities.</w:t>
      </w:r>
    </w:p>
    <w:p>
      <w:pPr>
        <w:numPr>
          <w:ilvl w:val="0"/>
          <w:numId w:val="1018"/>
        </w:numPr>
        <w:pStyle w:val="Compact"/>
      </w:pPr>
      <w:r>
        <w:rPr>
          <w:bCs/>
          <w:b/>
        </w:rPr>
        <w:t xml:space="preserve">LSR Standard Implementation:</w:t>
      </w:r>
      <w:r>
        <w:t xml:space="preserve"> </w:t>
      </w:r>
      <w:r>
        <w:t xml:space="preserve">For bio-based materials like paper, conduct a deeper assessment to fully align with the 2026 LSR Standard, including tracing material origins and land use change impacts.</w:t>
      </w:r>
    </w:p>
    <w:p>
      <w:r>
        <w:pict>
          <v:rect style="width:0;height:1.5pt" o:hralign="center" o:hrstd="t" o:hr="t"/>
        </w:pict>
      </w:r>
    </w:p>
    <w:p>
      <w:pPr>
        <w:pStyle w:val="FirstParagraph"/>
      </w:pPr>
      <w:r>
        <w:t xml:space="preserve">Confidential - Internal Use Only | Page</w:t>
      </w:r>
      <w:r>
        <w:t xml:space="preserve"> </w:t>
      </w:r>
      <w:bookmarkStart w:id="48" w:name="page-number"/>
      <w:r>
        <w:t xml:space="preserve">1</w:t>
      </w: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fvrxjnwdqv</dc:title>
  <dc:creator/>
  <dc:description>Detailed Product Carbon Footprint (PCF) analysis report for product fvrxjnwdqv manufactured by gejevjsizr, adhering to GHG Protocol and 2026 LSR Update, performed by joetwhkyhq.</dc:description>
  <cp:keywords/>
  <dcterms:created xsi:type="dcterms:W3CDTF">2026-05-30T22:09:32Z</dcterms:created>
  <dcterms:modified xsi:type="dcterms:W3CDTF">2026-05-30T22:09:32Z</dcterms:modified>
</cp:coreProperties>
</file>

<file path=docProps/custom.xml><?xml version="1.0" encoding="utf-8"?>
<Properties xmlns="http://schemas.openxmlformats.org/officeDocument/2006/custom-properties" xmlns:vt="http://schemas.openxmlformats.org/officeDocument/2006/docPropsVTypes"/>
</file>