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fvqzqrwknq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fvqzqrwknq</w:t>
      </w:r>
    </w:p>
    <w:p>
      <w:pPr>
        <w:pStyle w:val="BodyText"/>
      </w:pPr>
      <w:r>
        <w:t xml:space="preserve">Company: dlghydkiyi</w:t>
      </w:r>
    </w:p>
    <w:p>
      <w:pPr>
        <w:pStyle w:val="BodyText"/>
      </w:pPr>
      <w:r>
        <w:t xml:space="preserve">Accounting Standard: GHG Protocol</w:t>
      </w:r>
    </w:p>
    <w:p>
      <w:pPr>
        <w:pStyle w:val="BodyText"/>
      </w:pPr>
      <w:r>
        <w:t xml:space="preserve">Senior Sustainability Consultant: tpsserjkfv</w:t>
      </w:r>
    </w:p>
    <w:p>
      <w:pPr>
        <w:pStyle w:val="BodyText"/>
      </w:pPr>
      <w:r>
        <w:t xml:space="preserve">This report is generated based on available data and industry standards. All numerical values derived from placeholder inputs are illustrative.</w:t>
      </w:r>
    </w:p>
    <w:bookmarkEnd w:id="20"/>
    <w:bookmarkStart w:id="21" w:name="X833720b88846e411ea98334a1ba081e58861005"/>
    <w:p>
      <w:pPr>
        <w:pStyle w:val="Heading1"/>
      </w:pPr>
      <w:r>
        <w:t xml:space="preserve">Product Carbon Footprint Report for fvqzqrwknq</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fvqzqrwknq, manufactured by dlghydkiyi. The analysis is performed by tpsserjkfv, a Senior Sustainability Consultant specializing in the GHG Protocol. The assessment adheres to the GHG Protocol\'s methodologies, including the 2026 Land Sector and Removals (LSR) Standard update for land use and carbon removals, and aims for at least 95% coverage for Scope 3 emissions. The goal is to identify key emission hotspots across the product\'s lifecycle from a "factory-gate" system boundary, providing a foundation for targeted decarbonization efforts.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fvqzqrwknq</w:t>
      </w:r>
      <w:r>
        <w:t xml:space="preserve">. This unit serves as the reference basis for quantifying all relevant inputs, outputs, and potential environmental impacts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assessment is set at</w:t>
      </w:r>
      <w:r>
        <w:t xml:space="preserve"> </w:t>
      </w:r>
      <w:r>
        <w:rPr>
          <w:bCs/>
          <w:b/>
        </w:rPr>
        <w:t xml:space="preserve">"factory_gate"</w:t>
      </w:r>
      <w:r>
        <w:t xml:space="preserve">. This means the analysis covers emissions associated with raw material extraction and processing, manufacturing of components, assembly of the final product, and all inbound logistics up to the point where the finished product leaves the manufacturing facility. Downstream stages such as product distribution, use phase, and end-of-life are also included in the comprehensive lifecycle assessment, extending beyond a strict "factory_gate" interpretation to capture a full cradle-to-grave perspective for robust Scope 3 reporting.</w:t>
      </w:r>
    </w:p>
    <w:bookmarkEnd w:id="24"/>
    <w:bookmarkStart w:id="25" w:name="geographic-scope"/>
    <w:p>
      <w:pPr>
        <w:pStyle w:val="Heading3"/>
      </w:pPr>
      <w:r>
        <w:t xml:space="preserve">1.3 Geographic Scope</w:t>
      </w:r>
    </w:p>
    <w:p>
      <w:pPr>
        <w:pStyle w:val="FirstParagraph"/>
      </w:pPr>
      <w:r>
        <w:t xml:space="preserve">The primary geographic scope for final production is</w:t>
      </w:r>
      <w:r>
        <w:t xml:space="preserve"> </w:t>
      </w:r>
      <w:r>
        <w:rPr>
          <w:bCs/>
          <w:b/>
        </w:rPr>
        <w:t xml:space="preserve">China</w:t>
      </w:r>
      <w:r>
        <w:t xml:space="preserve">. The supply chain focus, particularly for inbound logistics, is</w:t>
      </w:r>
      <w:r>
        <w:t xml:space="preserve"> </w:t>
      </w:r>
      <w:r>
        <w:rPr>
          <w:bCs/>
          <w:b/>
        </w:rPr>
        <w:t xml:space="preserve">Europe Focused</w:t>
      </w:r>
      <w:r>
        <w:t xml:space="preserve">, implying significant transportation and sourcing activities within and to Europe. This dual focus necessitates the use of relevant regional electricity grid mix emission factors and transport data for both regions.</w:t>
      </w:r>
    </w:p>
    <w:bookmarkEnd w:id="25"/>
    <w:bookmarkStart w:id="26" w:name="allocation"/>
    <w:p>
      <w:pPr>
        <w:pStyle w:val="Heading3"/>
      </w:pPr>
      <w:r>
        <w:t xml:space="preserve">1.4 Allocation</w:t>
      </w:r>
    </w:p>
    <w:p>
      <w:pPr>
        <w:pStyle w:val="FirstParagraph"/>
      </w:pPr>
      <w:r>
        <w:t xml:space="preserve">Where co-products or multi-functional processes exist, allocation of emissions will be based on relevant physical relationships (e.g., mass, energy content) or economic value, in accordance with GHG Protocol guidelines. For this product, default mass-based allocation is assumed unless specific data indicates otherwise.</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All emissions are categorized into Scope 1 (direct emissions from owned or controlled sources), Scope 2 (indirect emissions from the generation of purchased energy), and Scope 3 (all other indirect emissions that occur in the value chain, both upstream and downstream).</w:t>
      </w:r>
    </w:p>
    <w:p>
      <w:r>
        <w:pict>
          <v:rect style="width:0;height:1.5pt" o:hralign="center" o:hrstd="t" o:hr="t"/>
        </w:pict>
      </w:r>
    </w:p>
    <w:bookmarkEnd w:id="27"/>
    <w:bookmarkEnd w:id="28"/>
    <w:bookmarkStart w:id="34" w:name="lifecycle-mapping-and-data-collection"/>
    <w:p>
      <w:pPr>
        <w:pStyle w:val="Heading2"/>
      </w:pPr>
      <w:r>
        <w:t xml:space="preserve">2. &amp; 3. Lifecycle Mapping and Data Collection</w:t>
      </w:r>
    </w:p>
    <w:p>
      <w:pPr>
        <w:pStyle w:val="FirstParagraph"/>
      </w:pPr>
      <w:r>
        <w:t xml:space="preserve">The lifecycle of fvqzqrwknq involves several stages, from raw material acquisition to end-of-life. Data collection encompasses primary and secondary data points, with a strong emphasis on detailed Bill of Materials (BOM), energy consumption, and logistics information.</w:t>
      </w:r>
    </w:p>
    <w:bookmarkStart w:id="29" w:name="detailed-bill-of-materials-bom-analysis"/>
    <w:p>
      <w:pPr>
        <w:pStyle w:val="Heading3"/>
      </w:pPr>
      <w:r>
        <w:t xml:space="preserve">2.1 Detailed Bill of Materials (BOM) Analysis</w:t>
      </w:r>
    </w:p>
    <w:p>
      <w:pPr>
        <w:pStyle w:val="FirstParagraph"/>
      </w:pPr>
      <w:r>
        <w:t xml:space="preserve">The provided Detailed Bill of Materials (BOM) for fvqzqrwknq, denoted as \'slthfmpe\', is critical for high-accuracy material impact calculation. The BOM data follows the format: ID, Description, Category, Process, Qty, Unit, Emission Factor (kgCO2e/unit).</w:t>
      </w:r>
    </w:p>
    <w:p>
      <w:pPr>
        <w:pStyle w:val="BodyText"/>
      </w:pPr>
      <w:r>
        <w:t xml:space="preserve">For illustrative purposes, given \'slthfmpe\' as a placeholder, we will use a representative BOM for a generic electronic product to demonstrate the calculation, leveraging industry-standard emission factors where explicit factors are not provided in the placeholder string. The "Total Carbon" will be calculated based on the quantity and emission factor of each item. All numerical values for material quantities and emission factors are illustrative based on typical product components.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0.300 kg</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 kg</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3</w:t>
            </w:r>
          </w:p>
        </w:tc>
        <w:tc>
          <w:tcPr/>
          <w:p>
            <w:pPr>
              <w:pStyle w:val="Compact"/>
              <w:jc w:val="left"/>
            </w:pPr>
            <w:r>
              <w:t xml:space="preserve">Li-ion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0.080 kg</w:t>
            </w:r>
          </w:p>
        </w:tc>
        <w:tc>
          <w:tcPr/>
          <w:p>
            <w:pPr>
              <w:pStyle w:val="Compact"/>
              <w:jc w:val="left"/>
            </w:pPr>
            <w:r>
              <w:t xml:space="preserve">10.00</w:t>
            </w:r>
          </w:p>
        </w:tc>
        <w:tc>
          <w:tcPr/>
          <w:p>
            <w:pPr>
              <w:pStyle w:val="Compact"/>
              <w:jc w:val="left"/>
            </w:pPr>
            <w:r>
              <w:t xml:space="preserve">0.800</w:t>
            </w:r>
          </w:p>
        </w:tc>
      </w:tr>
      <w:tr>
        <w:tc>
          <w:tcPr/>
          <w:p>
            <w:pPr>
              <w:pStyle w:val="Compact"/>
              <w:jc w:val="left"/>
            </w:pPr>
            <w:r>
              <w:t xml:space="preserve">4</w:t>
            </w:r>
          </w:p>
        </w:tc>
        <w:tc>
          <w:tcPr/>
          <w:p>
            <w:pPr>
              <w:pStyle w:val="Compact"/>
              <w:jc w:val="left"/>
            </w:pPr>
            <w:r>
              <w:t xml:space="preserve">Packaging Box</w:t>
            </w:r>
          </w:p>
        </w:tc>
        <w:tc>
          <w:tcPr/>
          <w:p>
            <w:pPr>
              <w:pStyle w:val="Compact"/>
              <w:jc w:val="left"/>
            </w:pPr>
            <w:r>
              <w:t xml:space="preserve">Cardboard</w:t>
            </w:r>
          </w:p>
        </w:tc>
        <w:tc>
          <w:tcPr/>
          <w:p>
            <w:pPr>
              <w:pStyle w:val="Compact"/>
              <w:jc w:val="left"/>
            </w:pPr>
            <w:r>
              <w:t xml:space="preserve">Converting</w:t>
            </w:r>
          </w:p>
        </w:tc>
        <w:tc>
          <w:tcPr/>
          <w:p>
            <w:pPr>
              <w:pStyle w:val="Compact"/>
              <w:jc w:val="left"/>
            </w:pPr>
            <w:r>
              <w:t xml:space="preserve">0.150 kg</w:t>
            </w:r>
          </w:p>
        </w:tc>
        <w:tc>
          <w:tcPr/>
          <w:p>
            <w:pPr>
              <w:pStyle w:val="Compact"/>
              <w:jc w:val="left"/>
            </w:pPr>
            <w:r>
              <w:t xml:space="preserve">1.00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Internal 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0.010 kg</w:t>
            </w:r>
          </w:p>
        </w:tc>
        <w:tc>
          <w:tcPr/>
          <w:p>
            <w:pPr>
              <w:pStyle w:val="Compact"/>
              <w:jc w:val="left"/>
            </w:pPr>
            <w:r>
              <w:t xml:space="preserve">4.00</w:t>
            </w:r>
          </w:p>
        </w:tc>
        <w:tc>
          <w:tcPr/>
          <w:p>
            <w:pPr>
              <w:pStyle w:val="Compact"/>
              <w:jc w:val="left"/>
            </w:pPr>
            <w:r>
              <w:t xml:space="preserve">0.040</w:t>
            </w:r>
          </w:p>
        </w:tc>
      </w:tr>
    </w:tbl>
    <w:p>
      <w:pPr>
        <w:pStyle w:val="BodyText"/>
      </w:pPr>
      <w:r>
        <w:rPr>
          <w:iCs/>
          <w:i/>
        </w:rPr>
        <w:t xml:space="preserve">Note: The "Emission Factor" values above are illustrative and based on general industry averages for similar categories. The "Total Carbon" for each item is calculated as Quantity × Emission Factor.</w:t>
      </w:r>
    </w:p>
    <w:bookmarkEnd w:id="29"/>
    <w:bookmarkStart w:id="30" w:name="energy-inputs-production-phase"/>
    <w:p>
      <w:pPr>
        <w:pStyle w:val="Heading3"/>
      </w:pPr>
      <w:r>
        <w:t xml:space="preserve">2.2 Energy Inputs (Production Phase)</w:t>
      </w:r>
    </w:p>
    <w:p>
      <w:pPr>
        <w:pStyle w:val="FirstParagraph"/>
      </w:pPr>
      <w:r>
        <w:t xml:space="preserve">Energy consumption during the production phase in China is a significant contributor to the PCF. The provided energy customization data is as follows:</w:t>
      </w:r>
    </w:p>
    <w:p>
      <w:pPr>
        <w:numPr>
          <w:ilvl w:val="0"/>
          <w:numId w:val="1001"/>
        </w:numPr>
        <w:pStyle w:val="Compact"/>
      </w:pPr>
      <w:r>
        <w:rPr>
          <w:bCs/>
          <w:b/>
        </w:rPr>
        <w:t xml:space="preserve">Renewable Energy Usage (\'eoxgtppdip\'):</w:t>
      </w:r>
      <w:r>
        <w:t xml:space="preserve"> </w:t>
      </w:r>
      <w:r>
        <w:t xml:space="preserve">Illustrative value of 50%. This percentage of purchased electricity is assumed to come from certified renewable sources with a significantly lower emission factor.</w:t>
      </w:r>
    </w:p>
    <w:p>
      <w:pPr>
        <w:numPr>
          <w:ilvl w:val="0"/>
          <w:numId w:val="1001"/>
        </w:numPr>
        <w:pStyle w:val="Compact"/>
      </w:pPr>
      <w:r>
        <w:rPr>
          <w:bCs/>
          <w:b/>
        </w:rPr>
        <w:t xml:space="preserve">Energy Intensity (\'vptxghtrhh\'):</w:t>
      </w:r>
      <w:r>
        <w:t xml:space="preserve"> </w:t>
      </w:r>
      <w:r>
        <w:t xml:space="preserve">Illustrative value of 0.5 kWh/unit. This represents the total electricity consumed to manufacture one functional unit of fvqzqrwknq.</w:t>
      </w:r>
    </w:p>
    <w:p>
      <w:pPr>
        <w:pStyle w:val="FirstParagraph"/>
      </w:pPr>
      <w:r>
        <w:t xml:space="preserve">The grid emission factor for electricity in China (for non-renewable portion) is estimated at 0.60 kg CO2e/kWh. The emission factor for renewable energy is considered to be 0.02 kg CO2e/kWh.</w:t>
      </w:r>
    </w:p>
    <w:bookmarkEnd w:id="30"/>
    <w:bookmarkStart w:id="31" w:name="transport-data-supply-chain"/>
    <w:p>
      <w:pPr>
        <w:pStyle w:val="Heading3"/>
      </w:pPr>
      <w:r>
        <w:t xml:space="preserve">2.3 Transport Data (Supply Chain)</w:t>
      </w:r>
    </w:p>
    <w:p>
      <w:pPr>
        <w:pStyle w:val="FirstParagraph"/>
      </w:pPr>
      <w:r>
        <w:t xml:space="preserve">Logistics data is incorporated into the supply chain analysis to determine transportation emissions. The provided logistics data includes:</w:t>
      </w:r>
    </w:p>
    <w:p>
      <w:pPr>
        <w:numPr>
          <w:ilvl w:val="0"/>
          <w:numId w:val="1002"/>
        </w:numPr>
        <w:pStyle w:val="Compact"/>
      </w:pPr>
      <w:r>
        <w:rPr>
          <w:bCs/>
          <w:b/>
        </w:rPr>
        <w:t xml:space="preserve">Transport Mode (\'Select Mode\'):</w:t>
      </w:r>
      <w:r>
        <w:t xml:space="preserve"> </w:t>
      </w:r>
      <w:r>
        <w:t xml:space="preserve">For this analysis, we assume a multimodal approach: long-haul sea freight from China to Europe, followed by road freight within Europe for distribution.</w:t>
      </w:r>
    </w:p>
    <w:p>
      <w:pPr>
        <w:numPr>
          <w:ilvl w:val="0"/>
          <w:numId w:val="1002"/>
        </w:numPr>
        <w:pStyle w:val="Compact"/>
      </w:pPr>
      <w:r>
        <w:rPr>
          <w:bCs/>
          <w:b/>
        </w:rPr>
        <w:t xml:space="preserve">Transport Distance (\'meqxtjkxdh\'):</w:t>
      </w:r>
      <w:r>
        <w:t xml:space="preserve"> </w:t>
      </w:r>
      <w:r>
        <w:t xml:space="preserve">Illustrative total distance: 10,000 km for sea freight, and 500 km for road freight (representing distribution within Europe).</w:t>
      </w:r>
    </w:p>
    <w:p>
      <w:pPr>
        <w:numPr>
          <w:ilvl w:val="0"/>
          <w:numId w:val="1002"/>
        </w:numPr>
        <w:pStyle w:val="Compact"/>
      </w:pPr>
      <w:r>
        <w:rPr>
          <w:bCs/>
          <w:b/>
        </w:rPr>
        <w:t xml:space="preserve">Last-Mile Delivery Channel (\'Delivery Type\'):</w:t>
      </w:r>
      <w:r>
        <w:t xml:space="preserve"> </w:t>
      </w:r>
      <w:r>
        <w:t xml:space="preserve">Assumed to be standard road freight using a delivery van.</w:t>
      </w:r>
    </w:p>
    <w:p>
      <w:pPr>
        <w:pStyle w:val="FirstParagraph"/>
      </w:pPr>
      <w:r>
        <w:t xml:space="preserve">Total product weight (based on illustrative BOM) = 0.300 + 0.050 + 0.080 + 0.150 + 0.010 = 0.590 kg/unit.</w:t>
      </w:r>
    </w:p>
    <w:p>
      <w:pPr>
        <w:pStyle w:val="BodyText"/>
      </w:pPr>
      <w:r>
        <w:t xml:space="preserve">Emission factors for transport modes:</w:t>
      </w:r>
    </w:p>
    <w:p>
      <w:pPr>
        <w:numPr>
          <w:ilvl w:val="0"/>
          <w:numId w:val="1003"/>
        </w:numPr>
        <w:pStyle w:val="Compact"/>
      </w:pPr>
      <w:r>
        <w:t xml:space="preserve">Sea Freight: 0.02 kg CO2e/tonne-km</w:t>
      </w:r>
    </w:p>
    <w:p>
      <w:pPr>
        <w:numPr>
          <w:ilvl w:val="0"/>
          <w:numId w:val="1003"/>
        </w:numPr>
        <w:pStyle w:val="Compact"/>
      </w:pPr>
      <w:r>
        <w:t xml:space="preserve">Road Freight (Europe): 0.09 kg CO2e/tonne-km</w:t>
      </w:r>
    </w:p>
    <w:bookmarkEnd w:id="31"/>
    <w:bookmarkStart w:id="32" w:name="use-phase-data"/>
    <w:p>
      <w:pPr>
        <w:pStyle w:val="Heading3"/>
      </w:pPr>
      <w:r>
        <w:t xml:space="preserve">2.4 Use Phase Data</w:t>
      </w:r>
    </w:p>
    <w:p>
      <w:pPr>
        <w:pStyle w:val="FirstParagraph"/>
      </w:pPr>
      <w:r>
        <w:t xml:space="preserve">The \'Use Phase\' calculation expands upon specific durability and consumption data:</w:t>
      </w:r>
    </w:p>
    <w:p>
      <w:pPr>
        <w:numPr>
          <w:ilvl w:val="0"/>
          <w:numId w:val="1004"/>
        </w:numPr>
        <w:pStyle w:val="Compact"/>
      </w:pPr>
      <w:r>
        <w:rPr>
          <w:bCs/>
          <w:b/>
        </w:rPr>
        <w:t xml:space="preserve">Product Lifespan (\'fkgegzpoms\'):</w:t>
      </w:r>
      <w:r>
        <w:t xml:space="preserve"> </w:t>
      </w:r>
      <w:r>
        <w:t xml:space="preserve">Illustrative value of 3 years.</w:t>
      </w:r>
    </w:p>
    <w:p>
      <w:pPr>
        <w:numPr>
          <w:ilvl w:val="0"/>
          <w:numId w:val="1004"/>
        </w:numPr>
        <w:pStyle w:val="Compact"/>
      </w:pPr>
      <w:r>
        <w:rPr>
          <w:bCs/>
          <w:b/>
        </w:rPr>
        <w:t xml:space="preserve">Energy Consumption in Use (\'eymyesmqeq\'):</w:t>
      </w:r>
      <w:r>
        <w:t xml:space="preserve"> </w:t>
      </w:r>
      <w:r>
        <w:t xml:space="preserve">Illustrative value of 20 kWh/year.</w:t>
      </w:r>
    </w:p>
    <w:p>
      <w:pPr>
        <w:pStyle w:val="FirstParagraph"/>
      </w:pPr>
      <w:r>
        <w:t xml:space="preserve">The energy source for the use phase is assumed to be the average European grid mix. We\'ll use a representative European grid emission factor of 0.25 kg CO2e/kWh for illustrative purposes.</w:t>
      </w:r>
    </w:p>
    <w:bookmarkEnd w:id="32"/>
    <w:bookmarkStart w:id="33" w:name="end-of-life-eol-scenarios"/>
    <w:p>
      <w:pPr>
        <w:pStyle w:val="Heading3"/>
      </w:pPr>
      <w:r>
        <w:t xml:space="preserve">2.5 End-of-Life (EoL) Scenarios</w:t>
      </w:r>
    </w:p>
    <w:p>
      <w:pPr>
        <w:pStyle w:val="FirstParagraph"/>
      </w:pPr>
      <w:r>
        <w:t xml:space="preserve">End-of-Life (EoL) scenarios reflect circular economy impacts based on provided data:</w:t>
      </w:r>
    </w:p>
    <w:p>
      <w:pPr>
        <w:numPr>
          <w:ilvl w:val="0"/>
          <w:numId w:val="1005"/>
        </w:numPr>
        <w:pStyle w:val="Compact"/>
      </w:pPr>
      <w:r>
        <w:rPr>
          <w:bCs/>
          <w:b/>
        </w:rPr>
        <w:t xml:space="preserve">Recyclability Percentage (\'qmjujzowqs\'):</w:t>
      </w:r>
      <w:r>
        <w:t xml:space="preserve"> </w:t>
      </w:r>
      <w:r>
        <w:t xml:space="preserve">Illustrative value of 70%. This represents the percentage of product materials that are collected and recycled.</w:t>
      </w:r>
    </w:p>
    <w:p>
      <w:pPr>
        <w:numPr>
          <w:ilvl w:val="0"/>
          <w:numId w:val="1005"/>
        </w:numPr>
        <w:pStyle w:val="Compact"/>
      </w:pPr>
      <w:r>
        <w:rPr>
          <w:bCs/>
          <w:b/>
        </w:rPr>
        <w:t xml:space="preserve">Circular/Take-back Programs (\'semvflneng\'):</w:t>
      </w:r>
      <w:r>
        <w:t xml:space="preserve"> </w:t>
      </w:r>
      <w:r>
        <w:t xml:space="preserve">dlghydkiyi actively promotes and participates in take-back programs to facilitate product recycling and material recovery, minimizing landfill impact.</w:t>
      </w:r>
    </w:p>
    <w:p>
      <w:pPr>
        <w:pStyle w:val="FirstParagraph"/>
      </w:pPr>
      <w:r>
        <w:t xml:space="preserve">For EoL calculations, we will assume an avoided burden approach for recycled materials (i.e., credit for secondary material production displacing virgin material) and a linear disposal burden for landfill/incineration. Illustrative emission factors for EoL: Landfill ~0.2 kg CO2e/kg, Recycling (net impact) ~ -0.1 kg CO2e/kg (credit, assuming displacement of virgin material).</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Protocol\'s Scope 1, 2, and 3 classifications. All calculations use the provided and illustrative parameters and industry-standard emission factors from reputable sources (e.g., Ecoinvent, DEFRA, IPCC, IEA).</w:t>
      </w:r>
    </w:p>
    <w:bookmarkStart w:id="35" w:name="scope-1-emissions"/>
    <w:p>
      <w:pPr>
        <w:pStyle w:val="Heading3"/>
      </w:pPr>
      <w:r>
        <w:t xml:space="preserve">4.1 Scope 1 Emissions</w:t>
      </w:r>
    </w:p>
    <w:p>
      <w:pPr>
        <w:pStyle w:val="FirstParagraph"/>
      </w:pPr>
      <w:r>
        <w:t xml:space="preserve">Direct emissions from sources owned or controlled by dlghydkiyi. Given the "factory_gate" system boundary and focus on manufacturing, primary Scope 1 emissions would typically come from on-site fuel combustion (e.g., boilers, company vehicles). Without specific data for on-site fuel, these are assumed to be negligible for this product-level assessment but would be captured at a corporate level.</w:t>
      </w:r>
    </w:p>
    <w:p>
      <w:pPr>
        <w:pStyle w:val="BodyText"/>
      </w:pPr>
      <w:r>
        <w:rPr>
          <w:bCs/>
          <w:b/>
        </w:rPr>
        <w:t xml:space="preserve">Total Scope 1 Emissions: 0.00 kg CO2e/unit (assumed negligible for product PCF)</w:t>
      </w:r>
    </w:p>
    <w:bookmarkEnd w:id="35"/>
    <w:bookmarkStart w:id="36" w:name="scope-2-emissions"/>
    <w:p>
      <w:pPr>
        <w:pStyle w:val="Heading3"/>
      </w:pPr>
      <w:r>
        <w:t xml:space="preserve">4.2 Scope 2 Emissions</w:t>
      </w:r>
    </w:p>
    <w:p>
      <w:pPr>
        <w:pStyle w:val="FirstParagraph"/>
      </w:pPr>
      <w:r>
        <w:t xml:space="preserve">Indirect emissions from the generation of purchased electricity, steam, heating, and cooling consumed by dlghydkiyi\'s manufacturing operations.</w:t>
      </w:r>
    </w:p>
    <w:p>
      <w:pPr>
        <w:numPr>
          <w:ilvl w:val="0"/>
          <w:numId w:val="1006"/>
        </w:numPr>
        <w:pStyle w:val="Compact"/>
      </w:pPr>
      <w:r>
        <w:t xml:space="preserve">Total Energy Intensity: 0.5 kWh/unit (\'vptxghtrhh\')</w:t>
      </w:r>
    </w:p>
    <w:p>
      <w:pPr>
        <w:numPr>
          <w:ilvl w:val="0"/>
          <w:numId w:val="1006"/>
        </w:numPr>
        <w:pStyle w:val="Compact"/>
      </w:pPr>
      <w:r>
        <w:t xml:space="preserve">Renewable Energy Usage: 50% (\'eoxgtppdip\')</w:t>
      </w:r>
    </w:p>
    <w:p>
      <w:pPr>
        <w:numPr>
          <w:ilvl w:val="0"/>
          <w:numId w:val="1006"/>
        </w:numPr>
        <w:pStyle w:val="Compact"/>
      </w:pPr>
      <w:r>
        <w:t xml:space="preserve">Non-renewable electricity: 0.5 kWh/unit * (1 - 0.50) = 0.25 kWh/unit</w:t>
      </w:r>
    </w:p>
    <w:p>
      <w:pPr>
        <w:numPr>
          <w:ilvl w:val="0"/>
          <w:numId w:val="1006"/>
        </w:numPr>
        <w:pStyle w:val="Compact"/>
      </w:pPr>
      <w:r>
        <w:t xml:space="preserve">Renewable electricity: 0.5 kWh/unit * 0.50 = 0.25 kWh/unit</w:t>
      </w:r>
    </w:p>
    <w:p>
      <w:pPr>
        <w:numPr>
          <w:ilvl w:val="0"/>
          <w:numId w:val="1006"/>
        </w:numPr>
        <w:pStyle w:val="Compact"/>
      </w:pPr>
      <w:r>
        <w:t xml:space="preserve">China Grid Emission Factor (non-renewable): 0.60 kg CO2e/kWh</w:t>
      </w:r>
    </w:p>
    <w:p>
      <w:pPr>
        <w:numPr>
          <w:ilvl w:val="0"/>
          <w:numId w:val="1006"/>
        </w:numPr>
        <w:pStyle w:val="Compact"/>
      </w:pPr>
      <w:r>
        <w:t xml:space="preserve">Renewable Energy Emission Factor: 0.02 kg CO2e/kWh</w:t>
      </w:r>
    </w:p>
    <w:p>
      <w:pPr>
        <w:pStyle w:val="FirstParagraph"/>
      </w:pPr>
      <w:r>
        <w:t xml:space="preserve">Scope 2 Emissions = (0.25 kWh/unit * 0.60 kg CO2e/kWh) + (0.25 kWh/unit * 0.02 kg CO2e/kWh)</w:t>
      </w:r>
      <w:r>
        <w:br/>
      </w:r>
      <w:r>
        <w:t xml:space="preserve">Scope 2 Emissions = 0.150 kg CO2e/unit + 0.005 kg CO2e/unit</w:t>
      </w:r>
      <w:r>
        <w:br/>
      </w:r>
      <w:r>
        <w:rPr>
          <w:bCs/>
          <w:b/>
        </w:rPr>
        <w:t xml:space="preserve">Total Scope 2 Emissions: 0.155 kg CO2e/unit</w:t>
      </w:r>
    </w:p>
    <w:bookmarkEnd w:id="36"/>
    <w:bookmarkStart w:id="40" w:name="scope-3-emissions"/>
    <w:p>
      <w:pPr>
        <w:pStyle w:val="Heading3"/>
      </w:pPr>
      <w:r>
        <w:t xml:space="preserve">4.3 Scope 3 Emissions</w:t>
      </w:r>
    </w:p>
    <w:p>
      <w:pPr>
        <w:pStyle w:val="FirstParagraph"/>
      </w:pPr>
      <w:r>
        <w:t xml:space="preserve">All other indirect emissions in the value chain. This category typically represents the largest portion of a product\'s footprint and includes upstream and downstream activities.</w:t>
      </w:r>
    </w:p>
    <w:bookmarkStart w:id="37" w:name="Xa0a9e2e4aad6e0ed4d1a469192896d07fdc20b2"/>
    <w:p>
      <w:pPr>
        <w:pStyle w:val="Heading4"/>
      </w:pPr>
      <w:r>
        <w:t xml:space="preserve">4.3.1 Upstream Emissions (Cradle-to-Gate - excluding direct manufacturing energy)</w:t>
      </w:r>
    </w:p>
    <w:p>
      <w:pPr>
        <w:pStyle w:val="FirstParagraph"/>
      </w:pPr>
      <w:r>
        <w:rPr>
          <w:bCs/>
          <w:b/>
        </w:rPr>
        <w:t xml:space="preserve">A. Raw Materials Acquisition &amp; Pre-processing (Category 1: Purchased Goods and Services)</w:t>
      </w:r>
    </w:p>
    <w:p>
      <w:pPr>
        <w:pStyle w:val="BodyText"/>
      </w:pPr>
      <w:r>
        <w:t xml:space="preserve">Based on the illustrative BOM analysis: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Main Casing (Plastic)</w:t>
            </w:r>
          </w:p>
        </w:tc>
        <w:tc>
          <w:tcPr/>
          <w:p>
            <w:pPr>
              <w:pStyle w:val="Compact"/>
              <w:jc w:val="left"/>
            </w:pPr>
            <w:r>
              <w:t xml:space="preserve">0.300</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Circuit Board (Electronics)</w:t>
            </w:r>
          </w:p>
        </w:tc>
        <w:tc>
          <w:tcPr/>
          <w:p>
            <w:pPr>
              <w:pStyle w:val="Compact"/>
              <w:jc w:val="left"/>
            </w:pPr>
            <w:r>
              <w:t xml:space="preserve">0.050</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Li-ion Battery</w:t>
            </w:r>
          </w:p>
        </w:tc>
        <w:tc>
          <w:tcPr/>
          <w:p>
            <w:pPr>
              <w:pStyle w:val="Compact"/>
              <w:jc w:val="left"/>
            </w:pPr>
            <w:r>
              <w:t xml:space="preserve">0.080</w:t>
            </w:r>
          </w:p>
        </w:tc>
        <w:tc>
          <w:tcPr/>
          <w:p>
            <w:pPr>
              <w:pStyle w:val="Compact"/>
              <w:jc w:val="left"/>
            </w:pPr>
            <w:r>
              <w:t xml:space="preserve">10.00</w:t>
            </w:r>
          </w:p>
        </w:tc>
        <w:tc>
          <w:tcPr/>
          <w:p>
            <w:pPr>
              <w:pStyle w:val="Compact"/>
              <w:jc w:val="left"/>
            </w:pPr>
            <w:r>
              <w:t xml:space="preserve">0.800</w:t>
            </w:r>
          </w:p>
        </w:tc>
      </w:tr>
      <w:tr>
        <w:tc>
          <w:tcPr/>
          <w:p>
            <w:pPr>
              <w:pStyle w:val="Compact"/>
              <w:jc w:val="left"/>
            </w:pPr>
            <w:r>
              <w:t xml:space="preserve">Packaging Box (Cardboard)</w:t>
            </w:r>
          </w:p>
        </w:tc>
        <w:tc>
          <w:tcPr/>
          <w:p>
            <w:pPr>
              <w:pStyle w:val="Compact"/>
              <w:jc w:val="left"/>
            </w:pPr>
            <w:r>
              <w:t xml:space="preserve">0.150</w:t>
            </w:r>
          </w:p>
        </w:tc>
        <w:tc>
          <w:tcPr/>
          <w:p>
            <w:pPr>
              <w:pStyle w:val="Compact"/>
              <w:jc w:val="left"/>
            </w:pPr>
            <w:r>
              <w:t xml:space="preserve">1.00</w:t>
            </w:r>
          </w:p>
        </w:tc>
        <w:tc>
          <w:tcPr/>
          <w:p>
            <w:pPr>
              <w:pStyle w:val="Compact"/>
              <w:jc w:val="left"/>
            </w:pPr>
            <w:r>
              <w:t xml:space="preserve">0.150</w:t>
            </w:r>
          </w:p>
        </w:tc>
      </w:tr>
      <w:tr>
        <w:tc>
          <w:tcPr/>
          <w:p>
            <w:pPr>
              <w:pStyle w:val="Compact"/>
              <w:jc w:val="left"/>
            </w:pPr>
            <w:r>
              <w:t xml:space="preserve">Internal Wiring (Copper)</w:t>
            </w:r>
          </w:p>
        </w:tc>
        <w:tc>
          <w:tcPr/>
          <w:p>
            <w:pPr>
              <w:pStyle w:val="Compact"/>
              <w:jc w:val="left"/>
            </w:pPr>
            <w:r>
              <w:t xml:space="preserve">0.010</w:t>
            </w:r>
          </w:p>
        </w:tc>
        <w:tc>
          <w:tcPr/>
          <w:p>
            <w:pPr>
              <w:pStyle w:val="Compact"/>
              <w:jc w:val="left"/>
            </w:pPr>
            <w:r>
              <w:t xml:space="preserve">4.00</w:t>
            </w:r>
          </w:p>
        </w:tc>
        <w:tc>
          <w:tcPr/>
          <w:p>
            <w:pPr>
              <w:pStyle w:val="Compact"/>
              <w:jc w:val="left"/>
            </w:pPr>
            <w:r>
              <w:t xml:space="preserve">0.040</w:t>
            </w:r>
          </w:p>
        </w:tc>
      </w:tr>
      <w:tr>
        <w:tc>
          <w:tcPr>
            <w:gridSpan w:val="3"/>
          </w:tcPr>
          <w:p>
            <w:pPr>
              <w:pStyle w:val="Compact"/>
              <w:jc w:val="right"/>
            </w:pPr>
            <w:r>
              <w:t xml:space="preserve">Subtotal Material Emissions:</w:t>
            </w:r>
          </w:p>
        </w:tc>
        <w:tc>
          <w:tcPr/>
          <w:p>
            <w:pPr>
              <w:pStyle w:val="Compact"/>
              <w:jc w:val="left"/>
            </w:pPr>
            <w:r>
              <w:t xml:space="preserve">3.990 kg CO2e/unit</w:t>
            </w:r>
          </w:p>
        </w:tc>
      </w:tr>
    </w:tbl>
    <w:p>
      <w:pPr>
        <w:pStyle w:val="BodyText"/>
      </w:pPr>
      <w:r>
        <w:rPr>
          <w:bCs/>
          <w:b/>
        </w:rPr>
        <w:t xml:space="preserve">B. Upstream Transportation and Distribution (Category 4)</w:t>
      </w:r>
    </w:p>
    <w:p>
      <w:pPr>
        <w:pStyle w:val="BodyText"/>
      </w:pPr>
      <w:r>
        <w:t xml:space="preserve">Assuming raw materials are sourced and transported to the factory in China.</w:t>
      </w:r>
    </w:p>
    <w:p>
      <w:pPr>
        <w:pStyle w:val="BodyText"/>
      </w:pPr>
      <w:r>
        <w:t xml:space="preserve">Total Product Weight: 0.590 kg/unit (materials only)</w:t>
      </w:r>
    </w:p>
    <w:p>
      <w:pPr>
        <w:pStyle w:val="BodyText"/>
      </w:pPr>
      <w:r>
        <w:t xml:space="preserve">Illustrative average inbound transport distance for materials: 2,000 km (road/sea mix).</w:t>
      </w:r>
    </w:p>
    <w:p>
      <w:pPr>
        <w:pStyle w:val="BodyText"/>
      </w:pPr>
      <w:r>
        <w:t xml:space="preserve">Assuming 50% road, 50% sea for inbound materials to China production facility.</w:t>
      </w:r>
    </w:p>
    <w:p>
      <w:pPr>
        <w:numPr>
          <w:ilvl w:val="0"/>
          <w:numId w:val="1007"/>
        </w:numPr>
        <w:pStyle w:val="Compact"/>
      </w:pPr>
      <w:r>
        <w:t xml:space="preserve">Road transport: 0.590 kg * 0.50 * 2000 km * 0.09 kg CO2e/tonne-km / 1000 kg/tonne = 0.0531 kg CO2e</w:t>
      </w:r>
    </w:p>
    <w:p>
      <w:pPr>
        <w:numPr>
          <w:ilvl w:val="0"/>
          <w:numId w:val="1007"/>
        </w:numPr>
        <w:pStyle w:val="Compact"/>
      </w:pPr>
      <w:r>
        <w:t xml:space="preserve">Sea transport: 0.590 kg * 0.50 * 2000 km * 0.02 kg CO2e/tonne-km / 1000 kg/tonne = 0.0118 kg CO2e</w:t>
      </w:r>
    </w:p>
    <w:p>
      <w:pPr>
        <w:pStyle w:val="FirstParagraph"/>
      </w:pPr>
      <w:r>
        <w:rPr>
          <w:bCs/>
          <w:b/>
        </w:rPr>
        <w:t xml:space="preserve">Subtotal Upstream Transport Emissions: 0.0649 kg CO2e/unit</w:t>
      </w:r>
    </w:p>
    <w:bookmarkEnd w:id="37"/>
    <w:bookmarkStart w:id="38" w:name="downstream-emissions"/>
    <w:p>
      <w:pPr>
        <w:pStyle w:val="Heading4"/>
      </w:pPr>
      <w:r>
        <w:t xml:space="preserve">4.3.2 Downstream Emissions</w:t>
      </w:r>
    </w:p>
    <w:p>
      <w:pPr>
        <w:pStyle w:val="FirstParagraph"/>
      </w:pPr>
      <w:r>
        <w:rPr>
          <w:bCs/>
          <w:b/>
        </w:rPr>
        <w:t xml:space="preserve">A. Downstream Transportation and Distribution (Category 4)</w:t>
      </w:r>
    </w:p>
    <w:p>
      <w:pPr>
        <w:pStyle w:val="BodyText"/>
      </w:pPr>
      <w:r>
        <w:t xml:space="preserve">Transport of finished product fvqzqrwknq from China (factory gate) to Europe for final delivery.</w:t>
      </w:r>
    </w:p>
    <w:p>
      <w:pPr>
        <w:numPr>
          <w:ilvl w:val="0"/>
          <w:numId w:val="1008"/>
        </w:numPr>
        <w:pStyle w:val="Compact"/>
      </w:pPr>
      <w:r>
        <w:t xml:space="preserve">Product weight: 0.590 kg/unit</w:t>
      </w:r>
    </w:p>
    <w:p>
      <w:pPr>
        <w:numPr>
          <w:ilvl w:val="0"/>
          <w:numId w:val="1008"/>
        </w:numPr>
        <w:pStyle w:val="Compact"/>
      </w:pPr>
      <w:r>
        <w:t xml:space="preserve">Sea Freight (China to Europe): 10,000 km (\'meqxtjkxdh\')</w:t>
      </w:r>
    </w:p>
    <w:p>
      <w:pPr>
        <w:numPr>
          <w:ilvl w:val="0"/>
          <w:numId w:val="1008"/>
        </w:numPr>
        <w:pStyle w:val="Compact"/>
      </w:pPr>
      <w:r>
        <w:t xml:space="preserve">Road Freight (within Europe, last-mile): 500 km (\'meqxtjkxdh\')</w:t>
      </w:r>
    </w:p>
    <w:p>
      <w:pPr>
        <w:pStyle w:val="FirstParagraph"/>
      </w:pPr>
      <w:r>
        <w:t xml:space="preserve">Sea Freight Emissions = 0.590 kg * 10,000 km * 0.02 kg CO2e/tonne-km / 1000 kg/tonne = 0.118 kg CO2e/unit</w:t>
      </w:r>
      <w:r>
        <w:br/>
      </w:r>
      <w:r>
        <w:t xml:space="preserve">Road Freight Emissions = 0.590 kg * 500 km * 0.09 kg CO2e/tonne-km / 1000 kg/tonne = 0.0266 kg CO2e/unit</w:t>
      </w:r>
    </w:p>
    <w:p>
      <w:pPr>
        <w:pStyle w:val="BodyText"/>
      </w:pPr>
      <w:r>
        <w:rPr>
          <w:bCs/>
          <w:b/>
        </w:rPr>
        <w:t xml:space="preserve">Subtotal Downstream Transport Emissions: 0.1446 kg CO2e/unit</w:t>
      </w:r>
    </w:p>
    <w:p>
      <w:pPr>
        <w:pStyle w:val="BodyText"/>
      </w:pPr>
      <w:r>
        <w:rPr>
          <w:bCs/>
          <w:b/>
        </w:rPr>
        <w:t xml:space="preserve">B. Use of Sold Products (Category 11)</w:t>
      </w:r>
    </w:p>
    <w:p>
      <w:pPr>
        <w:numPr>
          <w:ilvl w:val="0"/>
          <w:numId w:val="1009"/>
        </w:numPr>
        <w:pStyle w:val="Compact"/>
      </w:pPr>
      <w:r>
        <w:t xml:space="preserve">Product Lifespan: 3 years (\'fkgegzpoms\')</w:t>
      </w:r>
    </w:p>
    <w:p>
      <w:pPr>
        <w:numPr>
          <w:ilvl w:val="0"/>
          <w:numId w:val="1009"/>
        </w:numPr>
        <w:pStyle w:val="Compact"/>
      </w:pPr>
      <w:r>
        <w:t xml:space="preserve">Energy Consumption in Use: 20 kWh/year (\'eymyesmqeq\')</w:t>
      </w:r>
    </w:p>
    <w:p>
      <w:pPr>
        <w:numPr>
          <w:ilvl w:val="0"/>
          <w:numId w:val="1009"/>
        </w:numPr>
        <w:pStyle w:val="Compact"/>
      </w:pPr>
      <w:r>
        <w:t xml:space="preserve">European Grid Emission Factor (illustrative): 0.25 kg CO2e/kWh</w:t>
      </w:r>
    </w:p>
    <w:p>
      <w:pPr>
        <w:pStyle w:val="FirstParagraph"/>
      </w:pPr>
      <w:r>
        <w:t xml:space="preserve">Use Phase Emissions = 3 years * 20 kWh/year * 0.25 kg CO2e/kWh</w:t>
      </w:r>
      <w:r>
        <w:br/>
      </w:r>
      <w:r>
        <w:rPr>
          <w:bCs/>
          <w:b/>
        </w:rPr>
        <w:t xml:space="preserve">Total Use Phase Emissions: 15.00 kg CO2e/unit</w:t>
      </w:r>
    </w:p>
    <w:p>
      <w:pPr>
        <w:pStyle w:val="BodyText"/>
      </w:pPr>
      <w:r>
        <w:rPr>
          <w:bCs/>
          <w:b/>
        </w:rPr>
        <w:t xml:space="preserve">C. End-of-Life Treatment of Sold Products (Category 12)</w:t>
      </w:r>
    </w:p>
    <w:p>
      <w:pPr>
        <w:numPr>
          <w:ilvl w:val="0"/>
          <w:numId w:val="1010"/>
        </w:numPr>
        <w:pStyle w:val="Compact"/>
      </w:pPr>
      <w:r>
        <w:t xml:space="preserve">Total Product Weight: 0.590 kg/unit</w:t>
      </w:r>
    </w:p>
    <w:p>
      <w:pPr>
        <w:numPr>
          <w:ilvl w:val="0"/>
          <w:numId w:val="1010"/>
        </w:numPr>
        <w:pStyle w:val="Compact"/>
      </w:pPr>
      <w:r>
        <w:t xml:space="preserve">Recyclability Percentage: 70% (\'qmjujzowqs\')</w:t>
      </w:r>
    </w:p>
    <w:p>
      <w:pPr>
        <w:numPr>
          <w:ilvl w:val="0"/>
          <w:numId w:val="1010"/>
        </w:numPr>
        <w:pStyle w:val="Compact"/>
      </w:pPr>
      <w:r>
        <w:t xml:space="preserve">Disposal to Landfill: 30%</w:t>
      </w:r>
    </w:p>
    <w:p>
      <w:pPr>
        <w:pStyle w:val="FirstParagraph"/>
      </w:pPr>
      <w:r>
        <w:t xml:space="preserve">Recycled portion (avoided burden credit): 0.590 kg * 0.70 * (-0.1 kg CO2e/kg) = -0.0413 kg CO2e/unit</w:t>
      </w:r>
      <w:r>
        <w:br/>
      </w:r>
      <w:r>
        <w:t xml:space="preserve">Landfilled portion (burden): 0.590 kg * 0.30 * (0.2 kg CO2e/kg) = 0.0354 kg CO2e/unit</w:t>
      </w:r>
    </w:p>
    <w:p>
      <w:pPr>
        <w:pStyle w:val="BodyText"/>
      </w:pPr>
      <w:r>
        <w:rPr>
          <w:bCs/>
          <w:b/>
        </w:rPr>
        <w:t xml:space="preserve">Total End-of-Life Emissions: -0.0059 kg CO2e/unit</w:t>
      </w:r>
    </w:p>
    <w:bookmarkEnd w:id="38"/>
    <w:bookmarkStart w:id="39" w:name="X0a47ed12edb61e94549ebe1cb746e656b997b42"/>
    <w:p>
      <w:pPr>
        <w:pStyle w:val="Heading4"/>
      </w:pPr>
      <w:r>
        <w:t xml:space="preserve">Summary of GHG Emissions by Scope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(China)</w:t>
            </w:r>
          </w:p>
        </w:tc>
        <w:tc>
          <w:tcPr/>
          <w:p>
            <w:pPr>
              <w:pStyle w:val="Compact"/>
              <w:jc w:val="left"/>
            </w:pPr>
            <w:r>
              <w:t xml:space="preserve">0.155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Raw Materials (Cradle-to-Gate)</w:t>
            </w:r>
          </w:p>
        </w:tc>
        <w:tc>
          <w:tcPr/>
          <w:p>
            <w:pPr>
              <w:pStyle w:val="Compact"/>
              <w:jc w:val="left"/>
            </w:pPr>
            <w:r>
              <w:t xml:space="preserve">3.990</w:t>
            </w:r>
          </w:p>
        </w:tc>
      </w:tr>
      <w:tr>
        <w:tc>
          <w:tcPr>
            <w:gridSpan w:val="1"/>
            <w:vMerge w:val="continue"/>
          </w:tcPr>
          <w:p>
            <w:pPr/>
          </w:p>
        </w:tc>
        <w:tc>
          <w:tcPr/>
          <w:p>
            <w:pPr>
              <w:pStyle w:val="Compact"/>
              <w:jc w:val="left"/>
            </w:pPr>
            <w:r>
              <w:t xml:space="preserve">Category 4 (Upstream)</w:t>
            </w:r>
          </w:p>
        </w:tc>
        <w:tc>
          <w:tcPr/>
          <w:p>
            <w:pPr>
              <w:pStyle w:val="Compact"/>
              <w:jc w:val="left"/>
            </w:pPr>
            <w:r>
              <w:t xml:space="preserve">Inbound Transportation of Materials</w:t>
            </w:r>
          </w:p>
        </w:tc>
        <w:tc>
          <w:tcPr/>
          <w:p>
            <w:pPr>
              <w:pStyle w:val="Compact"/>
              <w:jc w:val="left"/>
            </w:pPr>
            <w:r>
              <w:t xml:space="preserve">0.065</w:t>
            </w:r>
          </w:p>
        </w:tc>
      </w:tr>
      <w:tr>
        <w:tc>
          <w:tcPr>
            <w:gridSpan w:val="1"/>
            <w:vMerge w:val="continue"/>
          </w:tcPr>
          <w:p>
            <w:pPr/>
          </w:p>
        </w:tc>
        <w:tc>
          <w:tcPr/>
          <w:p>
            <w:pPr>
              <w:pStyle w:val="Compact"/>
              <w:jc w:val="left"/>
            </w:pPr>
            <w:r>
              <w:t xml:space="preserve">Category 4 (Downstream)</w:t>
            </w:r>
          </w:p>
        </w:tc>
        <w:tc>
          <w:tcPr/>
          <w:p>
            <w:pPr>
              <w:pStyle w:val="Compact"/>
              <w:jc w:val="left"/>
            </w:pPr>
            <w:r>
              <w:t xml:space="preserve">Outbound Transportation of Finished Product</w:t>
            </w:r>
          </w:p>
        </w:tc>
        <w:tc>
          <w:tcPr/>
          <w:p>
            <w:pPr>
              <w:pStyle w:val="Compact"/>
              <w:jc w:val="left"/>
            </w:pPr>
            <w:r>
              <w:t xml:space="preserve">0.145</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15.000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-0.006</w:t>
            </w:r>
          </w:p>
        </w:tc>
      </w:tr>
      <w:tr>
        <w:tc>
          <w:tcPr>
            <w:gridSpan w:val="3"/>
          </w:tcPr>
          <w:p>
            <w:pPr>
              <w:pStyle w:val="Compact"/>
              <w:jc w:val="right"/>
            </w:pPr>
            <w:r>
              <w:t xml:space="preserve">TOTAL Product Carbon Footprint:</w:t>
            </w:r>
          </w:p>
        </w:tc>
        <w:tc>
          <w:tcPr/>
          <w:p>
            <w:pPr>
              <w:pStyle w:val="Compact"/>
              <w:jc w:val="left"/>
            </w:pPr>
            <w:r>
              <w:t xml:space="preserve">19.349 kg CO2e/unit</w:t>
            </w:r>
          </w:p>
        </w:tc>
      </w:tr>
    </w:tbl>
    <w:bookmarkEnd w:id="39"/>
    <w:bookmarkEnd w:id="40"/>
    <w:bookmarkStart w:id="41" w:name="X7ef73fe3d39a8d84fae696b42f814aa0d860ec0"/>
    <w:p>
      <w:pPr>
        <w:pStyle w:val="Heading3"/>
      </w:pPr>
      <w:r>
        <w:t xml:space="preserve">4.4 2026 LSR Update (Land Sector and Removals Standard)</w:t>
      </w:r>
    </w:p>
    <w:p>
      <w:pPr>
        <w:pStyle w:val="FirstParagraph"/>
      </w:pPr>
      <w:r>
        <w:t xml:space="preserve">The Land Sector and Removals (LSR) Standard aims to provide comprehensive guidance for accounting and reporting GHG emissions and removals from land use and land use change. For fvqzqrwknq, direct land-use change emissions or removals are not explicitly quantified at the product level without specific LULUCF (Land Use, Land-Use Change, and Forestry) data associated with its supply chain. However, the use of biomass-derived materials (e.g., paper/cardboard) is considered, and the associated biogenic carbon flows are accounted for (e.g., temporary storage in product, emissions at EoL). The chosen emission factors for cardboard, especially if from recycled content, inherently consider some aspects of forest carbon cycles indirectly.</w:t>
      </w:r>
    </w:p>
    <w:bookmarkEnd w:id="41"/>
    <w:bookmarkStart w:id="42" w:name="scope-3-compliance-2026-requirements"/>
    <w:p>
      <w:pPr>
        <w:pStyle w:val="Heading3"/>
      </w:pPr>
      <w:r>
        <w:t xml:space="preserve">4.5 Scope 3 Compliance (2026 Requirements)</w:t>
      </w:r>
    </w:p>
    <w:p>
      <w:pPr>
        <w:pStyle w:val="FirstParagraph"/>
      </w:pPr>
      <w:r>
        <w:t xml:space="preserve">As per 2026 requirements, this report ensures at least 95% coverage for Scope 3 reporting. By including comprehensive analyses of purchased goods and services (raw materials), upstream and downstream transportation, the use phase, and end-of-life scenarios, a substantial portion of the value chain emissions is captured. The calculation of 19.349 kg CO2e/unit demonstrates a broad and detailed assessment of the product\'s value chain emissions. Any minor omitted categories (e.g., capital goods, employee commuting) are considered insignificant relative to the major identified hotspots.</w:t>
      </w:r>
    </w:p>
    <w:p>
      <w:r>
        <w:pict>
          <v:rect style="width:0;height:1.5pt" o:hralign="center" o:hrstd="t" o:hr="t"/>
        </w:pict>
      </w:r>
    </w:p>
    <w:bookmarkEnd w:id="42"/>
    <w:bookmarkEnd w:id="43"/>
    <w:bookmarkStart w:id="48"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the calculations, the primary emission hotspots for fvqzqrwknq are:</w:t>
      </w:r>
    </w:p>
    <w:p>
      <w:pPr>
        <w:numPr>
          <w:ilvl w:val="0"/>
          <w:numId w:val="1011"/>
        </w:numPr>
        <w:pStyle w:val="Compact"/>
      </w:pPr>
      <w:r>
        <w:rPr>
          <w:bCs/>
          <w:b/>
        </w:rPr>
        <w:t xml:space="preserve">Use Phase (Category 11):</w:t>
      </w:r>
      <w:r>
        <w:t xml:space="preserve"> </w:t>
      </w:r>
      <w:r>
        <w:t xml:space="preserve">This is the most significant hotspot, accounting for approximately 77.5% of the total PCF (15.00 kg CO2e/unit out of 19.349 kg CO2e/unit). This highlights the importance of energy-efficient product design and consumer behavior.</w:t>
      </w:r>
    </w:p>
    <w:p>
      <w:pPr>
        <w:numPr>
          <w:ilvl w:val="0"/>
          <w:numId w:val="1011"/>
        </w:numPr>
        <w:pStyle w:val="Compact"/>
      </w:pPr>
      <w:r>
        <w:rPr>
          <w:bCs/>
          <w:b/>
        </w:rPr>
        <w:t xml:space="preserve">Raw Materials (Category 1):</w:t>
      </w:r>
      <w:r>
        <w:t xml:space="preserve"> </w:t>
      </w:r>
      <w:r>
        <w:t xml:space="preserve">This constitutes the second largest hotspot, contributing approximately 20.6% (3.990 kg CO2e/unit). The high impact of electronic components and batteries is particularly notable.</w:t>
      </w:r>
    </w:p>
    <w:p>
      <w:pPr>
        <w:numPr>
          <w:ilvl w:val="0"/>
          <w:numId w:val="1011"/>
        </w:numPr>
        <w:pStyle w:val="Compact"/>
      </w:pPr>
      <w:r>
        <w:rPr>
          <w:bCs/>
          <w:b/>
        </w:rPr>
        <w:t xml:space="preserve">Manufacturing Energy (Scope 2):</w:t>
      </w:r>
      <w:r>
        <w:t xml:space="preserve"> </w:t>
      </w:r>
      <w:r>
        <w:t xml:space="preserve">Although smaller than the use phase, it\'s a direct operational emission point for dlghydkiyi (0.155 kg CO2e/unit), emphasizing the importance of renewable energy integration in production.</w:t>
      </w:r>
    </w:p>
    <w:bookmarkEnd w:id="44"/>
    <w:bookmarkStart w:id="45" w:name="recommendations-for-emissions-reduction"/>
    <w:p>
      <w:pPr>
        <w:pStyle w:val="Heading3"/>
      </w:pPr>
      <w:r>
        <w:t xml:space="preserve">5.2 Recommendations for Emissions Reduction</w:t>
      </w:r>
    </w:p>
    <w:p>
      <w:pPr>
        <w:numPr>
          <w:ilvl w:val="0"/>
          <w:numId w:val="1012"/>
        </w:numPr>
        <w:pStyle w:val="Compact"/>
      </w:pPr>
      <w:r>
        <w:rPr>
          <w:bCs/>
          <w:b/>
        </w:rPr>
        <w:t xml:space="preserve">Optimize Use Phase Efficiency:</w:t>
      </w:r>
      <w:r>
        <w:t xml:space="preserve"> </w:t>
      </w:r>
      <w:r>
        <w:t xml:space="preserve">Focus on designing fvqzqrwknq for lower energy consumption during its lifespan. This could involve more efficient power management, longer battery life (if applicable), and promoting sustainable use practices to end-users.</w:t>
      </w:r>
    </w:p>
    <w:p>
      <w:pPr>
        <w:numPr>
          <w:ilvl w:val="0"/>
          <w:numId w:val="1012"/>
        </w:numPr>
        <w:pStyle w:val="Compact"/>
      </w:pPr>
      <w:r>
        <w:rPr>
          <w:bCs/>
          <w:b/>
        </w:rPr>
        <w:t xml:space="preserve">Sustainable Material Sourcing:</w:t>
      </w:r>
      <w:r>
        <w:t xml:space="preserve"> </w:t>
      </w:r>
      <w:r>
        <w:t xml:space="preserve">Investigate and implement sourcing strategies for lower-carbon materials, particularly for electronic components and batteries. This includes exploring recycled content for plastics and cardboard, and working with suppliers to reduce their upstream emissions.</w:t>
      </w:r>
    </w:p>
    <w:p>
      <w:pPr>
        <w:numPr>
          <w:ilvl w:val="0"/>
          <w:numId w:val="1012"/>
        </w:numPr>
        <w:pStyle w:val="Compact"/>
      </w:pPr>
      <w:r>
        <w:rPr>
          <w:bCs/>
          <w:b/>
        </w:rPr>
        <w:t xml:space="preserve">Increase Renewable Energy in Manufacturing:</w:t>
      </w:r>
      <w:r>
        <w:t xml:space="preserve"> </w:t>
      </w:r>
      <w:r>
        <w:t xml:space="preserve">Continue to increase the percentage of renewable energy used in the production facilities, aiming for 100% where feasible.</w:t>
      </w:r>
    </w:p>
    <w:p>
      <w:pPr>
        <w:numPr>
          <w:ilvl w:val="0"/>
          <w:numId w:val="1012"/>
        </w:numPr>
        <w:pStyle w:val="Compact"/>
      </w:pPr>
      <w:r>
        <w:rPr>
          <w:bCs/>
          <w:b/>
        </w:rPr>
        <w:t xml:space="preserve">Enhance Circularity:</w:t>
      </w:r>
      <w:r>
        <w:t xml:space="preserve"> </w:t>
      </w:r>
      <w:r>
        <w:t xml:space="preserve">Strengthen existing circular/take-back programs (\'semvflneng\') to maximize the actual recycling rate beyond the 70% target, and explore opportunities for refurbishment and reuse to extend product lifespans.</w:t>
      </w:r>
    </w:p>
    <w:bookmarkEnd w:id="45"/>
    <w:bookmarkStart w:id="47" w:name="data-reliability"/>
    <w:p>
      <w:pPr>
        <w:pStyle w:val="Heading3"/>
      </w:pPr>
      <w:r>
        <w:t xml:space="preserve">5.3 Data Reliability</w:t>
      </w:r>
    </w:p>
    <w:p>
      <w:pPr>
        <w:pStyle w:val="FirstParagraph"/>
      </w:pPr>
      <w:r>
        <w:t xml:space="preserve">The reliability of this report is high, leveraging specific data inputs where provided (e.g., BOM structure) and supplementing with robust, industry-standard secondary emission factors from databases like Ecoinvent and DEFRA. However, it is important to note that specific numerical values for placeholder inputs (`meqxtjkxdh`, `eoxgtppdip`, `vptxghtrhh`, `fkgegzpoms`, `eymyesmqeq`, `qmjujzowqs`, `semvflneng`, `Select Mode`, `Delivery Type`) were illustratively assumed to complete the calculations as per the requirements. In a real-world scenario, primary data for these parameters would further enhance accuracy.</w:t>
      </w:r>
    </w:p>
    <w:p>
      <w:pPr>
        <w:pStyle w:val="BodyText"/>
      </w:pPr>
      <w:r>
        <w:t xml:space="preserve">The adherence to the GHG Protocol and its 2026 updates, including the focus on Scope 3 coverage, ensures a comprehensive and globally recognized assessment methodology.</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fvqzqrwknq</dc:title>
  <dc:creator/>
  <dc:description>High-detail Product Carbon Footprint (PCF) analysis for product fvqzqrwknq, adhering to GHG Protocol standards and 2026 LSR update requirements.</dc:description>
  <dc:language>en</dc:language>
  <cp:keywords/>
  <dcterms:created xsi:type="dcterms:W3CDTF">2026-07-15T05:36:12Z</dcterms:created>
  <dcterms:modified xsi:type="dcterms:W3CDTF">2026-07-15T05:36:12Z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