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fvjtzwxkou</w:t>
      </w:r>
      <w:r>
        <w:t xml:space="preserve"> </w:t>
      </w:r>
      <w:r>
        <w:t xml:space="preserve">-</w:t>
      </w:r>
      <w:r>
        <w:t xml:space="preserve"> </w:t>
      </w:r>
      <w:r>
        <w:t xml:space="preserve">yxlvteytxq</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fvjtzwxkou"/>
    <w:p>
      <w:pPr>
        <w:pStyle w:val="Heading2"/>
      </w:pPr>
      <w:r>
        <w:t xml:space="preserve">Product: fvjtzwxkou</w:t>
      </w:r>
    </w:p>
    <w:p>
      <w:pPr>
        <w:pStyle w:val="FirstParagraph"/>
      </w:pPr>
      <w:r>
        <w:rPr>
          <w:bCs/>
          <w:b/>
        </w:rPr>
        <w:t xml:space="preserve">Company Name:</w:t>
      </w:r>
      <w:r>
        <w:t xml:space="preserve"> </w:t>
      </w:r>
      <w:r>
        <w:t xml:space="preserve">yxlvteytxq</w:t>
      </w:r>
    </w:p>
    <w:p>
      <w:pPr>
        <w:pStyle w:val="BodyText"/>
      </w:pPr>
      <w:r>
        <w:rPr>
          <w:bCs/>
          <w:b/>
        </w:rPr>
        <w:t xml:space="preserve">Senior Sustainability Consultant:</w:t>
      </w:r>
      <w:r>
        <w:t xml:space="preserve"> </w:t>
      </w:r>
      <w:r>
        <w:t xml:space="preserve">gienyxhstn</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Assumptions have been made for placeholder values to demonstrate the methodology.</w:t>
      </w:r>
    </w:p>
    <w:bookmarkEnd w:id="20"/>
    <w:bookmarkEnd w:id="21"/>
    <w:bookmarkStart w:id="47" w:name="X8c648f3717aa598632d5e2a66694763672d30f1"/>
    <w:p>
      <w:pPr>
        <w:pStyle w:val="Heading1"/>
      </w:pPr>
      <w:r>
        <w:t xml:space="preserve">Product Carbon Footprint Analysis Report: fvjtzwxkou</w:t>
      </w:r>
    </w:p>
    <w:p>
      <w:pPr>
        <w:pStyle w:val="FirstParagraph"/>
      </w:pPr>
      <w:r>
        <w:rPr>
          <w:bCs/>
          <w:b/>
        </w:rPr>
        <w:t xml:space="preserve">Generated Date:</w:t>
      </w:r>
      <w:r>
        <w:t xml:space="preserve"> </w:t>
      </w:r>
      <w:r>
        <w:t xml:space="preserve">May 21,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"fvjtzwxkou" manufactured by yxlvteytxq. The analysis was conducted by gienyxhstn, a Senior Sustainability Consultant, strictly adhering to the Greenhouse Gas (GHG) Protocol standards, including considerations for the upcoming 2026 Land Sector and Removals (LSR) Standard update and aiming for at least 95% Scope 3 coverage. The system boundary for this PCF is "factory_gate," with a final production country of China and a supply chain focus on Europe. This report quantifies greenhouse gas emissions across the product\'s lifecycle, identifies emission hotspots, and provides a foundation for targeted reduction strategies.</w:t>
      </w:r>
    </w:p>
    <w:p>
      <w:r>
        <w:pict>
          <v:rect style="width:0;height:1.5pt" o:hralign="center" o:hrstd="t" o:hr="t"/>
        </w:pict>
      </w:r>
    </w:p>
    <w:bookmarkEnd w:id="22"/>
    <w:bookmarkStart w:id="29" w:name="defining-the-scope"/>
    <w:p>
      <w:pPr>
        <w:pStyle w:val="Heading2"/>
      </w:pPr>
      <w:r>
        <w:t xml:space="preserve">1. Defining the Scope</w:t>
      </w:r>
    </w:p>
    <w:p>
      <w:pPr>
        <w:pStyle w:val="FirstParagraph"/>
      </w:pPr>
      <w:r>
        <w:t xml:space="preserve">The first step in any robust carbon footprint analysis is to clearly define the goal and scope. This PCF aims to quantify the total greenhouse gas (GHG) emissions associated with the product "fvjtzwxkou" on a “cradle-to-gate” basis, extended to include the use and end-of-life phases, following the GHG Protocol Product Standard.</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fvjtzwxkou</w:t>
      </w:r>
      <w:r>
        <w:t xml:space="preserve">.</w:t>
      </w:r>
    </w:p>
    <w:bookmarkEnd w:id="23"/>
    <w:bookmarkStart w:id="24" w:name="system-boundary"/>
    <w:p>
      <w:pPr>
        <w:pStyle w:val="Heading3"/>
      </w:pPr>
      <w:r>
        <w:t xml:space="preserve">1.2. System Boundary</w:t>
      </w:r>
    </w:p>
    <w:p>
      <w:pPr>
        <w:pStyle w:val="FirstParagraph"/>
      </w:pPr>
      <w:r>
        <w:t xml:space="preserve">The system boundary for this assessment is</w:t>
      </w:r>
      <w:r>
        <w:t xml:space="preserve"> </w:t>
      </w:r>
      <w:r>
        <w:rPr>
          <w:bCs/>
          <w:b/>
        </w:rPr>
        <w:t xml:space="preserve">factory_gate</w:t>
      </w:r>
      <w:r>
        <w:t xml:space="preserve">, which traditionally includes raw material extraction, manufacturing, and transport up to the point the product leaves the factory. However, to provide a more comprehensive view and align with full lifecycle analysis, this report extends the analysis to include the \'Use Phase\' and \'End-of-Life\' (EoL) scenarios for the product after it leaves the factory gate. This approach encompasses:</w:t>
      </w:r>
    </w:p>
    <w:p>
      <w:pPr>
        <w:numPr>
          <w:ilvl w:val="0"/>
          <w:numId w:val="1001"/>
        </w:numPr>
        <w:pStyle w:val="Compact"/>
      </w:pPr>
      <w:r>
        <w:t xml:space="preserve">Raw Material Acquisition and Pre-processing</w:t>
      </w:r>
    </w:p>
    <w:p>
      <w:pPr>
        <w:numPr>
          <w:ilvl w:val="0"/>
          <w:numId w:val="1001"/>
        </w:numPr>
        <w:pStyle w:val="Compact"/>
      </w:pPr>
      <w:r>
        <w:t xml:space="preserve">Manufacturing/Production (at yxlvteytxq\'s facility in China)</w:t>
      </w:r>
    </w:p>
    <w:p>
      <w:pPr>
        <w:numPr>
          <w:ilvl w:val="0"/>
          <w:numId w:val="1001"/>
        </w:numPr>
        <w:pStyle w:val="Compact"/>
      </w:pPr>
      <w:r>
        <w:t xml:space="preserve">Transportation (upstream to factory, and downstream to customer, including last-mile)</w:t>
      </w:r>
    </w:p>
    <w:p>
      <w:pPr>
        <w:numPr>
          <w:ilvl w:val="0"/>
          <w:numId w:val="1001"/>
        </w:numPr>
        <w:pStyle w:val="Compact"/>
      </w:pPr>
      <w:r>
        <w:t xml:space="preserve">Use Phase</w:t>
      </w:r>
    </w:p>
    <w:p>
      <w:pPr>
        <w:numPr>
          <w:ilvl w:val="0"/>
          <w:numId w:val="1001"/>
        </w:numPr>
        <w:pStyle w:val="Compact"/>
      </w:pPr>
      <w:r>
        <w:t xml:space="preserve">End-of-Life Treatment</w:t>
      </w:r>
    </w:p>
    <w:bookmarkEnd w:id="24"/>
    <w:bookmarkStart w:id="25" w:name="geographic-scope"/>
    <w:p>
      <w:pPr>
        <w:pStyle w:val="Heading3"/>
      </w:pPr>
      <w:r>
        <w:t xml:space="preserve">1.3. Geographic Scope</w:t>
      </w:r>
    </w:p>
    <w:p>
      <w:pPr>
        <w:pStyle w:val="FirstParagraph"/>
      </w:pPr>
      <w:r>
        <w:t xml:space="preserve">The geographic scope covers the entire supply chain. The</w:t>
      </w:r>
      <w:r>
        <w:t xml:space="preserve"> </w:t>
      </w:r>
      <w:r>
        <w:rPr>
          <w:bCs/>
          <w:b/>
        </w:rPr>
        <w:t xml:space="preserve">Final Production Country is China</w:t>
      </w:r>
      <w:r>
        <w:t xml:space="preserve">, with a particular</w:t>
      </w:r>
      <w:r>
        <w:t xml:space="preserve"> </w:t>
      </w:r>
      <w:r>
        <w:rPr>
          <w:bCs/>
          <w:b/>
        </w:rPr>
        <w:t xml:space="preserve">Supply Chain Focus on Europe</w:t>
      </w:r>
      <w:r>
        <w:t xml:space="preserve"> </w:t>
      </w:r>
      <w:r>
        <w:t xml:space="preserve">for upstream materials and downstream distribution.</w:t>
      </w:r>
    </w:p>
    <w:bookmarkEnd w:id="25"/>
    <w:bookmarkStart w:id="26" w:name="accounting-standard"/>
    <w:p>
      <w:pPr>
        <w:pStyle w:val="Heading3"/>
      </w:pPr>
      <w:r>
        <w:t xml:space="preserve">1.4. Accounting Standard</w:t>
      </w:r>
    </w:p>
    <w:p>
      <w:pPr>
        <w:pStyle w:val="FirstParagraph"/>
      </w:pPr>
      <w:r>
        <w:t xml:space="preserve">The analysis strictly adheres to the</w:t>
      </w:r>
      <w:r>
        <w:t xml:space="preserve"> </w:t>
      </w:r>
      <w:r>
        <w:rPr>
          <w:bCs/>
          <w:b/>
        </w:rPr>
        <w:t xml:space="preserve">GHG Protocol</w:t>
      </w:r>
      <w:r>
        <w:t xml:space="preserve">. Emissions are categorized into Scope 1, Scope 2, and Scope 3 as follows:</w:t>
      </w:r>
    </w:p>
    <w:p>
      <w:pPr>
        <w:numPr>
          <w:ilvl w:val="0"/>
          <w:numId w:val="1002"/>
        </w:numPr>
        <w:pStyle w:val="Compact"/>
      </w:pPr>
      <w:r>
        <w:rPr>
          <w:bCs/>
          <w:b/>
        </w:rPr>
        <w:t xml:space="preserve">Scope 1 (Direct Emissions):</w:t>
      </w:r>
      <w:r>
        <w:t xml:space="preserve"> </w:t>
      </w:r>
      <w:r>
        <w:t xml:space="preserve">GHG emissions from sources owned or controlled by yxlvteytxq. For a product-level assessment within a "factory_gate" boundary, direct emissions from manufacturing processes (e.g., on-site fuel combustion) would typically fall here. For this PCF, it\'s assumed any such direct emissions are embedded within the manufacturing energy intensity, but for a corporate inventory, these would be separately accounted.</w:t>
      </w:r>
    </w:p>
    <w:p>
      <w:pPr>
        <w:numPr>
          <w:ilvl w:val="0"/>
          <w:numId w:val="1002"/>
        </w:numPr>
        <w:pStyle w:val="Compact"/>
      </w:pPr>
      <w:r>
        <w:rPr>
          <w:bCs/>
          <w:b/>
        </w:rPr>
        <w:t xml:space="preserve">Scope 2 (Indirect Energy Emissions):</w:t>
      </w:r>
      <w:r>
        <w:t xml:space="preserve"> </w:t>
      </w:r>
      <w:r>
        <w:t xml:space="preserve">GHG emissions from the generation of purchased electricity, heat, or steam consumed by yxlvteytxq\'s production facility in China.</w:t>
      </w:r>
    </w:p>
    <w:p>
      <w:pPr>
        <w:numPr>
          <w:ilvl w:val="0"/>
          <w:numId w:val="1002"/>
        </w:numPr>
        <w:pStyle w:val="Compact"/>
      </w:pPr>
      <w:r>
        <w:rPr>
          <w:bCs/>
          <w:b/>
        </w:rPr>
        <w:t xml:space="preserve">Scope 3 (Other Indirect Emissions):</w:t>
      </w:r>
      <w:r>
        <w:t xml:space="preserve"> </w:t>
      </w:r>
      <w:r>
        <w:t xml:space="preserve">All other indirect emissions occurring in the value chain, both upstream and downstream. This includes emissions from purchased materials and services, upstream and downstream transportation and distribution, use of sold products, and end-of-life treatment of sold products. This report targets at least 95% coverage for Scope 3 emissions, in line with 2026 requirements, as these often represent the majority of a product\'s footprint.</w:t>
      </w:r>
    </w:p>
    <w:bookmarkEnd w:id="26"/>
    <w:bookmarkStart w:id="27" w:name="X504f4a86e01fdcfa46a4589bb1b5e0cfaad8629"/>
    <w:p>
      <w:pPr>
        <w:pStyle w:val="Heading3"/>
      </w:pPr>
      <w:r>
        <w:t xml:space="preserve">1.5. 2026 Land Sector and Removals (LSR) Standard Update</w:t>
      </w:r>
    </w:p>
    <w:p>
      <w:pPr>
        <w:pStyle w:val="FirstParagraph"/>
      </w:pPr>
      <w:r>
        <w:t xml:space="preserve">This analysis acknowledges and considers the principles of the GHG Protocol\'s Land Sector and Removals (LSR) Standard, which takes effect on January 1, 2027. The LSR Standard provides guidance for quantifying, reporting, and tracking land emissions and CO₂ removals, including those from land management, land use change, and biogenic products. While the direct application for this specific industrial product (fvjtzwxkou) within a \'factory_gate\' boundary is limited unless there are direct agricultural inputs or land-use changes within yxlvteytxq\'s operations, the standard\'s principles inform the broader context of supply chain emissions, particularly for any bio-based materials. If primary data on land use were available for specific raw materials, the LSR Standard would be integrated to account for associated biogenic carbon flows and land-use change emissions/removals.</w:t>
      </w:r>
    </w:p>
    <w:bookmarkEnd w:id="27"/>
    <w:bookmarkStart w:id="28" w:name="allocation"/>
    <w:p>
      <w:pPr>
        <w:pStyle w:val="Heading3"/>
      </w:pPr>
      <w:r>
        <w:t xml:space="preserve">1.6. Allocation</w:t>
      </w:r>
    </w:p>
    <w:p>
      <w:pPr>
        <w:pStyle w:val="FirstParagraph"/>
      </w:pPr>
      <w:r>
        <w:t xml:space="preserve">Emissions are allocated directly to the functional unit (1.0 unit of fvjtzwxkou). For shared processes or infrastructure, physical allocation (e.g., by mass or energy) would be the preferred method, ensuring emissions are proportionally assigned to the product under analysis.</w:t>
      </w:r>
    </w:p>
    <w:p>
      <w:r>
        <w:pict>
          <v:rect style="width:0;height:1.5pt" o:hralign="center" o:hrstd="t" o:hr="t"/>
        </w:pict>
      </w:r>
    </w:p>
    <w:bookmarkEnd w:id="28"/>
    <w:bookmarkEnd w:id="29"/>
    <w:bookmarkStart w:id="35" w:name="mapping-the-lifecycle-3.-collecting-data"/>
    <w:p>
      <w:pPr>
        <w:pStyle w:val="Heading2"/>
      </w:pPr>
      <w:r>
        <w:t xml:space="preserve">2. Mapping the Lifecycle &amp; 3. Collecting Data</w:t>
      </w:r>
    </w:p>
    <w:p>
      <w:pPr>
        <w:pStyle w:val="FirstParagraph"/>
      </w:pPr>
      <w:r>
        <w:t xml:space="preserve">This section details the lifecycle stages and the data inputs collected for the analysis. For placeholder parameters, illustrative data has been assumed to demonstrate the calculation methodology.</w:t>
      </w:r>
    </w:p>
    <w:bookmarkStart w:id="30" w:name="X79f526906ed37c6081e827882f3625de47fe746"/>
    <w:p>
      <w:pPr>
        <w:pStyle w:val="Heading3"/>
      </w:pPr>
      <w:r>
        <w:t xml:space="preserve">2.1. Raw Materials (Scope 3 - Purchased Goods &amp; Services)</w:t>
      </w:r>
    </w:p>
    <w:p>
      <w:pPr>
        <w:pStyle w:val="FirstParagraph"/>
      </w:pPr>
      <w:r>
        <w:t xml:space="preserve">The Detailed Bill of Materials (BOM) for "fvjtzwxkou" is crucial for high-accuracy material impact calculation. The provided BOM data (`rqldgisi`) is parsed and presented below. Emission factors for each material are used as provided, which are assumed to be cradle-to-gate (material extraction to manufacturing of the component).</w:t>
      </w:r>
    </w:p>
    <w:p>
      <w:pPr>
        <w:pStyle w:val="BodyText"/>
      </w:pPr>
      <w:r>
        <w:rPr>
          <w:bCs/>
          <w:b/>
        </w:rPr>
        <w:t xml:space="preserve">Provided BOM Data (`rqldgisi` - Illustrative Example):</w:t>
      </w:r>
      <w:r>
        <w:br/>
      </w:r>
      <w:r>
        <w:t xml:space="preserve">"101,Plastic Casing,Plastics,Injection Molding,0.5,kg,2.5,1.25;</w:t>
      </w:r>
      <w:r>
        <w:br/>
      </w:r>
      <w:r>
        <w:t xml:space="preserve">102,Circuit Board,Electronics,Assembly,0.1,unit,15.0,1.50;</w:t>
      </w:r>
      <w:r>
        <w:br/>
      </w:r>
      <w:r>
        <w:t xml:space="preserve">103,Copper Wire,Metals,Extrusion,0.05,kg,3.0,0.15;</w:t>
      </w:r>
      <w:r>
        <w:br/>
      </w:r>
      <w:r>
        <w:t xml:space="preserve">104,Packaging (Cardboard),Packaging,Manufacturing,0.2,kg,1.0,0.20"</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102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104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t xml:space="preserve">Total Material Impact:</w:t>
            </w:r>
          </w:p>
        </w:tc>
        <w:tc>
          <w:tcPr/>
          <w:p>
            <w:pPr>
              <w:pStyle w:val="Compact"/>
              <w:jc w:val="left"/>
            </w:pPr>
            <w:r>
              <w:t xml:space="preserve">3.10 kgCO2e</w:t>
            </w:r>
          </w:p>
        </w:tc>
      </w:tr>
    </w:tbl>
    <w:bookmarkEnd w:id="30"/>
    <w:bookmarkStart w:id="31" w:name="X981923b8cb60f0edee598a5efe02199461582eb"/>
    <w:p>
      <w:pPr>
        <w:pStyle w:val="Heading3"/>
      </w:pPr>
      <w:r>
        <w:t xml:space="preserve">2.2. Transportation (Scope 3 - Upstream &amp; Downstream)</w:t>
      </w:r>
    </w:p>
    <w:p>
      <w:pPr>
        <w:pStyle w:val="FirstParagraph"/>
      </w:pPr>
      <w:r>
        <w:t xml:space="preserve">Logistics data incorporates transport modes, distances, and last-mile delivery. Illustrative assumptions are made due to placeholder values.</w:t>
      </w:r>
    </w:p>
    <w:p>
      <w:pPr>
        <w:numPr>
          <w:ilvl w:val="0"/>
          <w:numId w:val="1003"/>
        </w:numPr>
        <w:pStyle w:val="Compact"/>
      </w:pPr>
      <w:r>
        <w:rPr>
          <w:bCs/>
          <w:b/>
        </w:rPr>
        <w:t xml:space="preserve">Transport Mode (`Select Mode` - Assumed):</w:t>
      </w:r>
      <w:r>
        <w:t xml:space="preserve"> </w:t>
      </w:r>
      <w:r>
        <w:t xml:space="preserve">Road freight (Heavy Goods Vehicle, Euro VI) and Ocean freight (Container Ship).</w:t>
      </w:r>
    </w:p>
    <w:p>
      <w:pPr>
        <w:numPr>
          <w:ilvl w:val="0"/>
          <w:numId w:val="1003"/>
        </w:numPr>
        <w:pStyle w:val="Compact"/>
      </w:pPr>
      <w:r>
        <w:rPr>
          <w:bCs/>
          <w:b/>
        </w:rPr>
        <w:t xml:space="preserve">Transport Distance (`menxntgywp` - Assumed):</w:t>
      </w:r>
    </w:p>
    <w:p>
      <w:pPr>
        <w:numPr>
          <w:ilvl w:val="1"/>
          <w:numId w:val="1004"/>
        </w:numPr>
        <w:pStyle w:val="Compact"/>
      </w:pPr>
      <w:r>
        <w:rPr>
          <w:bCs/>
          <w:b/>
        </w:rPr>
        <w:t xml:space="preserve">Upstream (Materials to China Factory):</w:t>
      </w:r>
    </w:p>
    <w:p>
      <w:pPr>
        <w:numPr>
          <w:ilvl w:val="2"/>
          <w:numId w:val="1005"/>
        </w:numPr>
        <w:pStyle w:val="Compact"/>
      </w:pPr>
      <w:r>
        <w:t xml:space="preserve">Road (Europe): 500 km (for European suppliers)</w:t>
      </w:r>
    </w:p>
    <w:p>
      <w:pPr>
        <w:numPr>
          <w:ilvl w:val="2"/>
          <w:numId w:val="1005"/>
        </w:numPr>
        <w:pStyle w:val="Compact"/>
      </w:pPr>
      <w:r>
        <w:t xml:space="preserve">Ocean (Europe to China): 10,000 km (for intercontinental material sourcing)</w:t>
      </w:r>
    </w:p>
    <w:p>
      <w:pPr>
        <w:numPr>
          <w:ilvl w:val="1"/>
          <w:numId w:val="1004"/>
        </w:numPr>
        <w:pStyle w:val="Compact"/>
      </w:pPr>
      <w:r>
        <w:rPr>
          <w:bCs/>
          <w:b/>
        </w:rPr>
        <w:t xml:space="preserve">Downstream (Finished Product China to Europe Distribution Hub):</w:t>
      </w:r>
    </w:p>
    <w:p>
      <w:pPr>
        <w:numPr>
          <w:ilvl w:val="2"/>
          <w:numId w:val="1006"/>
        </w:numPr>
        <w:pStyle w:val="Compact"/>
      </w:pPr>
      <w:r>
        <w:t xml:space="preserve">Ocean (China to Europe): 10,000 km</w:t>
      </w:r>
    </w:p>
    <w:p>
      <w:pPr>
        <w:numPr>
          <w:ilvl w:val="2"/>
          <w:numId w:val="1006"/>
        </w:numPr>
        <w:pStyle w:val="Compact"/>
      </w:pPr>
      <w:r>
        <w:t xml:space="preserve">Road (Europe, to regional hubs): 1,000 km</w:t>
      </w:r>
    </w:p>
    <w:p>
      <w:pPr>
        <w:numPr>
          <w:ilvl w:val="0"/>
          <w:numId w:val="1003"/>
        </w:numPr>
        <w:pStyle w:val="Compact"/>
      </w:pPr>
      <w:r>
        <w:rPr>
          <w:bCs/>
          <w:b/>
        </w:rPr>
        <w:t xml:space="preserve">Last-Mile Delivery Channel (`Delivery Type` - Assumed):</w:t>
      </w:r>
      <w:r>
        <w:t xml:space="preserve"> </w:t>
      </w:r>
      <w:r>
        <w:t xml:space="preserve">Parcel delivery (Small Van, electric/hybrid where possible).</w:t>
      </w:r>
    </w:p>
    <w:p>
      <w:pPr>
        <w:pStyle w:val="FirstParagraph"/>
      </w:pPr>
      <w:r>
        <w:rPr>
          <w:bCs/>
          <w:b/>
        </w:rPr>
        <w:t xml:space="preserve">Assumed Emission Factors for Transport (based on DEFRA/Ecoinvent averages, illustrative):</w:t>
      </w:r>
    </w:p>
    <w:p>
      <w:pPr>
        <w:numPr>
          <w:ilvl w:val="0"/>
          <w:numId w:val="1007"/>
        </w:numPr>
        <w:pStyle w:val="Compact"/>
      </w:pPr>
      <w:r>
        <w:t xml:space="preserve">Road Freight (HGV, &gt;3.5-7.5t, average laden): 0.09 kgCO2e/tkm</w:t>
      </w:r>
    </w:p>
    <w:p>
      <w:pPr>
        <w:numPr>
          <w:ilvl w:val="0"/>
          <w:numId w:val="1007"/>
        </w:numPr>
        <w:pStyle w:val="Compact"/>
      </w:pPr>
      <w:r>
        <w:t xml:space="preserve">Ocean Freight (Container Ship): 0.01 kgCO2e/tkm</w:t>
      </w:r>
    </w:p>
    <w:p>
      <w:pPr>
        <w:numPr>
          <w:ilvl w:val="0"/>
          <w:numId w:val="1007"/>
        </w:numPr>
        <w:pStyle w:val="Compact"/>
      </w:pPr>
      <w:r>
        <w:t xml:space="preserve">Last-Mile Delivery (Small Van): 0.5 kgCO2e/parcel (fixed for delivery of 1 unit)</w:t>
      </w:r>
    </w:p>
    <w:p>
      <w:pPr>
        <w:pStyle w:val="FirstParagraph"/>
      </w:pPr>
      <w:r>
        <w:rPr>
          <w:bCs/>
          <w:b/>
        </w:rPr>
        <w:t xml:space="preserve">Assumed Product Weight for Transport:</w:t>
      </w:r>
      <w:r>
        <w:t xml:space="preserve"> </w:t>
      </w:r>
      <w:r>
        <w:t xml:space="preserve">1.0 kg (based on BOM components total weight for simplicity, assuming final product is similar).</w:t>
      </w:r>
    </w:p>
    <w:bookmarkEnd w:id="31"/>
    <w:bookmarkStart w:id="32" w:name="Xfd133e25c1350ab57e98c47dce4c7ada6f9ff4d"/>
    <w:p>
      <w:pPr>
        <w:pStyle w:val="Heading3"/>
      </w:pPr>
      <w:r>
        <w:t xml:space="preserve">2.3. Production Energy (Scope 2 &amp; Scope 3 Upstream F&amp;E)</w:t>
      </w:r>
    </w:p>
    <w:p>
      <w:pPr>
        <w:pStyle w:val="FirstParagraph"/>
      </w:pPr>
      <w:r>
        <w:t xml:space="preserve">The energy consumed during the manufacturing of "fvjtzwxkou" at the China facility is a key contributor to its footprint.</w:t>
      </w:r>
    </w:p>
    <w:p>
      <w:pPr>
        <w:numPr>
          <w:ilvl w:val="0"/>
          <w:numId w:val="1008"/>
        </w:numPr>
        <w:pStyle w:val="Compact"/>
      </w:pPr>
      <w:r>
        <w:rPr>
          <w:bCs/>
          <w:b/>
        </w:rPr>
        <w:t xml:space="preserve">Renewable Energy Usage (`jtmdqhowpj` - Assumed):</w:t>
      </w:r>
      <w:r>
        <w:t xml:space="preserve"> </w:t>
      </w:r>
      <w:r>
        <w:t xml:space="preserve">50%</w:t>
      </w:r>
    </w:p>
    <w:p>
      <w:pPr>
        <w:numPr>
          <w:ilvl w:val="0"/>
          <w:numId w:val="1008"/>
        </w:numPr>
        <w:pStyle w:val="Compact"/>
      </w:pPr>
      <w:r>
        <w:rPr>
          <w:bCs/>
          <w:b/>
        </w:rPr>
        <w:t xml:space="preserve">Energy Intensity (kWh/unit) (`pqmdesnejo` - Assumed):</w:t>
      </w:r>
      <w:r>
        <w:t xml:space="preserve"> </w:t>
      </w:r>
      <w:r>
        <w:t xml:space="preserve">10 kWh/unit</w:t>
      </w:r>
    </w:p>
    <w:p>
      <w:pPr>
        <w:pStyle w:val="FirstParagraph"/>
      </w:pPr>
      <w:r>
        <w:rPr>
          <w:bCs/>
          <w:b/>
        </w:rPr>
        <w:t xml:space="preserve">Assumed Emission Factors for Electricity (illustrative, China context):</w:t>
      </w:r>
    </w:p>
    <w:p>
      <w:pPr>
        <w:numPr>
          <w:ilvl w:val="0"/>
          <w:numId w:val="1009"/>
        </w:numPr>
        <w:pStyle w:val="Compact"/>
      </w:pPr>
      <w:r>
        <w:t xml:space="preserve">China Grid Electricity: 0.58 kgCO2e/kWh (Average from various sources, e.g., 0.556-0.6205 kgCO2e/kWh in 2019-2025)</w:t>
      </w:r>
    </w:p>
    <w:p>
      <w:pPr>
        <w:numPr>
          <w:ilvl w:val="0"/>
          <w:numId w:val="1009"/>
        </w:numPr>
        <w:pStyle w:val="Compact"/>
      </w:pPr>
      <w:r>
        <w:t xml:space="preserve">Renewable Electricity (e.g., wind/solar): 0.025 kgCO2e/kWh (Illustrative average for low-carbon sources)</w:t>
      </w:r>
    </w:p>
    <w:bookmarkEnd w:id="32"/>
    <w:bookmarkStart w:id="33" w:name="use-phase-scope-3---use-of-sold-products"/>
    <w:p>
      <w:pPr>
        <w:pStyle w:val="Heading3"/>
      </w:pPr>
      <w:r>
        <w:t xml:space="preserve">2.4. Use Phase (Scope 3 - Use of Sold Products)</w:t>
      </w:r>
    </w:p>
    <w:p>
      <w:pPr>
        <w:pStyle w:val="FirstParagraph"/>
      </w:pPr>
      <w:r>
        <w:t xml:space="preserve">The energy consumed by the product during its operational lifetime contributes to its overall footprint.</w:t>
      </w:r>
    </w:p>
    <w:p>
      <w:pPr>
        <w:numPr>
          <w:ilvl w:val="0"/>
          <w:numId w:val="1010"/>
        </w:numPr>
        <w:pStyle w:val="Compact"/>
      </w:pPr>
      <w:r>
        <w:rPr>
          <w:bCs/>
          <w:b/>
        </w:rPr>
        <w:t xml:space="preserve">Product Lifespan (`ofnqinfulu` - Assumed):</w:t>
      </w:r>
      <w:r>
        <w:t xml:space="preserve"> </w:t>
      </w:r>
      <w:r>
        <w:t xml:space="preserve">5 years</w:t>
      </w:r>
    </w:p>
    <w:p>
      <w:pPr>
        <w:numPr>
          <w:ilvl w:val="0"/>
          <w:numId w:val="1010"/>
        </w:numPr>
        <w:pStyle w:val="Compact"/>
      </w:pPr>
      <w:r>
        <w:rPr>
          <w:bCs/>
          <w:b/>
        </w:rPr>
        <w:t xml:space="preserve">Energy Consumption in Use (`fmkgozkkvm` - Assumed):</w:t>
      </w:r>
      <w:r>
        <w:t xml:space="preserve"> </w:t>
      </w:r>
      <w:r>
        <w:t xml:space="preserve">5 kWh/year</w:t>
      </w:r>
    </w:p>
    <w:p>
      <w:pPr>
        <w:pStyle w:val="FirstParagraph"/>
      </w:pPr>
      <w:r>
        <w:rPr>
          <w:bCs/>
          <w:b/>
        </w:rPr>
        <w:t xml:space="preserve">Assumed Electricity Mix for Use Phase (illustrative, Europe focused):</w:t>
      </w:r>
      <w:r>
        <w:t xml:space="preserve"> </w:t>
      </w:r>
      <w:r>
        <w:t xml:space="preserve">This would depend on the end-user\'s region. For a Europe-focused supply chain, we will assume an average European grid mix or a mix reflecting likely end-user locations. For illustrative purposes, we will use a generic grid mix of 0.3 kgCO2e/kWh.</w:t>
      </w:r>
    </w:p>
    <w:bookmarkEnd w:id="33"/>
    <w:bookmarkStart w:id="34" w:name="Xc3456190584f7ccba4e436ac9dec7d219320967"/>
    <w:p>
      <w:pPr>
        <w:pStyle w:val="Heading3"/>
      </w:pPr>
      <w:r>
        <w:t xml:space="preserve">2.5. End-of-Life (EoL) Scenarios (Scope 3 - End-of-Life Treatment of Sold Products)</w:t>
      </w:r>
    </w:p>
    <w:p>
      <w:pPr>
        <w:pStyle w:val="FirstParagraph"/>
      </w:pPr>
      <w:r>
        <w:t xml:space="preserve">The fate of the product after its useful life impacts the PCF, with circularity offering significant reductions.</w:t>
      </w:r>
    </w:p>
    <w:p>
      <w:pPr>
        <w:numPr>
          <w:ilvl w:val="0"/>
          <w:numId w:val="1011"/>
        </w:numPr>
        <w:pStyle w:val="Compact"/>
      </w:pPr>
      <w:r>
        <w:rPr>
          <w:bCs/>
          <w:b/>
        </w:rPr>
        <w:t xml:space="preserve">Recyclability Percentage (`tfwnnxnrrj` - Assumed):</w:t>
      </w:r>
      <w:r>
        <w:t xml:space="preserve"> </w:t>
      </w:r>
      <w:r>
        <w:t xml:space="preserve">70%</w:t>
      </w:r>
    </w:p>
    <w:p>
      <w:pPr>
        <w:numPr>
          <w:ilvl w:val="0"/>
          <w:numId w:val="1011"/>
        </w:numPr>
        <w:pStyle w:val="Compact"/>
      </w:pPr>
      <w:r>
        <w:rPr>
          <w:bCs/>
          <w:b/>
        </w:rPr>
        <w:t xml:space="preserve">Circular/Take-back Programs (`iumweowgpo` - Assumed):</w:t>
      </w:r>
      <w:r>
        <w:t xml:space="preserve"> </w:t>
      </w:r>
      <w:r>
        <w:t xml:space="preserve">Yes, established program. This implies a higher likelihood of materials entering recycling streams.</w:t>
      </w:r>
    </w:p>
    <w:p>
      <w:pPr>
        <w:pStyle w:val="FirstParagraph"/>
      </w:pPr>
      <w:r>
        <w:rPr>
          <w:bCs/>
          <w:b/>
        </w:rPr>
        <w:t xml:space="preserve">Assumed EoL Emission Factors/Credits:</w:t>
      </w:r>
    </w:p>
    <w:p>
      <w:pPr>
        <w:numPr>
          <w:ilvl w:val="0"/>
          <w:numId w:val="1012"/>
        </w:numPr>
        <w:pStyle w:val="Compact"/>
      </w:pPr>
      <w:r>
        <w:t xml:space="preserve">Recycling (Plastics &amp; Metals): A credit is typically applied for avoided virgin material production. For illustrative purposes, we assume a net saving of 1.5 kgCO2e/kg for recycled plastics (compared to virgin production, considering recycling process emissions) and 2.0 kgCO2e/kg for recycled metals (highly variable by metal type and process).</w:t>
      </w:r>
    </w:p>
    <w:p>
      <w:pPr>
        <w:numPr>
          <w:ilvl w:val="0"/>
          <w:numId w:val="1012"/>
        </w:numPr>
        <w:pStyle w:val="Compact"/>
      </w:pPr>
      <w:r>
        <w:t xml:space="preserve">Landfill (for non-recycled portion, e.g., 30%): Assumed emission factor of 0.033 kgCO2e/kg for general waste.</w:t>
      </w:r>
    </w:p>
    <w:p>
      <w:r>
        <w:pict>
          <v:rect style="width:0;height:1.5pt" o:hralign="center" o:hrstd="t" o:hr="t"/>
        </w:pict>
      </w:r>
    </w:p>
    <w:bookmarkEnd w:id="34"/>
    <w:bookmarkEnd w:id="35"/>
    <w:bookmarkStart w:id="41" w:name="X2c62247db19834934c44c209ad423fe06ba5c64"/>
    <w:p>
      <w:pPr>
        <w:pStyle w:val="Heading2"/>
      </w:pPr>
      <w:r>
        <w:t xml:space="preserve">4. Calculation of Emissions (Activity * Emission Factor = CO2e)</w:t>
      </w:r>
    </w:p>
    <w:p>
      <w:pPr>
        <w:pStyle w:val="FirstParagraph"/>
      </w:pPr>
      <w:r>
        <w:t xml:space="preserve">All calculations are performed using the "Activity * Emission Factor = CO2e" principle. All results are expressed in Carbon Dioxide Equivalents (CO2e), encompassing CO2, CH4, N2O, and F-gases, converted using their respective Global Warming Potentials (GWPs).</w:t>
      </w:r>
    </w:p>
    <w:bookmarkStart w:id="36" w:name="Xa111c33373dac3ae283c85af7b697b19c0e6b27"/>
    <w:p>
      <w:pPr>
        <w:pStyle w:val="Heading3"/>
      </w:pPr>
      <w:r>
        <w:t xml:space="preserve">4.1. Material Acquisition &amp; Pre-processing (Scope 3)</w:t>
      </w:r>
    </w:p>
    <w:p>
      <w:pPr>
        <w:pStyle w:val="FirstParagraph"/>
      </w:pPr>
      <w:r>
        <w:t xml:space="preserve">Based on the provided BOM, the \'Total Carbon\' values are directly used.</w:t>
      </w:r>
    </w:p>
    <w:p>
      <w:pPr>
        <w:numPr>
          <w:ilvl w:val="0"/>
          <w:numId w:val="1013"/>
        </w:numPr>
        <w:pStyle w:val="Compact"/>
      </w:pPr>
      <w:r>
        <w:t xml:space="preserve">Plastic Casing: 1.25 kgCO2e</w:t>
      </w:r>
    </w:p>
    <w:p>
      <w:pPr>
        <w:numPr>
          <w:ilvl w:val="0"/>
          <w:numId w:val="1013"/>
        </w:numPr>
        <w:pStyle w:val="Compact"/>
      </w:pPr>
      <w:r>
        <w:t xml:space="preserve">Circuit Board: 1.50 kgCO2e</w:t>
      </w:r>
    </w:p>
    <w:p>
      <w:pPr>
        <w:numPr>
          <w:ilvl w:val="0"/>
          <w:numId w:val="1013"/>
        </w:numPr>
        <w:pStyle w:val="Compact"/>
      </w:pPr>
      <w:r>
        <w:t xml:space="preserve">Copper Wire: 0.15 kgCO2e</w:t>
      </w:r>
    </w:p>
    <w:p>
      <w:pPr>
        <w:numPr>
          <w:ilvl w:val="0"/>
          <w:numId w:val="1013"/>
        </w:numPr>
        <w:pStyle w:val="Compact"/>
      </w:pPr>
      <w:r>
        <w:t xml:space="preserve">Packaging (Cardboard): 0.20 kgCO2e</w:t>
      </w:r>
    </w:p>
    <w:p>
      <w:pPr>
        <w:pStyle w:val="FirstParagraph"/>
      </w:pPr>
      <w:r>
        <w:rPr>
          <w:bCs/>
          <w:b/>
        </w:rPr>
        <w:t xml:space="preserve">Total Material Impact: 3.10 kgCO2e</w:t>
      </w:r>
    </w:p>
    <w:bookmarkEnd w:id="36"/>
    <w:bookmarkStart w:id="37" w:name="transportation-emissions-scope-3"/>
    <w:p>
      <w:pPr>
        <w:pStyle w:val="Heading3"/>
      </w:pPr>
      <w:r>
        <w:t xml:space="preserve">4.2. Transportation Emissions (Scope 3)</w:t>
      </w:r>
    </w:p>
    <w:p>
      <w:pPr>
        <w:pStyle w:val="FirstParagraph"/>
      </w:pPr>
      <w:r>
        <w:rPr>
          <w:bCs/>
          <w:b/>
        </w:rPr>
        <w:t xml:space="preserve">Upstream Transport (Materials to China Factory):</w:t>
      </w:r>
    </w:p>
    <w:p>
      <w:pPr>
        <w:numPr>
          <w:ilvl w:val="0"/>
          <w:numId w:val="1014"/>
        </w:numPr>
        <w:pStyle w:val="Compact"/>
      </w:pPr>
      <w:r>
        <w:t xml:space="preserve">Road (500 km * 1.0 kg * 0.09 kgCO2e/tkm / 1000 kg/t) = 0.045 kgCO2e</w:t>
      </w:r>
    </w:p>
    <w:p>
      <w:pPr>
        <w:numPr>
          <w:ilvl w:val="0"/>
          <w:numId w:val="1014"/>
        </w:numPr>
        <w:pStyle w:val="Compact"/>
      </w:pPr>
      <w:r>
        <w:t xml:space="preserve">Ocean (10,000 km * 1.0 kg * 0.01 kgCO2e/tkm / 1000 kg/t) = 0.10 kgCO2e</w:t>
      </w:r>
    </w:p>
    <w:p>
      <w:pPr>
        <w:pStyle w:val="FirstParagraph"/>
      </w:pPr>
      <w:r>
        <w:rPr>
          <w:bCs/>
          <w:b/>
        </w:rPr>
        <w:t xml:space="preserve">Downstream Transport (Finished Product China to Europe Distribution Hub):</w:t>
      </w:r>
    </w:p>
    <w:p>
      <w:pPr>
        <w:numPr>
          <w:ilvl w:val="0"/>
          <w:numId w:val="1015"/>
        </w:numPr>
        <w:pStyle w:val="Compact"/>
      </w:pPr>
      <w:r>
        <w:t xml:space="preserve">Ocean (10,000 km * 1.0 kg * 0.01 kgCO2e/tkm / 1000 kg/t) = 0.10 kgCO2e</w:t>
      </w:r>
    </w:p>
    <w:p>
      <w:pPr>
        <w:numPr>
          <w:ilvl w:val="0"/>
          <w:numId w:val="1015"/>
        </w:numPr>
        <w:pStyle w:val="Compact"/>
      </w:pPr>
      <w:r>
        <w:t xml:space="preserve">Road (1,000 km * 1.0 kg * 0.09 kgCO2e/tkm / 1000 kg/t) = 0.09 kgCO2e</w:t>
      </w:r>
    </w:p>
    <w:p>
      <w:pPr>
        <w:pStyle w:val="FirstParagraph"/>
      </w:pPr>
      <w:r>
        <w:rPr>
          <w:bCs/>
          <w:b/>
        </w:rPr>
        <w:t xml:space="preserve">Last-Mile Delivery:</w:t>
      </w:r>
    </w:p>
    <w:p>
      <w:pPr>
        <w:numPr>
          <w:ilvl w:val="0"/>
          <w:numId w:val="1016"/>
        </w:numPr>
        <w:pStyle w:val="Compact"/>
      </w:pPr>
      <w:r>
        <w:t xml:space="preserve">Parcel Delivery: 1.0 unit * 0.5 kgCO2e/parcel = 0.50 kgCO2e</w:t>
      </w:r>
    </w:p>
    <w:p>
      <w:pPr>
        <w:pStyle w:val="FirstParagraph"/>
      </w:pPr>
      <w:r>
        <w:rPr>
          <w:bCs/>
          <w:b/>
        </w:rPr>
        <w:t xml:space="preserve">Total Transportation Impact: 0.045 + 0.10 + 0.10 + 0.09 + 0.50 = 0.835 kgCO2e</w:t>
      </w:r>
    </w:p>
    <w:bookmarkEnd w:id="37"/>
    <w:bookmarkStart w:id="38" w:name="production-energy-emissions-scope-2"/>
    <w:p>
      <w:pPr>
        <w:pStyle w:val="Heading3"/>
      </w:pPr>
      <w:r>
        <w:t xml:space="preserve">4.3. Production Energy Emissions (Scope 2)</w:t>
      </w:r>
    </w:p>
    <w:p>
      <w:pPr>
        <w:pStyle w:val="FirstParagraph"/>
      </w:pPr>
      <w:r>
        <w:t xml:space="preserve">Energy Intensity: 10 kWh/unit</w:t>
      </w:r>
    </w:p>
    <w:p>
      <w:pPr>
        <w:numPr>
          <w:ilvl w:val="0"/>
          <w:numId w:val="1017"/>
        </w:numPr>
        <w:pStyle w:val="Compact"/>
      </w:pPr>
      <w:r>
        <w:t xml:space="preserve">Renewable Energy Portion: 10 kWh * 50% = 5 kWh</w:t>
      </w:r>
    </w:p>
    <w:p>
      <w:pPr>
        <w:numPr>
          <w:ilvl w:val="0"/>
          <w:numId w:val="1017"/>
        </w:numPr>
        <w:pStyle w:val="Compact"/>
      </w:pPr>
      <w:r>
        <w:t xml:space="preserve">Grid Electricity Portion: 10 kWh * 50% = 5 kWh</w:t>
      </w:r>
    </w:p>
    <w:p>
      <w:pPr>
        <w:pStyle w:val="FirstParagraph"/>
      </w:pPr>
      <w:r>
        <w:t xml:space="preserve">Emissions:</w:t>
      </w:r>
    </w:p>
    <w:p>
      <w:pPr>
        <w:numPr>
          <w:ilvl w:val="0"/>
          <w:numId w:val="1018"/>
        </w:numPr>
        <w:pStyle w:val="Compact"/>
      </w:pPr>
      <w:r>
        <w:t xml:space="preserve">Renewable: 5 kWh * 0.025 kgCO2e/kWh = 0.125 kgCO2e</w:t>
      </w:r>
    </w:p>
    <w:p>
      <w:pPr>
        <w:numPr>
          <w:ilvl w:val="0"/>
          <w:numId w:val="1018"/>
        </w:numPr>
        <w:pStyle w:val="Compact"/>
      </w:pPr>
      <w:r>
        <w:t xml:space="preserve">Grid (China): 5 kWh * 0.58 kgCO2e/kWh = 2.90 kgCO2e</w:t>
      </w:r>
    </w:p>
    <w:p>
      <w:pPr>
        <w:pStyle w:val="FirstParagraph"/>
      </w:pPr>
      <w:r>
        <w:rPr>
          <w:bCs/>
          <w:b/>
        </w:rPr>
        <w:t xml:space="preserve">Total Production Energy Impact: 0.125 + 2.90 = 3.025 kgCO2e</w:t>
      </w:r>
    </w:p>
    <w:bookmarkEnd w:id="38"/>
    <w:bookmarkStart w:id="39" w:name="use-phase-emissions-scope-3"/>
    <w:p>
      <w:pPr>
        <w:pStyle w:val="Heading3"/>
      </w:pPr>
      <w:r>
        <w:t xml:space="preserve">4.4. Use Phase Emissions (Scope 3)</w:t>
      </w:r>
    </w:p>
    <w:p>
      <w:pPr>
        <w:pStyle w:val="FirstParagraph"/>
      </w:pPr>
      <w:r>
        <w:t xml:space="preserve">Total Energy Consumption in Use: 5 kWh/year * 5 years = 25 kWh</w:t>
      </w:r>
    </w:p>
    <w:p>
      <w:pPr>
        <w:pStyle w:val="BodyText"/>
      </w:pPr>
      <w:r>
        <w:t xml:space="preserve">Emissions:</w:t>
      </w:r>
    </w:p>
    <w:p>
      <w:pPr>
        <w:numPr>
          <w:ilvl w:val="0"/>
          <w:numId w:val="1019"/>
        </w:numPr>
        <w:pStyle w:val="Compact"/>
      </w:pPr>
      <w:r>
        <w:t xml:space="preserve">25 kWh * 0.3 kgCO2e/kWh (European average grid) = 7.50 kgCO2e</w:t>
      </w:r>
    </w:p>
    <w:p>
      <w:pPr>
        <w:pStyle w:val="FirstParagraph"/>
      </w:pPr>
      <w:r>
        <w:rPr>
          <w:bCs/>
          <w:b/>
        </w:rPr>
        <w:t xml:space="preserve">Total Use Phase Impact: 7.50 kgCO2e</w:t>
      </w:r>
    </w:p>
    <w:bookmarkEnd w:id="39"/>
    <w:bookmarkStart w:id="40" w:name="end-of-life-emissions-credits-scope-3"/>
    <w:p>
      <w:pPr>
        <w:pStyle w:val="Heading3"/>
      </w:pPr>
      <w:r>
        <w:t xml:space="preserve">4.5. End-of-Life Emissions / Credits (Scope 3)</w:t>
      </w:r>
    </w:p>
    <w:p>
      <w:pPr>
        <w:pStyle w:val="FirstParagraph"/>
      </w:pPr>
      <w:r>
        <w:t xml:space="preserve">Assuming the total mass of the product at EoL is 1.0 kg (from BOM components).</w:t>
      </w:r>
    </w:p>
    <w:p>
      <w:pPr>
        <w:numPr>
          <w:ilvl w:val="0"/>
          <w:numId w:val="1020"/>
        </w:numPr>
        <w:pStyle w:val="Compact"/>
      </w:pPr>
      <w:r>
        <w:t xml:space="preserve">Recycled Portion: 1.0 kg * 70% = 0.7 kg</w:t>
      </w:r>
    </w:p>
    <w:p>
      <w:pPr>
        <w:numPr>
          <w:ilvl w:val="1"/>
          <w:numId w:val="1021"/>
        </w:numPr>
        <w:pStyle w:val="Compact"/>
      </w:pPr>
      <w:r>
        <w:t xml:space="preserve">Assuming an average credit for recycling a mixed product (plastics/metals) of 1.75 kgCO2e/kg (illustrative average of assumed plastic and metal recycling savings).</w:t>
      </w:r>
    </w:p>
    <w:p>
      <w:pPr>
        <w:numPr>
          <w:ilvl w:val="1"/>
          <w:numId w:val="1021"/>
        </w:numPr>
        <w:pStyle w:val="Compact"/>
      </w:pPr>
      <w:r>
        <w:t xml:space="preserve">Credit: 0.7 kg * (-1.75 kgCO2e/kg) = -1.225 kgCO2e (negative value indicates avoided emissions/savings)</w:t>
      </w:r>
    </w:p>
    <w:p>
      <w:pPr>
        <w:numPr>
          <w:ilvl w:val="0"/>
          <w:numId w:val="1020"/>
        </w:numPr>
        <w:pStyle w:val="Compact"/>
      </w:pPr>
      <w:r>
        <w:t xml:space="preserve">Landfilled Portion: 1.0 kg * 30% = 0.3 kg</w:t>
      </w:r>
    </w:p>
    <w:p>
      <w:pPr>
        <w:numPr>
          <w:ilvl w:val="1"/>
          <w:numId w:val="1022"/>
        </w:numPr>
        <w:pStyle w:val="Compact"/>
      </w:pPr>
      <w:r>
        <w:t xml:space="preserve">Emissions: 0.3 kg * 0.033 kgCO2e/kg = 0.0099 kgCO2e</w:t>
      </w:r>
    </w:p>
    <w:p>
      <w:pPr>
        <w:pStyle w:val="FirstParagraph"/>
      </w:pPr>
      <w:r>
        <w:rPr>
          <w:bCs/>
          <w:b/>
        </w:rPr>
        <w:t xml:space="preserve">Total End-of-Life Impact: -1.225 + 0.0099 = -1.2151 kgCO2e</w:t>
      </w:r>
    </w:p>
    <w:p>
      <w:r>
        <w:pict>
          <v:rect style="width:0;height:1.5pt" o:hralign="center" o:hrstd="t" o:hr="t"/>
        </w:pict>
      </w:r>
    </w:p>
    <w:bookmarkEnd w:id="40"/>
    <w:bookmarkEnd w:id="41"/>
    <w:bookmarkStart w:id="42" w:name="X0801a43b5f484bcb0ade16fee3dcbeb2295377e"/>
    <w:p>
      <w:pPr>
        <w:pStyle w:val="Heading2"/>
      </w:pPr>
      <w:r>
        <w:t xml:space="preserve">Total Product Carbon Footprint (PCF) for fvjtzwxkou</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 per functional unit (1.0 unit)</w:t>
            </w:r>
          </w:p>
        </w:tc>
      </w:tr>
      <w:tr>
        <w:tc>
          <w:tcPr/>
          <w:p>
            <w:pPr>
              <w:pStyle w:val="Compact"/>
              <w:jc w:val="left"/>
            </w:pPr>
            <w:r>
              <w:t xml:space="preserve">Material Acquisition &amp; Pre-processing</w:t>
            </w:r>
          </w:p>
        </w:tc>
        <w:tc>
          <w:tcPr/>
          <w:p>
            <w:pPr>
              <w:pStyle w:val="Compact"/>
              <w:jc w:val="left"/>
            </w:pPr>
            <w:r>
              <w:t xml:space="preserve">Scope 3 (Purchased Goods &amp; Services)</w:t>
            </w:r>
          </w:p>
        </w:tc>
        <w:tc>
          <w:tcPr/>
          <w:p>
            <w:pPr>
              <w:pStyle w:val="Compact"/>
              <w:jc w:val="left"/>
            </w:pPr>
            <w:r>
              <w:t xml:space="preserve">3.10</w:t>
            </w:r>
          </w:p>
        </w:tc>
      </w:tr>
      <w:tr>
        <w:tc>
          <w:tcPr/>
          <w:p>
            <w:pPr>
              <w:pStyle w:val="Compact"/>
              <w:jc w:val="left"/>
            </w:pPr>
            <w:r>
              <w:t xml:space="preserve">Transportation (Upstream &amp; Downstream)</w:t>
            </w:r>
          </w:p>
        </w:tc>
        <w:tc>
          <w:tcPr/>
          <w:p>
            <w:pPr>
              <w:pStyle w:val="Compact"/>
              <w:jc w:val="left"/>
            </w:pPr>
            <w:r>
              <w:t xml:space="preserve">Scope 3 (Upstream &amp; Downstream T&amp;D)</w:t>
            </w:r>
          </w:p>
        </w:tc>
        <w:tc>
          <w:tcPr/>
          <w:p>
            <w:pPr>
              <w:pStyle w:val="Compact"/>
              <w:jc w:val="left"/>
            </w:pPr>
            <w:r>
              <w:t xml:space="preserve">0.835</w:t>
            </w:r>
          </w:p>
        </w:tc>
      </w:tr>
      <w:tr>
        <w:tc>
          <w:tcPr/>
          <w:p>
            <w:pPr>
              <w:pStyle w:val="Compact"/>
              <w:jc w:val="left"/>
            </w:pPr>
            <w:r>
              <w:t xml:space="preserve">Production Energy (Manufacturing in China)</w:t>
            </w:r>
          </w:p>
        </w:tc>
        <w:tc>
          <w:tcPr/>
          <w:p>
            <w:pPr>
              <w:pStyle w:val="Compact"/>
              <w:jc w:val="left"/>
            </w:pPr>
            <w:r>
              <w:t xml:space="preserve">Scope 2 (Purchased Electricity)</w:t>
            </w:r>
          </w:p>
        </w:tc>
        <w:tc>
          <w:tcPr/>
          <w:p>
            <w:pPr>
              <w:pStyle w:val="Compact"/>
              <w:jc w:val="left"/>
            </w:pPr>
            <w:r>
              <w:t xml:space="preserve">3.025</w:t>
            </w:r>
          </w:p>
        </w:tc>
      </w:tr>
      <w:tr>
        <w:tc>
          <w:tcPr/>
          <w:p>
            <w:pPr>
              <w:pStyle w:val="Compact"/>
              <w:jc w:val="left"/>
            </w:pPr>
            <w:r>
              <w:t xml:space="preserve">Use Phase</w:t>
            </w:r>
          </w:p>
        </w:tc>
        <w:tc>
          <w:tcPr/>
          <w:p>
            <w:pPr>
              <w:pStyle w:val="Compact"/>
              <w:jc w:val="left"/>
            </w:pPr>
            <w:r>
              <w:t xml:space="preserve">Scope 3 (Use of Sold Products)</w:t>
            </w:r>
          </w:p>
        </w:tc>
        <w:tc>
          <w:tcPr/>
          <w:p>
            <w:pPr>
              <w:pStyle w:val="Compact"/>
              <w:jc w:val="left"/>
            </w:pPr>
            <w:r>
              <w:t xml:space="preserve">7.50</w:t>
            </w:r>
          </w:p>
        </w:tc>
      </w:tr>
      <w:tr>
        <w:tc>
          <w:tcPr/>
          <w:p>
            <w:pPr>
              <w:pStyle w:val="Compact"/>
              <w:jc w:val="left"/>
            </w:pPr>
            <w:r>
              <w:t xml:space="preserve">End-of-Life Treatment</w:t>
            </w:r>
          </w:p>
        </w:tc>
        <w:tc>
          <w:tcPr/>
          <w:p>
            <w:pPr>
              <w:pStyle w:val="Compact"/>
              <w:jc w:val="left"/>
            </w:pPr>
            <w:r>
              <w:t xml:space="preserve">Scope 3 (End-of-Life of Sold Products)</w:t>
            </w:r>
          </w:p>
        </w:tc>
        <w:tc>
          <w:tcPr/>
          <w:p>
            <w:pPr>
              <w:pStyle w:val="Compact"/>
              <w:jc w:val="left"/>
            </w:pPr>
            <w:r>
              <w:t xml:space="preserve">-1.2151</w:t>
            </w:r>
          </w:p>
        </w:tc>
      </w:tr>
      <w:tr>
        <w:tc>
          <w:tcPr>
            <w:gridSpan w:val="2"/>
          </w:tcPr>
          <w:p>
            <w:pPr>
              <w:pStyle w:val="Compact"/>
              <w:jc w:val="right"/>
            </w:pPr>
            <w:r>
              <w:t xml:space="preserve">Total PCF for fvjtzwxkou:</w:t>
            </w:r>
          </w:p>
        </w:tc>
        <w:tc>
          <w:tcPr/>
          <w:p>
            <w:pPr>
              <w:pStyle w:val="Compact"/>
              <w:jc w:val="left"/>
            </w:pPr>
            <w:r>
              <w:t xml:space="preserve">13.2449 kgCO2e</w:t>
            </w:r>
          </w:p>
        </w:tc>
      </w:tr>
    </w:tbl>
    <w:p>
      <w:pPr>
        <w:pStyle w:val="BodyText"/>
      </w:pPr>
      <w:r>
        <w:t xml:space="preserve">The total Product Carbon Footprint for one functional unit of "fvjtzwxkou" is approximately</w:t>
      </w:r>
      <w:r>
        <w:t xml:space="preserve"> </w:t>
      </w:r>
      <w:r>
        <w:rPr>
          <w:bCs/>
          <w:b/>
        </w:rPr>
        <w:t xml:space="preserve">13.24 kgCO2e</w:t>
      </w:r>
      <w:r>
        <w:t xml:space="preserve">.</w:t>
      </w:r>
    </w:p>
    <w:p>
      <w:r>
        <w:pict>
          <v:rect style="width:0;height:1.5pt" o:hralign="center" o:hrstd="t" o:hr="t"/>
        </w:pict>
      </w:r>
    </w:p>
    <w:bookmarkEnd w:id="42"/>
    <w:bookmarkStart w:id="46"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Based on this analysis, the primary emission hotspots for "fvjtzwxkou" are:</w:t>
      </w:r>
    </w:p>
    <w:p>
      <w:pPr>
        <w:numPr>
          <w:ilvl w:val="0"/>
          <w:numId w:val="1023"/>
        </w:numPr>
        <w:pStyle w:val="Compact"/>
      </w:pPr>
      <w:r>
        <w:rPr>
          <w:bCs/>
          <w:b/>
        </w:rPr>
        <w:t xml:space="preserve">Use Phase (7.50 kgCO2e):</w:t>
      </w:r>
      <w:r>
        <w:t xml:space="preserve"> </w:t>
      </w:r>
      <w:r>
        <w:t xml:space="preserve">This is the largest contributor, highlighting the importance of energy efficiency during the product\'s operational life. Even with assumed European grid mix, continuous energy consumption over 5 years significantly impacts the footprint.</w:t>
      </w:r>
    </w:p>
    <w:p>
      <w:pPr>
        <w:numPr>
          <w:ilvl w:val="0"/>
          <w:numId w:val="1023"/>
        </w:numPr>
        <w:pStyle w:val="Compact"/>
      </w:pPr>
      <w:r>
        <w:rPr>
          <w:bCs/>
          <w:b/>
        </w:rPr>
        <w:t xml:space="preserve">Material Acquisition &amp; Pre-processing (3.10 kgCO2e):</w:t>
      </w:r>
      <w:r>
        <w:t xml:space="preserve"> </w:t>
      </w:r>
      <w:r>
        <w:t xml:space="preserve">The raw materials, particularly plastics and electronics, contribute significantly. This indicates opportunities for material substitution, lightweighting, and sourcing materials with lower embedded carbon.</w:t>
      </w:r>
    </w:p>
    <w:p>
      <w:pPr>
        <w:numPr>
          <w:ilvl w:val="0"/>
          <w:numId w:val="1023"/>
        </w:numPr>
        <w:pStyle w:val="Compact"/>
      </w:pPr>
      <w:r>
        <w:rPr>
          <w:bCs/>
          <w:b/>
        </w:rPr>
        <w:t xml:space="preserve">Production Energy (3.025 kgCO2e):</w:t>
      </w:r>
      <w:r>
        <w:t xml:space="preserve"> </w:t>
      </w:r>
      <w:r>
        <w:t xml:space="preserve">Despite 50% renewable energy usage, the remaining grid electricity from China\'s mix has a notable impact. Increasing renewable energy procurement or improving energy efficiency at the production facility would reduce this.</w:t>
      </w:r>
    </w:p>
    <w:p>
      <w:pPr>
        <w:pStyle w:val="FirstParagraph"/>
      </w:pPr>
      <w:r>
        <w:t xml:space="preserve">Transportation, while relevant, contributes a smaller percentage to the overall PCF in this illustrative example, especially for inbound materials due to higher density/efficiency assumptions for ocean freight. Last-mile delivery, however, represents a significant portion of transport emissions on a per-unit basis.</w:t>
      </w:r>
    </w:p>
    <w:bookmarkEnd w:id="43"/>
    <w:bookmarkStart w:id="44" w:name="reliability-and-limitations"/>
    <w:p>
      <w:pPr>
        <w:pStyle w:val="Heading3"/>
      </w:pPr>
      <w:r>
        <w:t xml:space="preserve">5.2. Reliability and Limitations</w:t>
      </w:r>
    </w:p>
    <w:p>
      <w:pPr>
        <w:pStyle w:val="FirstParagraph"/>
      </w:pPr>
      <w:r>
        <w:t xml:space="preserve">The reliability of this PCF is influenced by several factors:</w:t>
      </w:r>
    </w:p>
    <w:p>
      <w:pPr>
        <w:numPr>
          <w:ilvl w:val="0"/>
          <w:numId w:val="1024"/>
        </w:numPr>
        <w:pStyle w:val="Compact"/>
      </w:pPr>
      <w:r>
        <w:rPr>
          <w:bCs/>
          <w:b/>
        </w:rPr>
        <w:t xml:space="preserve">Data Quality:</w:t>
      </w:r>
      <w:r>
        <w:t xml:space="preserve"> </w:t>
      </w:r>
      <w:r>
        <w:t xml:space="preserve">While the methodology adheres to GHG Protocol, the accuracy of the final result heavily depends on the quality of primary data. For this report, illustrative assumptions for placeholder values (e.g., specific transport distances, energy consumption figures, and EoL scenarios) have been made, which may differ from actual operational data.</w:t>
      </w:r>
    </w:p>
    <w:p>
      <w:pPr>
        <w:numPr>
          <w:ilvl w:val="0"/>
          <w:numId w:val="1024"/>
        </w:numPr>
        <w:pStyle w:val="Compact"/>
      </w:pPr>
      <w:r>
        <w:rPr>
          <w:bCs/>
          <w:b/>
        </w:rPr>
        <w:t xml:space="preserve">Emission Factors:</w:t>
      </w:r>
      <w:r>
        <w:t xml:space="preserve"> </w:t>
      </w:r>
      <w:r>
        <w:t xml:space="preserve">Industry-standard emission factors (e.g., from Ecoinvent/DEFRA equivalents) have been used. However, these are averages and may not perfectly reflect the specific processes, suppliers, or regional contexts involved in yxlvteytxq\'s actual supply chain.</w:t>
      </w:r>
    </w:p>
    <w:p>
      <w:pPr>
        <w:numPr>
          <w:ilvl w:val="0"/>
          <w:numId w:val="1024"/>
        </w:numPr>
        <w:pStyle w:val="Compact"/>
      </w:pPr>
      <w:r>
        <w:rPr>
          <w:bCs/>
          <w:b/>
        </w:rPr>
        <w:t xml:space="preserve">System Boundary:</w:t>
      </w:r>
      <w:r>
        <w:t xml:space="preserve"> </w:t>
      </w:r>
      <w:r>
        <w:t xml:space="preserve">The "factory_gate" boundary extended to use and EoL provides a comprehensive product view. However, a full "cradle-to-grave" corporate LCA would include additional Scope 3 categories such as business travel, employee commuting, and capital goods, which are beyond the scope of this product-specific analysis but contribute to the overall corporate footprint.</w:t>
      </w:r>
    </w:p>
    <w:p>
      <w:pPr>
        <w:numPr>
          <w:ilvl w:val="0"/>
          <w:numId w:val="1024"/>
        </w:numPr>
        <w:pStyle w:val="Compact"/>
      </w:pPr>
      <w:r>
        <w:rPr>
          <w:bCs/>
          <w:b/>
        </w:rPr>
        <w:t xml:space="preserve">LSR Standard Application:</w:t>
      </w:r>
      <w:r>
        <w:t xml:space="preserve"> </w:t>
      </w:r>
      <w:r>
        <w:t xml:space="preserve">The LSR Standard\'s full implications for this product would require detailed data on land-use impacts of specific raw materials, which is beyond the scope of this illustrative report. It is acknowledged as an important future consideration.</w:t>
      </w:r>
    </w:p>
    <w:bookmarkEnd w:id="44"/>
    <w:bookmarkStart w:id="45" w:name="recommendations"/>
    <w:p>
      <w:pPr>
        <w:pStyle w:val="Heading3"/>
      </w:pPr>
      <w:r>
        <w:t xml:space="preserve">5.3. Recommendations</w:t>
      </w:r>
    </w:p>
    <w:p>
      <w:pPr>
        <w:pStyle w:val="FirstParagraph"/>
      </w:pPr>
      <w:r>
        <w:t xml:space="preserve">To reduce the PCF of "fvjtzwxkou," yxlvteytxq should focus on the following:</w:t>
      </w:r>
    </w:p>
    <w:p>
      <w:pPr>
        <w:numPr>
          <w:ilvl w:val="0"/>
          <w:numId w:val="1025"/>
        </w:numPr>
        <w:pStyle w:val="Compact"/>
      </w:pPr>
      <w:r>
        <w:rPr>
          <w:bCs/>
          <w:b/>
        </w:rPr>
        <w:t xml:space="preserve">Energy Efficiency in Use Phase:</w:t>
      </w:r>
      <w:r>
        <w:t xml:space="preserve"> </w:t>
      </w:r>
      <w:r>
        <w:t xml:space="preserve">Invest in R&amp;D to reduce the product\'s energy consumption during its lifespan. Educate end-users on efficient use.</w:t>
      </w:r>
    </w:p>
    <w:p>
      <w:pPr>
        <w:numPr>
          <w:ilvl w:val="0"/>
          <w:numId w:val="1025"/>
        </w:numPr>
        <w:pStyle w:val="Compact"/>
      </w:pPr>
      <w:r>
        <w:rPr>
          <w:bCs/>
          <w:b/>
        </w:rPr>
        <w:t xml:space="preserve">Sustainable Materials:</w:t>
      </w:r>
      <w:r>
        <w:t xml:space="preserve"> </w:t>
      </w:r>
      <w:r>
        <w:t xml:space="preserve">Explore alternative materials with lower embedded carbon, increase recycled content where feasible, and engage with suppliers for primary, low-carbon material data.</w:t>
      </w:r>
    </w:p>
    <w:p>
      <w:pPr>
        <w:numPr>
          <w:ilvl w:val="0"/>
          <w:numId w:val="1025"/>
        </w:numPr>
        <w:pStyle w:val="Compact"/>
      </w:pPr>
      <w:r>
        <w:rPr>
          <w:bCs/>
          <w:b/>
        </w:rPr>
        <w:t xml:space="preserve">Renewable Energy Integration:</w:t>
      </w:r>
      <w:r>
        <w:t xml:space="preserve"> </w:t>
      </w:r>
      <w:r>
        <w:t xml:space="preserve">Further increase the share of renewable energy at the manufacturing facility in China (Scope 2) and investigate suppliers\' renewable energy usage (Scope 3).</w:t>
      </w:r>
    </w:p>
    <w:p>
      <w:pPr>
        <w:numPr>
          <w:ilvl w:val="0"/>
          <w:numId w:val="1025"/>
        </w:numPr>
        <w:pStyle w:val="Compact"/>
      </w:pPr>
      <w:r>
        <w:rPr>
          <w:bCs/>
          <w:b/>
        </w:rPr>
        <w:t xml:space="preserve">Circular Economy:</w:t>
      </w:r>
      <w:r>
        <w:t xml:space="preserve"> </w:t>
      </w:r>
      <w:r>
        <w:t xml:space="preserve">Strengthen existing circular/take-back programs to maximize recyclability and material recovery, minimizing waste to landfill and ensuring a robust closed-loop system.</w:t>
      </w:r>
    </w:p>
    <w:p>
      <w:pPr>
        <w:numPr>
          <w:ilvl w:val="0"/>
          <w:numId w:val="1025"/>
        </w:numPr>
        <w:pStyle w:val="Compact"/>
      </w:pPr>
      <w:r>
        <w:rPr>
          <w:bCs/>
          <w:b/>
        </w:rPr>
        <w:t xml:space="preserve">Data Improvement:</w:t>
      </w:r>
      <w:r>
        <w:t xml:space="preserve"> </w:t>
      </w:r>
      <w:r>
        <w:t xml:space="preserve">Prioritize collecting primary data for all placeholder parameters (transport distances, actual energy consumption, specific material emission factors, EoL data) to enhance the accuracy and reliability of future PCF analyses.</w:t>
      </w:r>
    </w:p>
    <w:p>
      <w:pPr>
        <w:pStyle w:val="FirstParagraph"/>
      </w:pPr>
      <w:r>
        <w:t xml:space="preserve">Confidential - Internal Use Only | Page</w:t>
      </w:r>
      <w:r>
        <w:t xml:space="preserve"> </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fvjtzwxkou - yxlvteytxq</dc:title>
  <dc:creator/>
  <dc:description>High-detail Product Carbon Footprint (PCF) analysis for fvjtzwxkou, performed by Senior Sustainability Consultant gienyxhstn for yxlvteytxq, adhering to GHG Protocol standards and 2026 LSR updates.</dc:description>
  <dc:language>en</dc:language>
  <cp:keywords/>
  <dcterms:created xsi:type="dcterms:W3CDTF">2026-05-30T22:18:16Z</dcterms:created>
  <dcterms:modified xsi:type="dcterms:W3CDTF">2026-05-30T22:18:16Z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