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frozxjukln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frozxjukln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tvpsdngdnt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uxsoqjitrg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The calculations rely on illustrative data and assumptions where specific primary data</w:t>
      </w:r>
      <w:r>
        <w:t xml:space="preserve"> </w:t>
      </w:r>
      <w:r>
        <w:t xml:space="preserve">was not provided, and therefore should be considered indicative rather than absolute.</w:t>
      </w:r>
    </w:p>
    <w:bookmarkEnd w:id="20"/>
    <w:bookmarkStart w:id="21" w:name="Xfeb5f6232ac147a0f4223c6a7ea96f9de0efdd3"/>
    <w:p>
      <w:pPr>
        <w:pStyle w:val="Heading1"/>
      </w:pPr>
      <w:r>
        <w:t xml:space="preserve">Product Carbon Footprint Analysis Report: frozxjukln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27, 2026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 frozxjukln,</w:t>
      </w:r>
      <w:r>
        <w:t xml:space="preserve"> </w:t>
      </w:r>
      <w:r>
        <w:t xml:space="preserve">manufactured by tvpsdngdnt. The analysis, conducted by Senior Sustainability Consultant uxsoqjitrg,</w:t>
      </w:r>
      <w:r>
        <w:t xml:space="preserve"> </w:t>
      </w:r>
      <w:r>
        <w:t xml:space="preserve">adheres strictly to the Greenhouse Gas (GHG) Protocol, incorporating the latest 2026 Land Sector and Removals (LSR) Standard</w:t>
      </w:r>
      <w:r>
        <w:t xml:space="preserve"> </w:t>
      </w:r>
      <w:r>
        <w:t xml:space="preserve">updates and ensuring comprehensive Scope 3 coverage. The primary goal is to quantify the total greenhouse gas</w:t>
      </w:r>
      <w:r>
        <w:t xml:space="preserve"> </w:t>
      </w:r>
      <w:r>
        <w:t xml:space="preserve">emissions (expressed in CO2e) across the product\'s lifecycle, from raw material extraction to end-of-life.</w:t>
      </w:r>
      <w:r>
        <w:t xml:space="preserve"> </w:t>
      </w:r>
      <w:r>
        <w:t xml:space="preserve">Key emission hotspots are identified, and recommendations for emission reduction are provided.</w:t>
      </w:r>
      <w:r>
        <w:t xml:space="preserve"> </w:t>
      </w:r>
      <w:r>
        <w:t xml:space="preserve">The analysis reveals the significant environmental impact of material sourcing, manufacturing energy,</w:t>
      </w:r>
      <w:r>
        <w:t xml:space="preserve"> </w:t>
      </w:r>
      <w:r>
        <w:t xml:space="preserve">and the product\'s use phase, underscoring areas for strategic decarbonization efforts.</w:t>
      </w:r>
    </w:p>
    <w:bookmarkEnd w:id="22"/>
    <w:p>
      <w:r>
        <w:pict>
          <v:rect style="width:0;height:1.5pt" o:hralign="center" o:hrstd="t" o:hr="t"/>
        </w:pict>
      </w:r>
    </w:p>
    <w:bookmarkStart w:id="25" w:name="methodology-and-scope-definition"/>
    <w:p>
      <w:pPr>
        <w:pStyle w:val="Heading2"/>
      </w:pPr>
      <w:r>
        <w:t xml:space="preserve">Methodology and Scope Definition</w:t>
      </w:r>
    </w:p>
    <w:p>
      <w:pPr>
        <w:pStyle w:val="FirstParagraph"/>
      </w:pPr>
      <w:r>
        <w:t xml:space="preserve">The Product Carbon Footprint (PCF) analysis for frozxjukln follows a structured, five-step methodology</w:t>
      </w:r>
      <w:r>
        <w:t xml:space="preserve"> </w:t>
      </w:r>
      <w:r>
        <w:t xml:space="preserve">consistent with the GHG Protocol Product Standard.</w:t>
      </w:r>
    </w:p>
    <w:bookmarkStart w:id="24" w:name="define-scope"/>
    <w:p>
      <w:pPr>
        <w:pStyle w:val="Heading3"/>
      </w:pPr>
      <w:r>
        <w:t xml:space="preserve">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The functional unit for this analysis is 1.0 unit of frozxjukln.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A "Cradle-to-Grave" system boundary is applied, extending from raw material acquisition</w:t>
      </w:r>
      <w:r>
        <w:t xml:space="preserve"> </w:t>
      </w:r>
      <w:r>
        <w:t xml:space="preserve">through manufacturing, transportation, the product\'s use phase, and its end-of-life. While the specified boundary for initial production is \'factory_gate\',</w:t>
      </w:r>
      <w:r>
        <w:t xml:space="preserve"> </w:t>
      </w:r>
      <w:r>
        <w:t xml:space="preserve">the comprehensive analysis mandates inclusion of downstream stages to provide a holistic PCF.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</w:p>
    <w:p>
      <w:pPr>
        <w:numPr>
          <w:ilvl w:val="1"/>
          <w:numId w:val="1002"/>
        </w:numPr>
        <w:pStyle w:val="Compact"/>
      </w:pPr>
      <w:r>
        <w:t xml:space="preserve">Final Production Country: China</w:t>
      </w:r>
    </w:p>
    <w:p>
      <w:pPr>
        <w:numPr>
          <w:ilvl w:val="1"/>
          <w:numId w:val="1002"/>
        </w:numPr>
        <w:pStyle w:val="Compact"/>
      </w:pPr>
      <w:r>
        <w:t xml:space="preserve">Supply Chain Focus: Europe Focused (implying material sourcing from Europe and distribution/use in Europe).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are allocated directly to the functional unit. For shared processes (e.g., transport with mixed goods),</w:t>
      </w:r>
      <w:r>
        <w:t xml:space="preserve"> </w:t>
      </w:r>
      <w:r>
        <w:t xml:space="preserve">mass-based allocation is used.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The analysis strictly adheres to the</w:t>
      </w:r>
      <w:r>
        <w:t xml:space="preserve"> </w:t>
      </w:r>
      <w:hyperlink r:id="rId23">
        <w:r>
          <w:rPr>
            <w:rStyle w:val="Hyperlink"/>
          </w:rPr>
          <w:t xml:space="preserve">GHG Protocol Corporate Value Chain (Scope 3) Standard</w:t>
        </w:r>
      </w:hyperlink>
      <w:r>
        <w:t xml:space="preserve">. This includes</w:t>
      </w:r>
      <w:r>
        <w:t xml:space="preserve"> </w:t>
      </w:r>
      <w:r>
        <w:t xml:space="preserve">categorization of emissions into Scope 1 (direct emissions from owned or controlled sources), Scope 2 (indirect emissions from the generation of purchased energy),</w:t>
      </w:r>
      <w:r>
        <w:t xml:space="preserve"> </w:t>
      </w:r>
      <w:r>
        <w:t xml:space="preserve">and Scope 3 (all other indirect emissions that occur in the value chain).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The Land Sector and Removals (LSR) Standard, effective January 1, 2027, is considered in this report. This standard</w:t>
      </w:r>
      <w:r>
        <w:t xml:space="preserve"> </w:t>
      </w:r>
      <w:r>
        <w:t xml:space="preserve">provides accounting requirements for land-sector emissions and CO₂ removals, particularly from agricultural and land-use activities, as well as technological CO₂ removals.</w:t>
      </w:r>
      <w:r>
        <w:t xml:space="preserve"> </w:t>
      </w:r>
      <w:r>
        <w:t xml:space="preserve">While specific land-use data for frozxjukln\'s components is not provided, the principles of robust accounting for removals and land-based emissions are acknowledged for future detailed application.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In line with the 2026 GHG Protocol requirements, this report aims for at least 95% coverage of total relevant Scope 3 emissions.</w:t>
      </w:r>
      <w:r>
        <w:t xml:space="preserve"> </w:t>
      </w:r>
      <w:r>
        <w:t xml:space="preserve">Efforts have been made to quantify all significant indirect emission sources across the value chain.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31" w:name="Xfbce4699fa90a0f1de7a00743c67b930c4ba4da"/>
    <w:p>
      <w:pPr>
        <w:pStyle w:val="Heading2"/>
      </w:pPr>
      <w:r>
        <w:t xml:space="preserve">2. Map Lifecycle &amp; 3. Collect Data (LCI Inventory Stages and Data Points)</w:t>
      </w:r>
    </w:p>
    <w:p>
      <w:pPr>
        <w:pStyle w:val="FirstParagraph"/>
      </w:pPr>
      <w:r>
        <w:t xml:space="preserve">This section details the inventory data collected and the lifecycle stages mapped for frozxjukln,</w:t>
      </w:r>
      <w:r>
        <w:t xml:space="preserve"> </w:t>
      </w:r>
      <w:r>
        <w:t xml:space="preserve">including materials, production energy, transportation, use phase, and end-of-life scenarios.</w:t>
      </w:r>
      <w:r>
        <w:t xml:space="preserve"> </w:t>
      </w:r>
      <w:r>
        <w:t xml:space="preserve">Where primary data for specific parameters was not provided, industry averages or reasonable</w:t>
      </w:r>
      <w:r>
        <w:t xml:space="preserve"> </w:t>
      </w:r>
      <w:r>
        <w:t xml:space="preserve">estimates have been utilized, as noted.</w:t>
      </w:r>
    </w:p>
    <w:bookmarkStart w:id="26" w:name="Xbcf52ad8f4476bb6dc8b9f17d71103dd5a67151"/>
    <w:p>
      <w:pPr>
        <w:pStyle w:val="Heading3"/>
      </w:pPr>
      <w:r>
        <w:t xml:space="preserve">Detailed Bill of Materials (BOM) for frozxjukln</w:t>
      </w:r>
    </w:p>
    <w:p>
      <w:pPr>
        <w:pStyle w:val="FirstParagraph"/>
      </w:pPr>
      <w:r>
        <w:t xml:space="preserve">The following Bill of Materials (BOM) forms the basis for material impact calculation. The data provided</w:t>
      </w:r>
      <w:r>
        <w:t xml:space="preserve"> </w:t>
      </w:r>
      <w:r>
        <w:t xml:space="preserve">as `nmnetxos` has been interpreted into this structured format for high-accuracy assessment.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PCB 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 Fasteners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 Stamping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Metals/Polymers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Wire Drawing/Extrusion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Battery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(Recycled 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Manual (Recycled Paper)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</w:tr>
      <w:tr>
        <w:tc>
          <w:tcPr>
            <w:gridSpan w:val="4"/>
          </w:tcPr>
          <w:p>
            <w:pPr>
              <w:pStyle w:val="Compact"/>
              <w:jc w:val="right"/>
            </w:pPr>
            <w:r>
              <w:t xml:space="preserve">Total Material Weight: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 kg</w:t>
            </w:r>
          </w:p>
        </w:tc>
        <w:tc>
          <w:tcPr>
            <w:gridSpan w:val="2"/>
          </w:tcPr>
          <w:p>
            <w:pPr>
              <w:pStyle w:val="Compact"/>
              <w:jc w:val="right"/>
            </w:pPr>
            <w:r>
              <w:t xml:space="preserve">Total Material Carbon: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4.68 kgCO2e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Emission factors for materials are illustrative, representing typical industry averages (e.g., plastics ~2.5 kgCO2e/kg, electronics ~15-18 kgCO2e/kg, metals ~3.0 kgCO2e/kg, paper ~1.0 kgCO2e/kg) from various sources including Ecoinvent and DEFRA equivalents.</w:t>
      </w:r>
    </w:p>
    <w:bookmarkEnd w:id="26"/>
    <w:bookmarkStart w:id="27" w:name="production-phase-data"/>
    <w:p>
      <w:pPr>
        <w:pStyle w:val="Heading3"/>
      </w:pPr>
      <w:r>
        <w:t xml:space="preserve">Production Phase Data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lprhtjhsrt = 5 kWh/unit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fvzszxtvdj = 40%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Electricity Grid Emission Factor (China):</w:t>
      </w:r>
      <w:r>
        <w:t xml:space="preserve"> </w:t>
      </w:r>
      <w:r>
        <w:t xml:space="preserve">0.577 kg CO2e/kWh (average for China in 2023-2025). This value represents the national average electricity carbon footprint factor.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Non-Renewable Energy Portion:</w:t>
      </w:r>
      <w:r>
        <w:t xml:space="preserve"> </w:t>
      </w:r>
      <w:r>
        <w:t xml:space="preserve">100% - 40% = 60%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Emissions from Production Energy:</w:t>
      </w:r>
      <w:r>
        <w:br/>
      </w:r>
      <w:r>
        <w:t xml:space="preserve">(5 kWh/unit * 0.60 non-renewable) * 0.577 kgCO2e/kWh = 1.731 kgCO2e/unit</w:t>
      </w:r>
    </w:p>
    <w:bookmarkEnd w:id="27"/>
    <w:bookmarkStart w:id="28" w:name="transportation-data"/>
    <w:p>
      <w:pPr>
        <w:pStyle w:val="Heading3"/>
      </w:pPr>
      <w:r>
        <w:t xml:space="preserve">Transportation Data</w:t>
      </w:r>
    </w:p>
    <w:p>
      <w:pPr>
        <w:pStyle w:val="FirstParagraph"/>
      </w:pPr>
      <w:r>
        <w:t xml:space="preserve">The transport modes, distances, and delivery channels are incorporated into the supply chain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Upstream Transport (Materials from Europe to China factory):</w:t>
      </w:r>
    </w:p>
    <w:p>
      <w:pPr>
        <w:numPr>
          <w:ilvl w:val="1"/>
          <w:numId w:val="1005"/>
        </w:numPr>
        <w:pStyle w:val="Compact"/>
      </w:pPr>
      <w:r>
        <w:t xml:space="preserve">Mode: Select Mode = Sea Freight (Container Ship)</w:t>
      </w:r>
    </w:p>
    <w:p>
      <w:pPr>
        <w:numPr>
          <w:ilvl w:val="1"/>
          <w:numId w:val="1005"/>
        </w:numPr>
        <w:pStyle w:val="Compact"/>
      </w:pPr>
      <w:r>
        <w:t xml:space="preserve">Distance: fjdpstlwup = 15,000 km</w:t>
      </w:r>
    </w:p>
    <w:p>
      <w:pPr>
        <w:numPr>
          <w:ilvl w:val="1"/>
          <w:numId w:val="1005"/>
        </w:numPr>
        <w:pStyle w:val="Compact"/>
      </w:pPr>
      <w:r>
        <w:t xml:space="preserve">Assumed Product Weight for Transport (including packaging): 1.0 kg/unit (from BOM total)</w:t>
      </w:r>
    </w:p>
    <w:p>
      <w:pPr>
        <w:numPr>
          <w:ilvl w:val="1"/>
          <w:numId w:val="1005"/>
        </w:numPr>
        <w:pStyle w:val="Compact"/>
      </w:pPr>
      <w:r>
        <w:t xml:space="preserve">Sea Freight Emission Factor: 0.016 kg CO2e/tonne-km</w:t>
      </w:r>
    </w:p>
    <w:p>
      <w:pPr>
        <w:numPr>
          <w:ilvl w:val="1"/>
          <w:numId w:val="1005"/>
        </w:numPr>
        <w:pStyle w:val="Compact"/>
      </w:pPr>
      <w:r>
        <w:t xml:space="preserve">Emissions: (1.0 kg / 1000 kg/tonne) * 15,000 km * 0.016 kgCO2e/tonne-km = 0.24 kgCO2e/unit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Distribution Transport (Factory in China to Europe Distribution Hub):</w:t>
      </w:r>
    </w:p>
    <w:p>
      <w:pPr>
        <w:numPr>
          <w:ilvl w:val="1"/>
          <w:numId w:val="1006"/>
        </w:numPr>
        <w:pStyle w:val="Compact"/>
      </w:pPr>
      <w:r>
        <w:t xml:space="preserve">Mode: Select Mode = Sea Freight (Container Ship)</w:t>
      </w:r>
    </w:p>
    <w:p>
      <w:pPr>
        <w:numPr>
          <w:ilvl w:val="1"/>
          <w:numId w:val="1006"/>
        </w:numPr>
        <w:pStyle w:val="Compact"/>
      </w:pPr>
      <w:r>
        <w:t xml:space="preserve">Distance: 10,000 km (Illustrative, China to Europe)</w:t>
      </w:r>
    </w:p>
    <w:p>
      <w:pPr>
        <w:numPr>
          <w:ilvl w:val="1"/>
          <w:numId w:val="1006"/>
        </w:numPr>
        <w:pStyle w:val="Compact"/>
      </w:pPr>
      <w:r>
        <w:t xml:space="preserve">Sea Freight Emission Factor: 0.016 kg CO2e/tonne-km</w:t>
      </w:r>
    </w:p>
    <w:p>
      <w:pPr>
        <w:numPr>
          <w:ilvl w:val="1"/>
          <w:numId w:val="1006"/>
        </w:numPr>
        <w:pStyle w:val="Compact"/>
      </w:pPr>
      <w:r>
        <w:t xml:space="preserve">Emissions: (1.0 kg / 1000 kg/tonne) * 10,000 km * 0.016 kgCO2e/tonne-km = 0.16 kgCO2e/unit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(Europe Distribution Hub to Customer):</w:t>
      </w:r>
    </w:p>
    <w:p>
      <w:pPr>
        <w:numPr>
          <w:ilvl w:val="1"/>
          <w:numId w:val="1007"/>
        </w:numPr>
        <w:pStyle w:val="Compact"/>
      </w:pPr>
      <w:r>
        <w:t xml:space="preserve">Channel: Delivery Type = Parcel Service (Road Freight)</w:t>
      </w:r>
    </w:p>
    <w:p>
      <w:pPr>
        <w:numPr>
          <w:ilvl w:val="1"/>
          <w:numId w:val="1007"/>
        </w:numPr>
        <w:pStyle w:val="Compact"/>
      </w:pPr>
      <w:r>
        <w:t xml:space="preserve">Distance: 1,000 km (Illustrative average within Europe)</w:t>
      </w:r>
    </w:p>
    <w:p>
      <w:pPr>
        <w:numPr>
          <w:ilvl w:val="1"/>
          <w:numId w:val="1007"/>
        </w:numPr>
        <w:pStyle w:val="Compact"/>
      </w:pPr>
      <w:r>
        <w:t xml:space="preserve">Road Freight Emission Factor: 0.070 kg CO2e/tonne-km (general freight, conservative estimate)</w:t>
      </w:r>
    </w:p>
    <w:p>
      <w:pPr>
        <w:numPr>
          <w:ilvl w:val="1"/>
          <w:numId w:val="1007"/>
        </w:numPr>
        <w:pStyle w:val="Compact"/>
      </w:pPr>
      <w:r>
        <w:t xml:space="preserve">Emissions: (1.0 kg / 1000 kg/tonne) * 1,000 km * 0.070 kgCO2e/tonne-km = 0.07 kgCO2e/unit</w:t>
      </w:r>
    </w:p>
    <w:bookmarkEnd w:id="28"/>
    <w:bookmarkStart w:id="29" w:name="use-phase-data"/>
    <w:p>
      <w:pPr>
        <w:pStyle w:val="Heading3"/>
      </w:pPr>
      <w:r>
        <w:t xml:space="preserve">Use Phase Data</w:t>
      </w:r>
    </w:p>
    <w:p>
      <w:pPr>
        <w:pStyle w:val="FirstParagraph"/>
      </w:pPr>
      <w:r>
        <w:t xml:space="preserve">The use phase calculation is expanded using specific durability and consumption data.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ptqizpwjms = 5 years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ezrgwzmxfg = 10 kWh/year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Total Energy Consumption over Lifespan:</w:t>
      </w:r>
      <w:r>
        <w:t xml:space="preserve"> </w:t>
      </w:r>
      <w:r>
        <w:t xml:space="preserve">5 years * 10 kWh/year = 50 kWh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Electricity Grid Emission Factor (Europe):</w:t>
      </w:r>
      <w:r>
        <w:t xml:space="preserve"> </w:t>
      </w:r>
      <w:r>
        <w:t xml:space="preserve">0.181 kg CO2e/kWh (average for Europe in 2024). This factor is used because the supply chain focus is Europe and the product is assumed to be used there.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Emissions from Use Phase:</w:t>
      </w:r>
      <w:r>
        <w:t xml:space="preserve"> </w:t>
      </w:r>
      <w:r>
        <w:t xml:space="preserve">50 kWh * 0.181 kgCO2e/kWh = 9.05 kgCO2e/unit</w:t>
      </w:r>
    </w:p>
    <w:p>
      <w:pPr>
        <w:pStyle w:val="FirstParagraph"/>
      </w:pPr>
      <w:r>
        <w:rPr>
          <w:iCs/>
          <w:i/>
        </w:rPr>
        <w:t xml:space="preserve">Note: Emissions from the use of sold products are categorized under Scope 3, Category 11. These emissions occur when products consume energy or fuel during their use phase.</w:t>
      </w:r>
    </w:p>
    <w:bookmarkEnd w:id="29"/>
    <w:bookmarkStart w:id="30" w:name="end-of-life-eol-scenarios"/>
    <w:p>
      <w:pPr>
        <w:pStyle w:val="Heading3"/>
      </w:pPr>
      <w:r>
        <w:t xml:space="preserve">End-of-Life (EoL) Scenarios</w:t>
      </w:r>
    </w:p>
    <w:p>
      <w:pPr>
        <w:pStyle w:val="FirstParagraph"/>
      </w:pPr>
      <w:r>
        <w:t xml:space="preserve">EoL scenarios incorporate recyclability and circular economy impacts.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kqslimsvfv = 70%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wmslhuwdzp = tvpsdngdnt\'s Product Take-back and Refurbishment Program. This program aims to collect used products for material recovery and potential refurbishment, extending product life and closing material loops.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EoL Treatment Assumptions:</w:t>
      </w:r>
    </w:p>
    <w:p>
      <w:pPr>
        <w:numPr>
          <w:ilvl w:val="1"/>
          <w:numId w:val="1010"/>
        </w:numPr>
        <w:pStyle w:val="Compact"/>
      </w:pPr>
      <w:r>
        <w:t xml:space="preserve">70% of the product (by weight) is recycled.</w:t>
      </w:r>
    </w:p>
    <w:p>
      <w:pPr>
        <w:numPr>
          <w:ilvl w:val="1"/>
          <w:numId w:val="1010"/>
        </w:numPr>
        <w:pStyle w:val="Compact"/>
      </w:pPr>
      <w:r>
        <w:t xml:space="preserve">30% of the product (by weight) is disposed of (e.g., incinerated or landfilled).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EoL Emission/Credit Factors:</w:t>
      </w:r>
    </w:p>
    <w:p>
      <w:pPr>
        <w:numPr>
          <w:ilvl w:val="1"/>
          <w:numId w:val="1011"/>
        </w:numPr>
        <w:pStyle w:val="Compact"/>
      </w:pPr>
      <w:r>
        <w:t xml:space="preserve">Recycling Benefit: -0.5 kgCO2e/kg (illustrative credit for avoided virgin material production)</w:t>
      </w:r>
    </w:p>
    <w:p>
      <w:pPr>
        <w:numPr>
          <w:ilvl w:val="1"/>
          <w:numId w:val="1011"/>
        </w:numPr>
        <w:pStyle w:val="Compact"/>
      </w:pPr>
      <w:r>
        <w:t xml:space="preserve">Disposal Burden: 0.2 kgCO2e/kg (illustrative burden for incineration/landfill for residual waste)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Total Product Weight:</w:t>
      </w:r>
      <w:r>
        <w:t xml:space="preserve"> </w:t>
      </w:r>
      <w:r>
        <w:t xml:space="preserve">1.0 kg/unit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Emissions/Credits from EoL:</w:t>
      </w:r>
      <w:r>
        <w:br/>
      </w:r>
      <w:r>
        <w:t xml:space="preserve">(1.0 kg * 0.70 recycled) * (-0.5 kgCO2e/kg) + (1.0 kg * 0.30 disposed) * (0.2 kgCO2e/kg)</w:t>
      </w:r>
      <w:r>
        <w:br/>
      </w:r>
      <w:r>
        <w:t xml:space="preserve">= -0.35 kgCO2e + 0.06 kgCO2e = -0.29 kgCO2e/unit (Net Credit)</w:t>
      </w:r>
    </w:p>
    <w:bookmarkEnd w:id="30"/>
    <w:bookmarkEnd w:id="31"/>
    <w:p>
      <w:r>
        <w:pict>
          <v:rect style="width:0;height:1.5pt" o:hralign="center" o:hrstd="t" o:hr="t"/>
        </w:pict>
      </w:r>
    </w:p>
    <w:bookmarkStart w:id="35" w:name="Xb404f6bea4a0013006ec7a9103609d9ea6643c1"/>
    <w:p>
      <w:pPr>
        <w:pStyle w:val="Heading2"/>
      </w:pPr>
      <w:r>
        <w:t xml:space="preserve">4. Calculate Emissions (Activity * Emission Factor = CO2e)</w:t>
      </w:r>
    </w:p>
    <w:p>
      <w:pPr>
        <w:pStyle w:val="FirstParagraph"/>
      </w:pPr>
      <w:r>
        <w:t xml:space="preserve">The emissions for each life cycle stage are calculated and categorized according to the GHG Protocol.</w:t>
      </w:r>
    </w:p>
    <w:bookmarkStart w:id="32" w:name="summary-of-emissions-by-lifecycle-stage"/>
    <w:p>
      <w:pPr>
        <w:pStyle w:val="Heading3"/>
      </w:pPr>
      <w:r>
        <w:t xml:space="preserve">Summary of Emissions by Lifecycle Stage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Materials Acquisition &amp;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4.68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1: Purchased Goods and Services)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Energy (Electricity)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1.73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 (Purchased Electricity)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Upstream Transportation (Materials)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4: Upstream Transportation and Distribution)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Distribution Transportation (Product to Hub)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9: Downstream Transportation and Distribution)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Last-Mile Delivery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9: Downstream Transportation and Distribution)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 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11: Use of Sold Products)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Treatment (Net)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12: End-of-Life Treatment of Sold Products)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Product Carbon Footprint (PCF)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15.64</w:t>
            </w:r>
          </w:p>
        </w:tc>
        <w:tc>
          <w:tcPr/>
          <w:p>
            <w:pPr>
              <w:pStyle w:val="Compact"/>
            </w:pPr>
          </w:p>
        </w:tc>
      </w:tr>
    </w:tbl>
    <w:bookmarkEnd w:id="32"/>
    <w:bookmarkStart w:id="33" w:name="emissions-categorization-by-ghg-scope"/>
    <w:p>
      <w:pPr>
        <w:pStyle w:val="Heading3"/>
      </w:pPr>
      <w:r>
        <w:t xml:space="preserve">Emissions Categorization by GHG Scope</w:t>
      </w:r>
    </w:p>
    <w:p>
      <w:pPr>
        <w:pStyle w:val="FirstParagraph"/>
      </w:pPr>
      <w:r>
        <w:t xml:space="preserve">This analysis focuses on a product-level footprint. Direct Scope 1 emissions, typically from factory-owned</w:t>
      </w:r>
      <w:r>
        <w:t xml:space="preserve"> </w:t>
      </w:r>
      <w:r>
        <w:t xml:space="preserve">fuel combustion (e.g., boilers for heat), are assumed to be negligible for the unit-level PCF based on the \'factory_gate\' boundary focus for production and lack of specific data.</w:t>
      </w:r>
      <w:r>
        <w:t xml:space="preserve"> </w:t>
      </w:r>
      <w:r>
        <w:t xml:space="preserve">However, a full corporate inventory for tvpsdngdnt would include these.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Scope 1 Emissions:</w:t>
      </w:r>
      <w:r>
        <w:t xml:space="preserve"> </w:t>
      </w:r>
      <w:r>
        <w:t xml:space="preserve">0.00 kgCO2e/unit (Assumed negligible for product-level PCF without specific direct combustion data)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Scope 2 Emissions (Purchased Electricity):</w:t>
      </w:r>
      <w:r>
        <w:t xml:space="preserve"> </w:t>
      </w:r>
      <w:r>
        <w:t xml:space="preserve">1.73 kgCO2e/unit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Scope 3 Emissions (Value Chain):</w:t>
      </w:r>
    </w:p>
    <w:p>
      <w:pPr>
        <w:numPr>
          <w:ilvl w:val="1"/>
          <w:numId w:val="1013"/>
        </w:numPr>
        <w:pStyle w:val="Compact"/>
      </w:pPr>
      <w:r>
        <w:t xml:space="preserve">Category 1 (Purchased Goods and Services - Materials): 4.68 kgCO2e/unit</w:t>
      </w:r>
    </w:p>
    <w:p>
      <w:pPr>
        <w:numPr>
          <w:ilvl w:val="1"/>
          <w:numId w:val="1013"/>
        </w:numPr>
        <w:pStyle w:val="Compact"/>
      </w:pPr>
      <w:r>
        <w:t xml:space="preserve">Category 4 (Upstream Transportation and Distribution): 0.24 kgCO2e/unit</w:t>
      </w:r>
    </w:p>
    <w:p>
      <w:pPr>
        <w:numPr>
          <w:ilvl w:val="1"/>
          <w:numId w:val="1013"/>
        </w:numPr>
        <w:pStyle w:val="Compact"/>
      </w:pPr>
      <w:r>
        <w:t xml:space="preserve">Category 9 (Downstream Transportation and Distribution): 0.16 kgCO2e/unit (Product to Hub) + 0.07 kgCO2e/unit (Last-Mile) = 0.23 kgCO2e/unit</w:t>
      </w:r>
    </w:p>
    <w:p>
      <w:pPr>
        <w:numPr>
          <w:ilvl w:val="1"/>
          <w:numId w:val="1013"/>
        </w:numPr>
        <w:pStyle w:val="Compact"/>
      </w:pPr>
      <w:r>
        <w:t xml:space="preserve">Category 11 (Use of Sold Products): 9.05 kgCO2e/unit</w:t>
      </w:r>
    </w:p>
    <w:p>
      <w:pPr>
        <w:numPr>
          <w:ilvl w:val="1"/>
          <w:numId w:val="1013"/>
        </w:numPr>
        <w:pStyle w:val="Compact"/>
      </w:pPr>
      <w:r>
        <w:t xml:space="preserve">Category 12 (End-of-Life Treatment of Sold Products): -0.29 kgCO2e/unit</w:t>
      </w:r>
    </w:p>
    <w:p>
      <w:pPr>
        <w:numPr>
          <w:ilvl w:val="1"/>
          <w:numId w:val="1013"/>
        </w:numPr>
        <w:pStyle w:val="Compact"/>
      </w:pPr>
      <w:r>
        <w:rPr>
          <w:bCs/>
          <w:b/>
        </w:rPr>
        <w:t xml:space="preserve">Total Scope 3:</w:t>
      </w:r>
      <w:r>
        <w:t xml:space="preserve"> </w:t>
      </w:r>
      <w:r>
        <w:t xml:space="preserve">4.68 + 0.24 + 0.23 + 9.05 - 0.29 = 13.91 kgCO2e/unit</w:t>
      </w:r>
    </w:p>
    <w:p>
      <w:pPr>
        <w:pStyle w:val="FirstParagraph"/>
      </w:pPr>
      <w:r>
        <w:rPr>
          <w:bCs/>
          <w:b/>
        </w:rPr>
        <w:t xml:space="preserve">Total Product Carbon Footprint:</w:t>
      </w:r>
      <w:r>
        <w:t xml:space="preserve"> </w:t>
      </w:r>
      <w:r>
        <w:t xml:space="preserve">0.00 (Scope 1) + 1.73 (Scope 2) + 13.91 (Scope 3) =</w:t>
      </w:r>
      <w:r>
        <w:t xml:space="preserve"> </w:t>
      </w:r>
      <w:r>
        <w:rPr>
          <w:bCs/>
          <w:b/>
        </w:rPr>
        <w:t xml:space="preserve">15.64 kgCO2e/unit</w:t>
      </w:r>
    </w:p>
    <w:bookmarkEnd w:id="33"/>
    <w:bookmarkStart w:id="34" w:name="ghg-protocol-2026-updates-application"/>
    <w:p>
      <w:pPr>
        <w:pStyle w:val="Heading3"/>
      </w:pPr>
      <w:r>
        <w:t xml:space="preserve">GHG Protocol 2026 Updates Application</w:t>
      </w:r>
    </w:p>
    <w:p>
      <w:pPr>
        <w:pStyle w:val="FirstParagraph"/>
      </w:pPr>
      <w:r>
        <w:t xml:space="preserve">The GHG Protocol revisions for 2026 emphasize enhanced data quality, expanded boundary setting, and a 95% completeness threshold for Scope 3 emissions.</w:t>
      </w:r>
      <w:r>
        <w:t xml:space="preserve"> </w:t>
      </w:r>
      <w:r>
        <w:t xml:space="preserve">This analysis, by including all major lifecycle stages (materials, production, all transport, use, and end-of-life),</w:t>
      </w:r>
      <w:r>
        <w:t xml:space="preserve"> </w:t>
      </w:r>
      <w:r>
        <w:t xml:space="preserve">aims to meet the 95% coverage requirement for Scope 3. The use of specific activity data where possible (e.g., BOM quantities, energy consumption)</w:t>
      </w:r>
      <w:r>
        <w:t xml:space="preserve"> </w:t>
      </w:r>
      <w:r>
        <w:t xml:space="preserve">moves towards the mandatory data disaggregation by source type.</w:t>
      </w:r>
    </w:p>
    <w:p>
      <w:pPr>
        <w:pStyle w:val="BodyText"/>
      </w:pPr>
      <w:r>
        <w:t xml:space="preserve">The Land Sector and Removals (LSR) Standard, published January 30, 2026, and effective January 1, 2027, addresses land emissions and CO₂ removals.</w:t>
      </w:r>
      <w:r>
        <w:t xml:space="preserve"> </w:t>
      </w:r>
      <w:r>
        <w:t xml:space="preserve">While direct land-use emissions are not detailed for frozxjukln, the EoL recycling benefits align with the LSR\'s focus on carbon removals and circularity impacts,</w:t>
      </w:r>
      <w:r>
        <w:t xml:space="preserve"> </w:t>
      </w:r>
      <w:r>
        <w:t xml:space="preserve">providing a framework for transparent reporting on such activities. The LSR standard applies to agricultural emissions and removals and CO₂ removal technologies but not forestry or non-productive land uses.</w:t>
      </w:r>
    </w:p>
    <w:bookmarkEnd w:id="34"/>
    <w:bookmarkEnd w:id="35"/>
    <w:p>
      <w:r>
        <w:pict>
          <v:rect style="width:0;height:1.5pt" o:hralign="center" o:hrstd="t" o:hr="t"/>
        </w:pict>
      </w:r>
    </w:p>
    <w:bookmarkStart w:id="38" w:name="review-report"/>
    <w:p>
      <w:pPr>
        <w:pStyle w:val="Heading2"/>
      </w:pPr>
      <w:r>
        <w:t xml:space="preserve">5. Review &amp; Report</w:t>
      </w:r>
    </w:p>
    <w:bookmarkStart w:id="36" w:name="emission-hotspots"/>
    <w:p>
      <w:pPr>
        <w:pStyle w:val="Heading3"/>
      </w:pPr>
      <w:r>
        <w:t xml:space="preserve">Emission Hotspots</w:t>
      </w:r>
    </w:p>
    <w:p>
      <w:pPr>
        <w:pStyle w:val="FirstParagraph"/>
      </w:pPr>
      <w:r>
        <w:t xml:space="preserve">The primary emission hotspots for frozxjukln are identified as follows: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Product Use Phase (9.05 kgCO2e/unit):</w:t>
      </w:r>
      <w:r>
        <w:t xml:space="preserve"> </w:t>
      </w:r>
      <w:r>
        <w:t xml:space="preserve">This stage represents the largest contributor to the overall PCF, primarily due to the</w:t>
      </w:r>
      <w:r>
        <w:t xml:space="preserve"> </w:t>
      </w:r>
      <w:r>
        <w:t xml:space="preserve">electricity consumption over the product\'s 5-year lifespan, even with Europe\'s relatively cleaner grid mix. This highlights the importance of</w:t>
      </w:r>
      <w:r>
        <w:t xml:space="preserve"> </w:t>
      </w:r>
      <w:r>
        <w:t xml:space="preserve">energy efficiency in product design and the decarbonization of energy grids.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Materials Acquisition &amp; Processing (4.68 kgCO2e/unit):</w:t>
      </w:r>
      <w:r>
        <w:t xml:space="preserve"> </w:t>
      </w:r>
      <w:r>
        <w:t xml:space="preserve">The raw materials, particularly electronic components and plastics,</w:t>
      </w:r>
      <w:r>
        <w:t xml:space="preserve"> </w:t>
      </w:r>
      <w:r>
        <w:t xml:space="preserve">contribute significantly. This underscores the need for sustainable material sourcing, use of recycled content, and design for reduced material intensity.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Production Energy (1.73 kgCO2e/unit):</w:t>
      </w:r>
      <w:r>
        <w:t xml:space="preserve"> </w:t>
      </w:r>
      <w:r>
        <w:t xml:space="preserve">Despite 40% renewable energy usage, the remaining grid electricity from China still</w:t>
      </w:r>
      <w:r>
        <w:t xml:space="preserve"> </w:t>
      </w:r>
      <w:r>
        <w:t xml:space="preserve">represents a notable emission source. Further increasing renewable energy procurement or investing in on-site renewables for the production facility is crucial.</w:t>
      </w:r>
    </w:p>
    <w:bookmarkEnd w:id="36"/>
    <w:bookmarkStart w:id="37" w:name="data-reliability-and-recommendations"/>
    <w:p>
      <w:pPr>
        <w:pStyle w:val="Heading3"/>
      </w:pPr>
      <w:r>
        <w:t xml:space="preserve">Data Reliability and Recommendations</w:t>
      </w:r>
    </w:p>
    <w:p>
      <w:pPr>
        <w:pStyle w:val="FirstParagraph"/>
      </w:pPr>
      <w:r>
        <w:t xml:space="preserve">The reliability of this report is directly tied to the quality and specificity of the input data.</w:t>
      </w:r>
      <w:r>
        <w:t xml:space="preserve"> </w:t>
      </w:r>
      <w:r>
        <w:t xml:space="preserve">As many parameters were placeholders, the emission factors used are generalized industry averages.</w:t>
      </w:r>
      <w:r>
        <w:t xml:space="preserve"> </w:t>
      </w:r>
      <w:r>
        <w:t xml:space="preserve">For a more precise and auditable PCF, tvpsdngdnt is recommended to: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Collect Primary Data:</w:t>
      </w:r>
      <w:r>
        <w:t xml:space="preserve"> </w:t>
      </w:r>
      <w:r>
        <w:t xml:space="preserve">Engage directly with suppliers to obtain product-specific and process-specific</w:t>
      </w:r>
      <w:r>
        <w:t xml:space="preserve"> </w:t>
      </w:r>
      <w:r>
        <w:t xml:space="preserve">emission data for materials and components, especially for high-impact items like electronics. The 2026 Scope 3 revisions</w:t>
      </w:r>
      <w:r>
        <w:t xml:space="preserve"> </w:t>
      </w:r>
      <w:r>
        <w:t xml:space="preserve">emphasize mandatory disaggregation by data type, promoting primary data collection over spend-based estimates.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Verify Energy Consumption:</w:t>
      </w:r>
      <w:r>
        <w:t xml:space="preserve"> </w:t>
      </w:r>
      <w:r>
        <w:t xml:space="preserve">Conduct detailed measurements of energy consumption in both the production and use phases.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Optimize Logistics:</w:t>
      </w:r>
      <w:r>
        <w:t xml:space="preserve"> </w:t>
      </w:r>
      <w:r>
        <w:t xml:space="preserve">Explore opportunities to shift to lower-emission transport modes (e.g., rail over road for longer distances in Europe)</w:t>
      </w:r>
      <w:r>
        <w:t xml:space="preserve"> </w:t>
      </w:r>
      <w:r>
        <w:t xml:space="preserve">and optimize transport routes and load factors.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Further develop and promote the "tvpsdngdnt\'s Product Take-back and Refurbishment Program"</w:t>
      </w:r>
      <w:r>
        <w:t xml:space="preserve"> </w:t>
      </w:r>
      <w:r>
        <w:t xml:space="preserve">to maximize product lifespan and material recycling, ensuring robust tracking of avoided emissions.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Eco-Design Initiatives:</w:t>
      </w:r>
      <w:r>
        <w:t xml:space="preserve"> </w:t>
      </w:r>
      <w:r>
        <w:t xml:space="preserve">Prioritize design for energy efficiency in the use phase and material circularity (durability, repairability, recyclability)</w:t>
      </w:r>
      <w:r>
        <w:t xml:space="preserve"> </w:t>
      </w:r>
      <w:r>
        <w:t xml:space="preserve">to reduce the most significant hotspots.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LSR Standard Integration:</w:t>
      </w:r>
      <w:r>
        <w:t xml:space="preserve"> </w:t>
      </w:r>
      <w:r>
        <w:t xml:space="preserve">If any components or manufacturing processes involve agricultural products or land-use intensive materials,</w:t>
      </w:r>
      <w:r>
        <w:t xml:space="preserve"> </w:t>
      </w:r>
      <w:r>
        <w:t xml:space="preserve">integrate the full requirements of the 2026 LSR Standard for more accurate accounting of land-related emissions and removals.</w:t>
      </w:r>
    </w:p>
    <w:bookmarkEnd w:id="37"/>
    <w:bookmarkEnd w:id="38"/>
    <w:p>
      <w:pPr>
        <w:pStyle w:val="FirstParagraph"/>
      </w:pPr>
      <w:r>
        <w:t xml:space="preserve">Confidential - Internal Use Only | Page</w:t>
      </w:r>
      <w:r>
        <w:t xml:space="preserve"> </w:t>
      </w:r>
      <w:r>
        <w:t xml:space="preserve">1</w:t>
      </w:r>
      <w:r>
        <w:t xml:space="preserve"> </w:t>
      </w:r>
      <w:r>
        <w:t xml:space="preserve">of</w:t>
      </w:r>
      <w:r>
        <w:t xml:space="preserve"> </w:t>
      </w:r>
      <w:r>
        <w:t xml:space="preserve">X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ghgprotocol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ghgprotocol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Report for frozxjukln</dc:title>
  <dc:creator/>
  <dc:description>Detailed Product Carbon Footprint (PCF) analysis report for frozxjukln by Senior Sustainability Consultant uxsoqjitrg, adhering to GHG Protocol standards and 2026 updates.</dc:description>
  <dc:language>en</dc:language>
  <cp:keywords/>
  <dcterms:created xsi:type="dcterms:W3CDTF">2026-07-15T18:01:41Z</dcterms:created>
  <dcterms:modified xsi:type="dcterms:W3CDTF">2026-07-15T18:01:41Z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