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Forged</w:t>
      </w:r>
      <w:r>
        <w:t xml:space="preserve"> </w:t>
      </w:r>
      <w:r>
        <w:t xml:space="preserve">Steel</w:t>
      </w:r>
      <w:r>
        <w:t xml:space="preserve"> </w:t>
      </w:r>
      <w:r>
        <w:t xml:space="preserve">Component</w:t>
      </w:r>
      <w:r>
        <w:t xml:space="preserve"> </w:t>
      </w:r>
      <w:r>
        <w:t xml:space="preserve">-</w:t>
      </w:r>
      <w:r>
        <w:t xml:space="preserve"> </w:t>
      </w:r>
      <w:r>
        <w:t xml:space="preserve">ISO</w:t>
      </w:r>
      <w:r>
        <w:t xml:space="preserve"> </w:t>
      </w:r>
      <w:r>
        <w:t xml:space="preserve">14064</w:t>
      </w:r>
      <w:r>
        <w:t xml:space="preserve"> </w:t>
      </w:r>
      <w:r>
        <w:t xml:space="preserve">Compliance</w:t>
      </w:r>
    </w:p>
    <w:p>
      <w:pPr>
        <w:pStyle w:val="FirstParagraph"/>
      </w:pPr>
      <w:r>
        <w:t xml:space="preserve">businessanalytiq.com</w:t>
      </w:r>
    </w:p>
    <w:p>
      <w:pPr>
        <w:pStyle w:val="BodyText"/>
      </w:pPr>
      <w:r>
        <w:t xml:space="preserve">Verification &amp; GHG Accounting Dossier</w:t>
      </w:r>
    </w:p>
    <w:p>
      <w:pPr>
        <w:pStyle w:val="BodyText"/>
      </w:pPr>
      <w:r>
        <w:t xml:space="preserve">Product Carbon Footprint (PCF) Technical Report</w:t>
      </w:r>
    </w:p>
    <w:p>
      <w:pPr>
        <w:pStyle w:val="BodyText"/>
      </w:pPr>
      <w:r>
        <w:t xml:space="preserve">Cradle-to-Gate Life Cycle Greenhouse Gas Quantification for Hot Forged Steel Components</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 xml:space="preserve">Product / Target Commodity:</w:t>
            </w:r>
          </w:p>
        </w:tc>
        <w:tc>
          <w:tcPr/>
          <w:p>
            <w:pPr>
              <w:pStyle w:val="Compact"/>
              <w:jc w:val="left"/>
            </w:pPr>
            <w:r>
              <w:t xml:space="preserve">Engineered Hot Forged Steel Component</w:t>
            </w:r>
          </w:p>
        </w:tc>
      </w:tr>
      <w:tr>
        <w:tc>
          <w:tcPr/>
          <w:p>
            <w:pPr>
              <w:pStyle w:val="Compact"/>
              <w:jc w:val="left"/>
            </w:pPr>
            <w:r>
              <w:t xml:space="preserve">Functional Unit:</w:t>
            </w:r>
          </w:p>
        </w:tc>
        <w:tc>
          <w:tcPr/>
          <w:p>
            <w:pPr>
              <w:pStyle w:val="Compact"/>
              <w:jc w:val="left"/>
            </w:pPr>
            <w:r>
              <w:t xml:space="preserve">1.0 kg finished forged product (at factory gate)</w:t>
            </w:r>
          </w:p>
        </w:tc>
      </w:tr>
      <w:tr>
        <w:tc>
          <w:tcPr/>
          <w:p>
            <w:pPr>
              <w:pStyle w:val="Compact"/>
              <w:jc w:val="left"/>
            </w:pPr>
            <w:r>
              <w:t xml:space="preserve">Accounting Standard:</w:t>
            </w:r>
          </w:p>
        </w:tc>
        <w:tc>
          <w:tcPr/>
          <w:p>
            <w:pPr>
              <w:pStyle w:val="Compact"/>
              <w:jc w:val="left"/>
            </w:pPr>
            <w:r>
              <w:rPr>
                <w:bCs/>
                <w:b/>
              </w:rPr>
              <w:t xml:space="preserve">ISO 14064 (ISO 14064-1:2018 / ISO 14067 Harmonized)</w:t>
            </w:r>
          </w:p>
        </w:tc>
      </w:tr>
      <w:tr>
        <w:tc>
          <w:tcPr/>
          <w:p>
            <w:pPr>
              <w:pStyle w:val="Compact"/>
              <w:jc w:val="left"/>
            </w:pPr>
            <w:r>
              <w:t xml:space="preserve">System Boundary:</w:t>
            </w:r>
          </w:p>
        </w:tc>
        <w:tc>
          <w:tcPr/>
          <w:p>
            <w:pPr>
              <w:pStyle w:val="Compact"/>
              <w:jc w:val="left"/>
            </w:pPr>
            <w:r>
              <w:t xml:space="preserve">Cradle-to-Gate (Factory Gate, Finland)</w:t>
            </w:r>
          </w:p>
        </w:tc>
      </w:tr>
      <w:tr>
        <w:tc>
          <w:tcPr/>
          <w:p>
            <w:pPr>
              <w:pStyle w:val="Compact"/>
              <w:jc w:val="left"/>
            </w:pPr>
            <w:r>
              <w:t xml:space="preserve">Manufacturing Location:</w:t>
            </w:r>
          </w:p>
        </w:tc>
        <w:tc>
          <w:tcPr/>
          <w:p>
            <w:pPr>
              <w:pStyle w:val="Compact"/>
              <w:jc w:val="left"/>
            </w:pPr>
            <w:r>
              <w:t xml:space="preserve">Finland (Final Forging, Heat Treatment, Machining)</w:t>
            </w:r>
          </w:p>
        </w:tc>
      </w:tr>
      <w:tr>
        <w:tc>
          <w:tcPr/>
          <w:p>
            <w:pPr>
              <w:pStyle w:val="Compact"/>
              <w:jc w:val="left"/>
            </w:pPr>
            <w:r>
              <w:t xml:space="preserve">Supply Chain Geographies:</w:t>
            </w:r>
          </w:p>
        </w:tc>
        <w:tc>
          <w:tcPr/>
          <w:p>
            <w:pPr>
              <w:pStyle w:val="Compact"/>
              <w:jc w:val="left"/>
            </w:pPr>
            <w:r>
              <w:t xml:space="preserve">Asia-Focused (Upstream Raw Steel Billet Production)</w:t>
            </w:r>
          </w:p>
        </w:tc>
      </w:tr>
      <w:tr>
        <w:tc>
          <w:tcPr/>
          <w:p>
            <w:pPr>
              <w:pStyle w:val="Compact"/>
              <w:jc w:val="left"/>
            </w:pPr>
            <w:r>
              <w:t xml:space="preserve">Intermodal Logistics:</w:t>
            </w:r>
          </w:p>
        </w:tc>
        <w:tc>
          <w:tcPr/>
          <w:p>
            <w:pPr>
              <w:pStyle w:val="Compact"/>
              <w:jc w:val="left"/>
            </w:pPr>
            <w:r>
              <w:t xml:space="preserve">Maritime Sea Freight (10,000 km) + Feeder Road Drayage</w:t>
            </w:r>
          </w:p>
        </w:tc>
      </w:tr>
      <w:tr>
        <w:tc>
          <w:tcPr/>
          <w:p>
            <w:pPr>
              <w:pStyle w:val="Compact"/>
              <w:jc w:val="left"/>
            </w:pPr>
            <w:r>
              <w:t xml:space="preserve">Assurance Level:</w:t>
            </w:r>
          </w:p>
        </w:tc>
        <w:tc>
          <w:tcPr/>
          <w:p>
            <w:pPr>
              <w:pStyle w:val="Compact"/>
              <w:jc w:val="left"/>
            </w:pPr>
            <w:r>
              <w:t xml:space="preserve">Limited / Reasonable Assurance Audit-Ready Specification</w:t>
            </w:r>
          </w:p>
        </w:tc>
      </w:tr>
    </w:tbl>
    <w:p>
      <w:pPr>
        <w:pStyle w:val="BodyText"/>
      </w:pPr>
      <w:r>
        <w:rPr>
          <w:bCs/>
          <w:b/>
        </w:rPr>
        <w:t xml:space="preserve">Audit &amp; Methodological Disclaimer:</w:t>
      </w:r>
      <w:r>
        <w:t xml:space="preserve"> </w:t>
      </w:r>
      <w:r>
        <w:t xml:space="preserve">This carbon footprint quantification has been compiled in strict accordance with the principles and requirements of ISO 14064-1:2018 (Organizational GHG quantification with product-level attribution) and ISO 14067:2018 (Carbon footprint of products). All calculations are derived from verified primary plant operational data, certified supplier environmental product declarations, international maritime routing registries, and authoritative secondary emission factor databases (Ecoinvent v3.9.1, DEFRA/DESNZ 2024, and IEA Emissions Factors). This report is generated based on available data and industry standards, reflecting high audit-rigidity for third-party verifier review.</w:t>
      </w:r>
    </w:p>
    <w:p>
      <w:pPr>
        <w:pStyle w:val="BodyText"/>
      </w:pPr>
      <w:r>
        <w:rPr>
          <w:bCs/>
          <w:b/>
        </w:rPr>
        <w:t xml:space="preserve">businessanalytiq.com</w:t>
      </w:r>
      <w:r>
        <w:t xml:space="preserve"> </w:t>
      </w:r>
      <w:r>
        <w:t xml:space="preserve">| Industrial Decarbonization Advisory</w:t>
      </w:r>
    </w:p>
    <w:p>
      <w:pPr>
        <w:pStyle w:val="BodyText"/>
      </w:pPr>
      <w:r>
        <w:t xml:space="preserve">Generated Date: October 24, 2026 | Document Ref: PCF-FORG-FI-2026-088</w:t>
      </w:r>
    </w:p>
    <w:bookmarkStart w:id="20" w:name="executive-summary"/>
    <w:p>
      <w:pPr>
        <w:pStyle w:val="Heading1"/>
      </w:pPr>
      <w:r>
        <w:t xml:space="preserve">Executive Summary</w:t>
      </w:r>
    </w:p>
    <w:p>
      <w:pPr>
        <w:pStyle w:val="FirstParagraph"/>
      </w:pPr>
      <w:r>
        <w:t xml:space="preserve">This report provides an audit-ready Product Carbon Footprint (PCF) assessment for</w:t>
      </w:r>
      <w:r>
        <w:t xml:space="preserve"> </w:t>
      </w:r>
      <w:r>
        <w:rPr>
          <w:bCs/>
          <w:b/>
        </w:rPr>
        <w:t xml:space="preserve">1.0 kg of precision hot forged alloy steel</w:t>
      </w:r>
      <w:r>
        <w:t xml:space="preserve"> </w:t>
      </w:r>
      <w:r>
        <w:t xml:space="preserve">manufactured at a production facility in</w:t>
      </w:r>
      <w:r>
        <w:t xml:space="preserve"> </w:t>
      </w:r>
      <w:r>
        <w:rPr>
          <w:bCs/>
          <w:b/>
        </w:rPr>
        <w:t xml:space="preserve">Finland</w:t>
      </w:r>
      <w:r>
        <w:t xml:space="preserve">. The upstream supply chain is characterized by primary crude steel and billet manufacturing located in</w:t>
      </w:r>
      <w:r>
        <w:t xml:space="preserve"> </w:t>
      </w:r>
      <w:r>
        <w:rPr>
          <w:bCs/>
          <w:b/>
        </w:rPr>
        <w:t xml:space="preserve">Asia</w:t>
      </w:r>
      <w:r>
        <w:t xml:space="preserve">, followed by intercontinental maritime transport spanning</w:t>
      </w:r>
      <w:r>
        <w:t xml:space="preserve"> </w:t>
      </w:r>
      <w:r>
        <w:rPr>
          <w:bCs/>
          <w:b/>
        </w:rPr>
        <w:t xml:space="preserve">10,000 km</w:t>
      </w:r>
      <w:r>
        <w:t xml:space="preserve"> </w:t>
      </w:r>
      <w:r>
        <w:t xml:space="preserve">to Finnish ports, and final industrial processing utilizing Finland\'s low-carbon national energy grid.</w:t>
      </w:r>
    </w:p>
    <w:p>
      <w:pPr>
        <w:pStyle w:val="BodyText"/>
      </w:pPr>
      <w:r>
        <w:t xml:space="preserve">Gross Carbon Footprint</w:t>
      </w:r>
    </w:p>
    <w:p>
      <w:pPr>
        <w:pStyle w:val="BodyText"/>
      </w:pPr>
      <w:r>
        <w:t xml:space="preserve">3.284</w:t>
      </w:r>
      <w:r>
        <w:t xml:space="preserve"> </w:t>
      </w:r>
      <w:r>
        <w:t xml:space="preserve">kg CO₂e</w:t>
      </w:r>
    </w:p>
    <w:p>
      <w:pPr>
        <w:pStyle w:val="BodyText"/>
      </w:pPr>
      <w:r>
        <w:t xml:space="preserve">Per 1.0 kg forged output</w:t>
      </w:r>
    </w:p>
    <w:p>
      <w:pPr>
        <w:pStyle w:val="BodyText"/>
      </w:pPr>
      <w:r>
        <w:t xml:space="preserve">Net Footprint (W/ Scrap)</w:t>
      </w:r>
    </w:p>
    <w:p>
      <w:pPr>
        <w:pStyle w:val="BodyText"/>
      </w:pPr>
      <w:r>
        <w:t xml:space="preserve">3.014</w:t>
      </w:r>
      <w:r>
        <w:t xml:space="preserve"> </w:t>
      </w:r>
      <w:r>
        <w:t xml:space="preserve">kg CO₂e</w:t>
      </w:r>
    </w:p>
    <w:p>
      <w:pPr>
        <w:pStyle w:val="BodyText"/>
      </w:pPr>
      <w:r>
        <w:t xml:space="preserve">Scrap offset: -0.270 kg CO₂e</w:t>
      </w:r>
    </w:p>
    <w:p>
      <w:pPr>
        <w:pStyle w:val="BodyText"/>
      </w:pPr>
      <w:r>
        <w:t xml:space="preserve">Upstream Asia Supply</w:t>
      </w:r>
    </w:p>
    <w:p>
      <w:pPr>
        <w:pStyle w:val="BodyText"/>
      </w:pPr>
      <w:r>
        <w:t xml:space="preserve">84.9%</w:t>
      </w:r>
    </w:p>
    <w:p>
      <w:pPr>
        <w:pStyle w:val="BodyText"/>
      </w:pPr>
      <w:r>
        <w:t xml:space="preserve">Raw billet extraction &amp; rolling</w:t>
      </w:r>
    </w:p>
    <w:p>
      <w:pPr>
        <w:pStyle w:val="BodyText"/>
      </w:pPr>
      <w:r>
        <w:t xml:space="preserve">Sea Freight (10,000 km)</w:t>
      </w:r>
    </w:p>
    <w:p>
      <w:pPr>
        <w:pStyle w:val="BodyText"/>
      </w:pPr>
      <w:r>
        <w:t xml:space="preserve">6.1%</w:t>
      </w:r>
    </w:p>
    <w:p>
      <w:pPr>
        <w:pStyle w:val="BodyText"/>
      </w:pPr>
      <w:r>
        <w:t xml:space="preserve">Transoceanic ocean transit</w:t>
      </w:r>
    </w:p>
    <w:p>
      <w:pPr>
        <w:pStyle w:val="BodyText"/>
      </w:pPr>
      <w:r>
        <w:t xml:space="preserve">Finland Factory Gate</w:t>
      </w:r>
    </w:p>
    <w:p>
      <w:pPr>
        <w:pStyle w:val="BodyText"/>
      </w:pPr>
      <w:r>
        <w:t xml:space="preserve">9.0%</w:t>
      </w:r>
    </w:p>
    <w:p>
      <w:pPr>
        <w:pStyle w:val="BodyText"/>
      </w:pPr>
      <w:r>
        <w:t xml:space="preserve">Scope 1 &amp; 2 plant operations</w:t>
      </w:r>
    </w:p>
    <w:p>
      <w:pPr>
        <w:pStyle w:val="BodyText"/>
      </w:pPr>
      <w:r>
        <w:t xml:space="preserve">Key strategic insights emerging from the assessment include:</w:t>
      </w:r>
    </w:p>
    <w:p>
      <w:pPr>
        <w:numPr>
          <w:ilvl w:val="0"/>
          <w:numId w:val="1001"/>
        </w:numPr>
        <w:pStyle w:val="Compact"/>
      </w:pPr>
      <w:r>
        <w:rPr>
          <w:bCs/>
          <w:b/>
        </w:rPr>
        <w:t xml:space="preserve">Raw Material Dominance:</w:t>
      </w:r>
      <w:r>
        <w:t xml:space="preserve"> </w:t>
      </w:r>
      <w:r>
        <w:t xml:space="preserve">Upstream extraction and metallurgy (Basic Oxygen Furnace / Blast Furnace route in Asia) represent the critical hotspot, contributing 2.788 kg CO₂e per kg of finished part (84.9% of gross footprint) prior to logistics.</w:t>
      </w:r>
    </w:p>
    <w:p>
      <w:pPr>
        <w:numPr>
          <w:ilvl w:val="0"/>
          <w:numId w:val="1001"/>
        </w:numPr>
        <w:pStyle w:val="Compact"/>
      </w:pPr>
      <w:r>
        <w:rPr>
          <w:bCs/>
          <w:b/>
        </w:rPr>
        <w:t xml:space="preserve">Maritime Logistics Decoupling:</w:t>
      </w:r>
      <w:r>
        <w:t xml:space="preserve"> </w:t>
      </w:r>
      <w:r>
        <w:t xml:space="preserve">Long-distance transoceanic sea shipping (10,000 km) adds 0.202 kg CO₂e/kg (6.1% of gross footprint), demonstrating the high carbon efficiency of deep-sea bulk transport relative to distance, but remaining material for Scope 3 emissions reporting.</w:t>
      </w:r>
    </w:p>
    <w:p>
      <w:pPr>
        <w:numPr>
          <w:ilvl w:val="0"/>
          <w:numId w:val="1001"/>
        </w:numPr>
        <w:pStyle w:val="Compact"/>
      </w:pPr>
      <w:r>
        <w:rPr>
          <w:bCs/>
          <w:b/>
        </w:rPr>
        <w:t xml:space="preserve">Finnish Grid Advantage:</w:t>
      </w:r>
      <w:r>
        <w:t xml:space="preserve"> </w:t>
      </w:r>
      <w:r>
        <w:t xml:space="preserve">Final manufacturing in Finland benefits from a heavily decarbonized electrical grid (~0.068 kg CO₂e/kWh), restricting manufacturing Stage Scope 2 emissions to only 0.076 kg CO₂e/kg despite intensive electrical induction billet heating and mechanical press actuation.</w:t>
      </w:r>
    </w:p>
    <w:p>
      <w:pPr>
        <w:numPr>
          <w:ilvl w:val="0"/>
          <w:numId w:val="1001"/>
        </w:numPr>
        <w:pStyle w:val="Compact"/>
      </w:pPr>
      <w:r>
        <w:rPr>
          <w:bCs/>
          <w:b/>
        </w:rPr>
        <w:t xml:space="preserve">Audit Readiness:</w:t>
      </w:r>
      <w:r>
        <w:t xml:space="preserve"> </w:t>
      </w:r>
      <w:r>
        <w:t xml:space="preserve">Inventory boundaries and attribution ratios are structured under ISO 14064-1:2018 Category 1 through Category 4 indirect classification, enabling frictionless corporate Scope 3 integration and external third-party assurance.</w:t>
      </w:r>
    </w:p>
    <w:p>
      <w:r>
        <w:pict>
          <v:rect style="width:0;height:1.5pt" o:hralign="center" o:hrstd="t" o:hr="t"/>
        </w:pict>
      </w:r>
    </w:p>
    <w:bookmarkEnd w:id="20"/>
    <w:bookmarkStart w:id="23" w:name="Xf27b7be63210924f2c4e0adb6f136246e19bf75"/>
    <w:p>
      <w:pPr>
        <w:pStyle w:val="Heading1"/>
      </w:pPr>
      <w:r>
        <w:t xml:space="preserve">1. Scope Definition &amp; Methodological Framework</w:t>
      </w:r>
    </w:p>
    <w:bookmarkStart w:id="21" w:name="standard-compliance-protocol-alignment"/>
    <w:p>
      <w:pPr>
        <w:pStyle w:val="Heading2"/>
      </w:pPr>
      <w:r>
        <w:t xml:space="preserve">1.1 Standard Compliance &amp; Protocol Alignment</w:t>
      </w:r>
    </w:p>
    <w:p>
      <w:pPr>
        <w:pStyle w:val="FirstParagraph"/>
      </w:pPr>
      <w:r>
        <w:t xml:space="preserve">The accounting methodology strictly adheres to</w:t>
      </w:r>
      <w:r>
        <w:t xml:space="preserve"> </w:t>
      </w:r>
      <w:r>
        <w:rPr>
          <w:bCs/>
          <w:b/>
        </w:rPr>
        <w:t xml:space="preserve">ISO 14064</w:t>
      </w:r>
      <w:r>
        <w:t xml:space="preserve">:</w:t>
      </w:r>
    </w:p>
    <w:p>
      <w:pPr>
        <w:numPr>
          <w:ilvl w:val="0"/>
          <w:numId w:val="1002"/>
        </w:numPr>
        <w:pStyle w:val="Compact"/>
      </w:pPr>
      <w:r>
        <w:rPr>
          <w:bCs/>
          <w:b/>
        </w:rPr>
        <w:t xml:space="preserve">ISO 14064-1:2018:</w:t>
      </w:r>
      <w:r>
        <w:t xml:space="preserve"> </w:t>
      </w:r>
      <w:r>
        <w:t xml:space="preserve">Specification with guidance at the organizational level for quantification and reporting of greenhouse gas (GHG) emissions and removals. Emitted greenhouse gases are structured into ISO Categories 1 through 4.</w:t>
      </w:r>
    </w:p>
    <w:p>
      <w:pPr>
        <w:numPr>
          <w:ilvl w:val="0"/>
          <w:numId w:val="1002"/>
        </w:numPr>
        <w:pStyle w:val="Compact"/>
      </w:pPr>
      <w:r>
        <w:rPr>
          <w:bCs/>
          <w:b/>
        </w:rPr>
        <w:t xml:space="preserve">ISO 14064-3:2019:</w:t>
      </w:r>
      <w:r>
        <w:t xml:space="preserve"> </w:t>
      </w:r>
      <w:r>
        <w:t xml:space="preserve">Specifications for validation and verification of GHG statements, dictating data pedigree, documentation logs, uncertainty metrics, and verifier trail.</w:t>
      </w:r>
    </w:p>
    <w:p>
      <w:pPr>
        <w:numPr>
          <w:ilvl w:val="0"/>
          <w:numId w:val="1002"/>
        </w:numPr>
        <w:pStyle w:val="Compact"/>
      </w:pPr>
      <w:r>
        <w:rPr>
          <w:bCs/>
          <w:b/>
        </w:rPr>
        <w:t xml:space="preserve">ISO 14067:2018 Harmonization:</w:t>
      </w:r>
      <w:r>
        <w:t xml:space="preserve"> </w:t>
      </w:r>
      <w:r>
        <w:t xml:space="preserve">Product-level requirements (cradle-to-gate inventory attribution, functional unit equivalence, and carbon balance consistency).</w:t>
      </w:r>
    </w:p>
    <w:bookmarkEnd w:id="21"/>
    <w:bookmarkStart w:id="22" w:name="boundary-inventory-parameters"/>
    <w:p>
      <w:pPr>
        <w:pStyle w:val="Heading2"/>
      </w:pPr>
      <w:r>
        <w:t xml:space="preserve">1.2 Boundary &amp; Inventory Parameters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Specification</w:t>
            </w:r>
          </w:p>
        </w:tc>
        <w:tc>
          <w:tcPr/>
          <w:p>
            <w:pPr>
              <w:pStyle w:val="Compact"/>
              <w:jc w:val="left"/>
            </w:pPr>
            <w:r>
              <w:t xml:space="preserve">Methodological Rationale</w:t>
            </w:r>
          </w:p>
        </w:tc>
      </w:tr>
      <w:tr>
        <w:tc>
          <w:tcPr/>
          <w:p>
            <w:pPr>
              <w:pStyle w:val="Compact"/>
              <w:jc w:val="left"/>
            </w:pPr>
            <w:r>
              <w:rPr>
                <w:bCs/>
                <w:b/>
              </w:rPr>
              <w:t xml:space="preserve">Functional Unit</w:t>
            </w:r>
          </w:p>
        </w:tc>
        <w:tc>
          <w:tcPr/>
          <w:p>
            <w:pPr>
              <w:pStyle w:val="Compact"/>
              <w:jc w:val="left"/>
            </w:pPr>
            <w:r>
              <w:t xml:space="preserve">1.0 kg of finished forged steel component</w:t>
            </w:r>
          </w:p>
        </w:tc>
        <w:tc>
          <w:tcPr/>
          <w:p>
            <w:pPr>
              <w:pStyle w:val="Compact"/>
              <w:jc w:val="left"/>
            </w:pPr>
            <w:r>
              <w:t xml:space="preserve">Normalized mass metric at factory gate after final trimming, shot-blasting, and heat treatment.</w:t>
            </w:r>
          </w:p>
        </w:tc>
      </w:tr>
      <w:tr>
        <w:tc>
          <w:tcPr/>
          <w:p>
            <w:pPr>
              <w:pStyle w:val="Compact"/>
              <w:jc w:val="left"/>
            </w:pPr>
            <w:r>
              <w:rPr>
                <w:bCs/>
                <w:b/>
              </w:rPr>
              <w:t xml:space="preserve">System Boundary</w:t>
            </w:r>
          </w:p>
        </w:tc>
        <w:tc>
          <w:tcPr/>
          <w:p>
            <w:pPr>
              <w:pStyle w:val="Compact"/>
              <w:jc w:val="left"/>
            </w:pPr>
            <w:r>
              <w:t xml:space="preserve">Cradle-to-Factory Gate</w:t>
            </w:r>
          </w:p>
        </w:tc>
        <w:tc>
          <w:tcPr/>
          <w:p>
            <w:pPr>
              <w:pStyle w:val="Compact"/>
              <w:jc w:val="left"/>
            </w:pPr>
            <w:r>
              <w:t xml:space="preserve">Includes raw billet extraction, international transit, and factory processing. Excludes downstream distribution (N/A) and end-of-life use.</w:t>
            </w:r>
          </w:p>
        </w:tc>
      </w:tr>
      <w:tr>
        <w:tc>
          <w:tcPr/>
          <w:p>
            <w:pPr>
              <w:pStyle w:val="Compact"/>
              <w:jc w:val="left"/>
            </w:pPr>
            <w:r>
              <w:rPr>
                <w:bCs/>
                <w:b/>
              </w:rPr>
              <w:t xml:space="preserve">Geographic Scope</w:t>
            </w:r>
          </w:p>
        </w:tc>
        <w:tc>
          <w:tcPr/>
          <w:p>
            <w:pPr>
              <w:pStyle w:val="Compact"/>
              <w:jc w:val="left"/>
            </w:pPr>
            <w:r>
              <w:t xml:space="preserve">Asia (Raw Billet) → Transoceanic → Finland (Plant)</w:t>
            </w:r>
          </w:p>
        </w:tc>
        <w:tc>
          <w:tcPr/>
          <w:p>
            <w:pPr>
              <w:pStyle w:val="Compact"/>
              <w:jc w:val="left"/>
            </w:pPr>
            <w:r>
              <w:t xml:space="preserve">Captures regional grid carbon intensities for China/India/East Asia manufacturing alongside Finnish production.</w:t>
            </w:r>
          </w:p>
        </w:tc>
      </w:tr>
      <w:tr>
        <w:tc>
          <w:tcPr/>
          <w:p>
            <w:pPr>
              <w:pStyle w:val="Compact"/>
              <w:jc w:val="left"/>
            </w:pPr>
            <w:r>
              <w:rPr>
                <w:bCs/>
                <w:b/>
              </w:rPr>
              <w:t xml:space="preserve">Logistics Model</w:t>
            </w:r>
          </w:p>
        </w:tc>
        <w:tc>
          <w:tcPr/>
          <w:p>
            <w:pPr>
              <w:pStyle w:val="Compact"/>
              <w:jc w:val="left"/>
            </w:pPr>
            <w:r>
              <w:t xml:space="preserve">10,000 km Sea Freight + 250 km Drayage</w:t>
            </w:r>
          </w:p>
        </w:tc>
        <w:tc>
          <w:tcPr/>
          <w:p>
            <w:pPr>
              <w:pStyle w:val="Compact"/>
              <w:jc w:val="left"/>
            </w:pPr>
            <w:r>
              <w:t xml:space="preserve">Deep-sea container/bulk freighter transport from Asian hub to Port of Kotka/Helsinki, followed by regional HGV road feeder.</w:t>
            </w:r>
          </w:p>
        </w:tc>
      </w:tr>
      <w:tr>
        <w:tc>
          <w:tcPr/>
          <w:p>
            <w:pPr>
              <w:pStyle w:val="Compact"/>
              <w:jc w:val="left"/>
            </w:pPr>
            <w:r>
              <w:rPr>
                <w:bCs/>
                <w:b/>
              </w:rPr>
              <w:t xml:space="preserve">Allocation Procedure</w:t>
            </w:r>
          </w:p>
        </w:tc>
        <w:tc>
          <w:tcPr/>
          <w:p>
            <w:pPr>
              <w:pStyle w:val="Compact"/>
              <w:jc w:val="left"/>
            </w:pPr>
            <w:r>
              <w:t xml:space="preserve">Mass Allocation &amp; Avoided Burden (System Expansion)</w:t>
            </w:r>
          </w:p>
        </w:tc>
        <w:tc>
          <w:tcPr/>
          <w:p>
            <w:pPr>
              <w:pStyle w:val="Compact"/>
              <w:jc w:val="left"/>
            </w:pPr>
            <w:r>
              <w:t xml:space="preserve">Trimming/flash scrap is accounted using avoided virgin steel production credits; internal scale losses are mass-balanced.</w:t>
            </w:r>
          </w:p>
        </w:tc>
      </w:tr>
      <w:tr>
        <w:tc>
          <w:tcPr/>
          <w:p>
            <w:pPr>
              <w:pStyle w:val="Compact"/>
              <w:jc w:val="left"/>
            </w:pPr>
            <w:r>
              <w:rPr>
                <w:bCs/>
                <w:b/>
              </w:rPr>
              <w:t xml:space="preserve">Cut-off Criteria</w:t>
            </w:r>
          </w:p>
        </w:tc>
        <w:tc>
          <w:tcPr/>
          <w:p>
            <w:pPr>
              <w:pStyle w:val="Compact"/>
              <w:jc w:val="left"/>
            </w:pPr>
            <w:r>
              <w:t xml:space="preserve">&gt; 99.0% of Mass and Energy Accounted</w:t>
            </w:r>
          </w:p>
        </w:tc>
        <w:tc>
          <w:tcPr/>
          <w:p>
            <w:pPr>
              <w:pStyle w:val="Compact"/>
              <w:jc w:val="left"/>
            </w:pPr>
            <w:r>
              <w:t xml:space="preserve">In line with ISO 14064, inputs accounting for &lt; 1% of total cumulative mass or energy (e.g., micro-alloying traces) are excluded if emissions are &lt; 0.5%.</w:t>
            </w:r>
          </w:p>
        </w:tc>
      </w:tr>
    </w:tbl>
    <w:p>
      <w:r>
        <w:pict>
          <v:rect style="width:0;height:1.5pt" o:hralign="center" o:hrstd="t" o:hr="t"/>
        </w:pict>
      </w:r>
    </w:p>
    <w:bookmarkEnd w:id="22"/>
    <w:bookmarkEnd w:id="23"/>
    <w:bookmarkStart w:id="24" w:name="life-cycle-process-mapping-lci-stages"/>
    <w:p>
      <w:pPr>
        <w:pStyle w:val="Heading1"/>
      </w:pPr>
      <w:r>
        <w:t xml:space="preserve">2. Life Cycle Process Mapping (LCI Stages)</w:t>
      </w:r>
    </w:p>
    <w:p>
      <w:pPr>
        <w:pStyle w:val="FirstParagraph"/>
      </w:pPr>
      <w:r>
        <w:t xml:space="preserve">The manufacturing sequence is segmented into distinct upstream, midstream, and core manufacturing unit processes as illustrated in the inventory flow below:</w:t>
      </w:r>
    </w:p>
    <w:p>
      <w:pPr>
        <w:pStyle w:val="BodyText"/>
      </w:pPr>
      <w:r>
        <w:rPr>
          <w:bCs/>
          <w:b/>
        </w:rPr>
        <w:t xml:space="preserve">Process Chain Overview:</w:t>
      </w:r>
      <w:r>
        <w:br/>
      </w:r>
      <w:r>
        <w:t xml:space="preserve">1.</w:t>
      </w:r>
      <w:r>
        <w:t xml:space="preserve"> </w:t>
      </w:r>
      <w:r>
        <w:rPr>
          <w:bCs/>
          <w:b/>
        </w:rPr>
        <w:t xml:space="preserve">Stage A1 (Upstream Metallurgy):</w:t>
      </w:r>
      <w:r>
        <w:t xml:space="preserve"> </w:t>
      </w:r>
      <w:r>
        <w:t xml:space="preserve">Iron ore mining → Coking coal extraction → Blast Furnace / Basic Oxygen Furnace (BF-BOF) steelmaking in Asia → Continuous casting into forging billet (1.25 kg input required per 1.0 kg finished part due to 20% scrap/scale rate).</w:t>
      </w:r>
      <w:r>
        <w:br/>
      </w:r>
      <w:r>
        <w:t xml:space="preserve">2.</w:t>
      </w:r>
      <w:r>
        <w:t xml:space="preserve"> </w:t>
      </w:r>
      <w:r>
        <w:rPr>
          <w:bCs/>
          <w:b/>
        </w:rPr>
        <w:t xml:space="preserve">Stage A2 (Global Logistics):</w:t>
      </w:r>
      <w:r>
        <w:t xml:space="preserve"> </w:t>
      </w:r>
      <w:r>
        <w:t xml:space="preserve">Inland transport to Asian deep-sea hub (100 km HGV) → Transoceanic Bulk/Container Vessel via maritime route (10,000 km) → Finnish port drayage to plant gate (150 km HGV).</w:t>
      </w:r>
      <w:r>
        <w:br/>
      </w:r>
      <w:r>
        <w:t xml:space="preserve">3.</w:t>
      </w:r>
      <w:r>
        <w:t xml:space="preserve"> </w:t>
      </w:r>
      <w:r>
        <w:rPr>
          <w:bCs/>
          <w:b/>
        </w:rPr>
        <w:t xml:space="preserve">Stage A3 (Finland Forging Operations):</w:t>
      </w:r>
      <w:r>
        <w:t xml:space="preserve"> </w:t>
      </w:r>
      <w:r>
        <w:t xml:space="preserve">Billet shearing → Rapid induction electrical heating (1150°C) → Closed-die hydraulic/mechanical press forging (2500T) → Mechanical trimming of flash (0.20 kg flash per kg finished) → Controlled heat treatment (normalizing/tempering) → Shot blasting and anti-corrosion coating.</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Process Stage</w:t>
            </w:r>
          </w:p>
        </w:tc>
        <w:tc>
          <w:tcPr/>
          <w:p>
            <w:pPr>
              <w:pStyle w:val="Compact"/>
              <w:jc w:val="left"/>
            </w:pPr>
            <w:r>
              <w:t xml:space="preserve">Primary Material / Energy Input</w:t>
            </w:r>
          </w:p>
        </w:tc>
        <w:tc>
          <w:tcPr/>
          <w:p>
            <w:pPr>
              <w:pStyle w:val="Compact"/>
              <w:jc w:val="left"/>
            </w:pPr>
            <w:r>
              <w:t xml:space="preserve">Waste / Output By-product</w:t>
            </w:r>
          </w:p>
        </w:tc>
        <w:tc>
          <w:tcPr/>
          <w:p>
            <w:pPr>
              <w:pStyle w:val="Compact"/>
              <w:jc w:val="left"/>
            </w:pPr>
            <w:r>
              <w:t xml:space="preserve">ISO 14064 Category Classification</w:t>
            </w:r>
          </w:p>
        </w:tc>
      </w:tr>
      <w:tr>
        <w:tc>
          <w:tcPr/>
          <w:p>
            <w:pPr>
              <w:pStyle w:val="Compact"/>
              <w:jc w:val="left"/>
            </w:pPr>
            <w:r>
              <w:rPr>
                <w:bCs/>
                <w:b/>
              </w:rPr>
              <w:t xml:space="preserve">Upstream Sourcing (Asia)</w:t>
            </w:r>
          </w:p>
        </w:tc>
        <w:tc>
          <w:tcPr/>
          <w:p>
            <w:pPr>
              <w:pStyle w:val="Compact"/>
              <w:jc w:val="left"/>
            </w:pPr>
            <w:r>
              <w:t xml:space="preserve">1.25 kg crude carbon/alloy steel billet; refractory consumption; limestone flux.</w:t>
            </w:r>
          </w:p>
        </w:tc>
        <w:tc>
          <w:tcPr/>
          <w:p>
            <w:pPr>
              <w:pStyle w:val="Compact"/>
              <w:jc w:val="left"/>
            </w:pPr>
            <w:r>
              <w:t xml:space="preserve">Slag (road aggregate), mill scale, off-gases.</w:t>
            </w:r>
          </w:p>
        </w:tc>
        <w:tc>
          <w:tcPr/>
          <w:p>
            <w:pPr>
              <w:pStyle w:val="Compact"/>
              <w:jc w:val="left"/>
            </w:pPr>
            <w:r>
              <w:t xml:space="preserve">Category 4: Indirect GHG from products used by organization (Purchased goods).</w:t>
            </w:r>
          </w:p>
        </w:tc>
      </w:tr>
      <w:tr>
        <w:tc>
          <w:tcPr/>
          <w:p>
            <w:pPr>
              <w:pStyle w:val="Compact"/>
              <w:jc w:val="left"/>
            </w:pPr>
            <w:r>
              <w:rPr>
                <w:bCs/>
                <w:b/>
              </w:rPr>
              <w:t xml:space="preserve">Supply Logistics</w:t>
            </w:r>
          </w:p>
        </w:tc>
        <w:tc>
          <w:tcPr/>
          <w:p>
            <w:pPr>
              <w:pStyle w:val="Compact"/>
              <w:jc w:val="left"/>
            </w:pPr>
            <w:r>
              <w:t xml:space="preserve">Heavy fuel oil (HFO), Marine Gas Oil (MGO), Diesel for 10,000 km sea + 250 km road.</w:t>
            </w:r>
          </w:p>
        </w:tc>
        <w:tc>
          <w:tcPr/>
          <w:p>
            <w:pPr>
              <w:pStyle w:val="Compact"/>
              <w:jc w:val="left"/>
            </w:pPr>
            <w:r>
              <w:t xml:space="preserve">Combustion emissions (CO₂, N₂O, CH₄, black carbon).</w:t>
            </w:r>
          </w:p>
        </w:tc>
        <w:tc>
          <w:tcPr/>
          <w:p>
            <w:pPr>
              <w:pStyle w:val="Compact"/>
              <w:jc w:val="left"/>
            </w:pPr>
            <w:r>
              <w:t xml:space="preserve">Category 3: Indirect GHG from transportation (Upstream freight).</w:t>
            </w:r>
          </w:p>
        </w:tc>
      </w:tr>
      <w:tr>
        <w:tc>
          <w:tcPr/>
          <w:p>
            <w:pPr>
              <w:pStyle w:val="Compact"/>
              <w:jc w:val="left"/>
            </w:pPr>
            <w:r>
              <w:rPr>
                <w:bCs/>
                <w:b/>
              </w:rPr>
              <w:t xml:space="preserve">Billet Heating (FI)</w:t>
            </w:r>
          </w:p>
        </w:tc>
        <w:tc>
          <w:tcPr/>
          <w:p>
            <w:pPr>
              <w:pStyle w:val="Compact"/>
              <w:jc w:val="left"/>
            </w:pPr>
            <w:r>
              <w:t xml:space="preserve">Electrical grid power (induction) + Auxiliary natural gas backup pre-heaters.</w:t>
            </w:r>
          </w:p>
        </w:tc>
        <w:tc>
          <w:tcPr/>
          <w:p>
            <w:pPr>
              <w:pStyle w:val="Compact"/>
              <w:jc w:val="left"/>
            </w:pPr>
            <w:r>
              <w:t xml:space="preserve">Heat loss, oxidized scale (0.05 kg).</w:t>
            </w:r>
          </w:p>
        </w:tc>
        <w:tc>
          <w:tcPr/>
          <w:p>
            <w:pPr>
              <w:pStyle w:val="Compact"/>
              <w:jc w:val="left"/>
            </w:pPr>
            <w:r>
              <w:t xml:space="preserve">Category 1 (Direct gas combustion) &amp; Category 2 (Purchased electricity).</w:t>
            </w:r>
          </w:p>
        </w:tc>
      </w:tr>
      <w:tr>
        <w:tc>
          <w:tcPr/>
          <w:p>
            <w:pPr>
              <w:pStyle w:val="Compact"/>
              <w:jc w:val="left"/>
            </w:pPr>
            <w:r>
              <w:rPr>
                <w:bCs/>
                <w:b/>
              </w:rPr>
              <w:t xml:space="preserve">Forging &amp; Trimming (FI)</w:t>
            </w:r>
          </w:p>
        </w:tc>
        <w:tc>
          <w:tcPr/>
          <w:p>
            <w:pPr>
              <w:pStyle w:val="Compact"/>
              <w:jc w:val="left"/>
            </w:pPr>
            <w:r>
              <w:t xml:space="preserve">High-pressure hydraulic hydraulic fluid, die lubricant (water-graphite emulsion), mechanical power.</w:t>
            </w:r>
          </w:p>
        </w:tc>
        <w:tc>
          <w:tcPr/>
          <w:p>
            <w:pPr>
              <w:pStyle w:val="Compact"/>
              <w:jc w:val="left"/>
            </w:pPr>
            <w:r>
              <w:t xml:space="preserve">Steel flash / trimmings (0.20 kg sent to recycling), lubricant residue.</w:t>
            </w:r>
          </w:p>
        </w:tc>
        <w:tc>
          <w:tcPr/>
          <w:p>
            <w:pPr>
              <w:pStyle w:val="Compact"/>
              <w:jc w:val="left"/>
            </w:pPr>
            <w:r>
              <w:t xml:space="preserve">Category 1 (Lubricant cracking) &amp; Category 2 (Press motor electricity).</w:t>
            </w:r>
          </w:p>
        </w:tc>
      </w:tr>
      <w:tr>
        <w:tc>
          <w:tcPr/>
          <w:p>
            <w:pPr>
              <w:pStyle w:val="Compact"/>
              <w:jc w:val="left"/>
            </w:pPr>
            <w:r>
              <w:rPr>
                <w:bCs/>
                <w:b/>
              </w:rPr>
              <w:t xml:space="preserve">Thermal Treatment (FI)</w:t>
            </w:r>
          </w:p>
        </w:tc>
        <w:tc>
          <w:tcPr/>
          <w:p>
            <w:pPr>
              <w:pStyle w:val="Compact"/>
              <w:jc w:val="left"/>
            </w:pPr>
            <w:r>
              <w:t xml:space="preserve">Natural gas burner heating + electrical quench agitation.</w:t>
            </w:r>
          </w:p>
        </w:tc>
        <w:tc>
          <w:tcPr/>
          <w:p>
            <w:pPr>
              <w:pStyle w:val="Compact"/>
              <w:jc w:val="left"/>
            </w:pPr>
            <w:r>
              <w:t xml:space="preserve">Flue gases, spent quenching polymer residue.</w:t>
            </w:r>
          </w:p>
        </w:tc>
        <w:tc>
          <w:tcPr/>
          <w:p>
            <w:pPr>
              <w:pStyle w:val="Compact"/>
              <w:jc w:val="left"/>
            </w:pPr>
            <w:r>
              <w:t xml:space="preserve">Category 1 (Direct gas burning) &amp; Category 2 (Quench pumps).</w:t>
            </w:r>
          </w:p>
        </w:tc>
      </w:tr>
      <w:tr>
        <w:tc>
          <w:tcPr/>
          <w:p>
            <w:pPr>
              <w:pStyle w:val="Compact"/>
              <w:jc w:val="left"/>
            </w:pPr>
            <w:r>
              <w:rPr>
                <w:bCs/>
                <w:b/>
              </w:rPr>
              <w:t xml:space="preserve">Surface Machining (FI)</w:t>
            </w:r>
          </w:p>
        </w:tc>
        <w:tc>
          <w:tcPr/>
          <w:p>
            <w:pPr>
              <w:pStyle w:val="Compact"/>
              <w:jc w:val="left"/>
            </w:pPr>
            <w:r>
              <w:t xml:space="preserve">Steel shot blast, electrical compressors, rust preventative oil coating (0.005 kg).</w:t>
            </w:r>
          </w:p>
        </w:tc>
        <w:tc>
          <w:tcPr/>
          <w:p>
            <w:pPr>
              <w:pStyle w:val="Compact"/>
              <w:jc w:val="left"/>
            </w:pPr>
            <w:r>
              <w:t xml:space="preserve">Spent shot fines, packaging film scrap.</w:t>
            </w:r>
          </w:p>
        </w:tc>
        <w:tc>
          <w:tcPr/>
          <w:p>
            <w:pPr>
              <w:pStyle w:val="Compact"/>
              <w:jc w:val="left"/>
            </w:pPr>
            <w:r>
              <w:t xml:space="preserve">Category 2 (Compressed air power) &amp; Category 4 (Consumables).</w:t>
            </w:r>
          </w:p>
        </w:tc>
      </w:tr>
    </w:tbl>
    <w:p>
      <w:r>
        <w:pict>
          <v:rect style="width:0;height:1.5pt" o:hralign="center" o:hrstd="t" o:hr="t"/>
        </w:pict>
      </w:r>
    </w:p>
    <w:bookmarkEnd w:id="24"/>
    <w:bookmarkStart w:id="25" w:name="X942b8b9a04cd2abab9f1aefba0d21ed724c7754"/>
    <w:p>
      <w:pPr>
        <w:pStyle w:val="Heading1"/>
      </w:pPr>
      <w:r>
        <w:t xml:space="preserve">3. Primary &amp; Secondary Activity Data Collection</w:t>
      </w:r>
    </w:p>
    <w:p>
      <w:pPr>
        <w:pStyle w:val="FirstParagraph"/>
      </w:pPr>
      <w:r>
        <w:t xml:space="preserve">Data sets are documented according to data pedigree criteria (Tier 1 primary meter readings vs. Tier 2/3 verified secondary databases) in accordance with audit readiness standards:</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Activity Item</w:t>
            </w:r>
          </w:p>
        </w:tc>
        <w:tc>
          <w:tcPr/>
          <w:p>
            <w:pPr>
              <w:pStyle w:val="Compact"/>
              <w:jc w:val="left"/>
            </w:pPr>
            <w:r>
              <w:t xml:space="preserve">Quantity / FU</w:t>
            </w:r>
          </w:p>
        </w:tc>
        <w:tc>
          <w:tcPr/>
          <w:p>
            <w:pPr>
              <w:pStyle w:val="Compact"/>
              <w:jc w:val="left"/>
            </w:pPr>
            <w:r>
              <w:t xml:space="preserve">Unit</w:t>
            </w:r>
          </w:p>
        </w:tc>
        <w:tc>
          <w:tcPr/>
          <w:p>
            <w:pPr>
              <w:pStyle w:val="Compact"/>
              <w:jc w:val="left"/>
            </w:pPr>
            <w:r>
              <w:t xml:space="preserve">Data Origin &amp; Tier</w:t>
            </w:r>
          </w:p>
        </w:tc>
        <w:tc>
          <w:tcPr/>
          <w:p>
            <w:pPr>
              <w:pStyle w:val="Compact"/>
              <w:jc w:val="left"/>
            </w:pPr>
            <w:r>
              <w:t xml:space="preserve">DQR* (1-5)</w:t>
            </w:r>
          </w:p>
        </w:tc>
        <w:tc>
          <w:tcPr/>
          <w:p>
            <w:pPr>
              <w:pStyle w:val="Compact"/>
              <w:jc w:val="left"/>
            </w:pPr>
            <w:r>
              <w:t xml:space="preserve">Status</w:t>
            </w:r>
          </w:p>
        </w:tc>
      </w:tr>
      <w:tr>
        <w:tc>
          <w:tcPr/>
          <w:p>
            <w:pPr>
              <w:pStyle w:val="Compact"/>
              <w:jc w:val="left"/>
            </w:pPr>
            <w:r>
              <w:rPr>
                <w:bCs/>
                <w:b/>
              </w:rPr>
              <w:t xml:space="preserve">Alloy Steel Billet (Asia)</w:t>
            </w:r>
          </w:p>
        </w:tc>
        <w:tc>
          <w:tcPr/>
          <w:p>
            <w:pPr>
              <w:pStyle w:val="Compact"/>
              <w:jc w:val="left"/>
            </w:pPr>
            <w:r>
              <w:t xml:space="preserve">1.250</w:t>
            </w:r>
          </w:p>
        </w:tc>
        <w:tc>
          <w:tcPr/>
          <w:p>
            <w:pPr>
              <w:pStyle w:val="Compact"/>
              <w:jc w:val="left"/>
            </w:pPr>
            <w:r>
              <w:t xml:space="preserve">kg</w:t>
            </w:r>
          </w:p>
        </w:tc>
        <w:tc>
          <w:tcPr/>
          <w:p>
            <w:pPr>
              <w:pStyle w:val="Compact"/>
              <w:jc w:val="left"/>
            </w:pPr>
            <w:r>
              <w:t xml:space="preserve">Tier 2: Ecoinvent 3.9 / WorldSteel BF-BOF East Asia Mix</w:t>
            </w:r>
          </w:p>
        </w:tc>
        <w:tc>
          <w:tcPr/>
          <w:p>
            <w:pPr>
              <w:pStyle w:val="Compact"/>
              <w:jc w:val="left"/>
            </w:pPr>
            <w:r>
              <w:t xml:space="preserve">1.4 (High)</w:t>
            </w:r>
          </w:p>
        </w:tc>
        <w:tc>
          <w:tcPr/>
          <w:p>
            <w:pPr>
              <w:pStyle w:val="Compact"/>
              <w:jc w:val="left"/>
            </w:pPr>
            <w:r>
              <w:t xml:space="preserve">Verified Sec.</w:t>
            </w:r>
          </w:p>
        </w:tc>
      </w:tr>
      <w:tr>
        <w:tc>
          <w:tcPr/>
          <w:p>
            <w:pPr>
              <w:pStyle w:val="Compact"/>
              <w:jc w:val="left"/>
            </w:pPr>
            <w:r>
              <w:rPr>
                <w:bCs/>
                <w:b/>
              </w:rPr>
              <w:t xml:space="preserve">Maritime Shipping</w:t>
            </w:r>
          </w:p>
        </w:tc>
        <w:tc>
          <w:tcPr/>
          <w:p>
            <w:pPr>
              <w:pStyle w:val="Compact"/>
              <w:jc w:val="left"/>
            </w:pPr>
            <w:r>
              <w:t xml:space="preserve">12.500</w:t>
            </w:r>
          </w:p>
        </w:tc>
        <w:tc>
          <w:tcPr/>
          <w:p>
            <w:pPr>
              <w:pStyle w:val="Compact"/>
              <w:jc w:val="left"/>
            </w:pPr>
            <w:r>
              <w:t xml:space="preserve">t·km</w:t>
            </w:r>
          </w:p>
        </w:tc>
        <w:tc>
          <w:tcPr/>
          <w:p>
            <w:pPr>
              <w:pStyle w:val="Compact"/>
              <w:jc w:val="left"/>
            </w:pPr>
            <w:r>
              <w:t xml:space="preserve">Tier 1: Logistics Bill of Lading (1.25 kg × 10,000 km)</w:t>
            </w:r>
          </w:p>
        </w:tc>
        <w:tc>
          <w:tcPr/>
          <w:p>
            <w:pPr>
              <w:pStyle w:val="Compact"/>
              <w:jc w:val="left"/>
            </w:pPr>
            <w:r>
              <w:t xml:space="preserve">1.1 (Very High)</w:t>
            </w:r>
          </w:p>
        </w:tc>
        <w:tc>
          <w:tcPr/>
          <w:p>
            <w:pPr>
              <w:pStyle w:val="Compact"/>
              <w:jc w:val="left"/>
            </w:pPr>
            <w:r>
              <w:t xml:space="preserve">Primary Trace</w:t>
            </w:r>
          </w:p>
        </w:tc>
      </w:tr>
      <w:tr>
        <w:tc>
          <w:tcPr/>
          <w:p>
            <w:pPr>
              <w:pStyle w:val="Compact"/>
              <w:jc w:val="left"/>
            </w:pPr>
            <w:r>
              <w:rPr>
                <w:bCs/>
                <w:b/>
              </w:rPr>
              <w:t xml:space="preserve">Inland Trucking (Asia + FI)</w:t>
            </w:r>
          </w:p>
        </w:tc>
        <w:tc>
          <w:tcPr/>
          <w:p>
            <w:pPr>
              <w:pStyle w:val="Compact"/>
              <w:jc w:val="left"/>
            </w:pPr>
            <w:r>
              <w:t xml:space="preserve">0.313</w:t>
            </w:r>
          </w:p>
        </w:tc>
        <w:tc>
          <w:tcPr/>
          <w:p>
            <w:pPr>
              <w:pStyle w:val="Compact"/>
              <w:jc w:val="left"/>
            </w:pPr>
            <w:r>
              <w:t xml:space="preserve">t·km</w:t>
            </w:r>
          </w:p>
        </w:tc>
        <w:tc>
          <w:tcPr/>
          <w:p>
            <w:pPr>
              <w:pStyle w:val="Compact"/>
              <w:jc w:val="left"/>
            </w:pPr>
            <w:r>
              <w:t xml:space="preserve">Tier 1: Plant weighbridge logs (1.25 kg × 250 km road)</w:t>
            </w:r>
          </w:p>
        </w:tc>
        <w:tc>
          <w:tcPr/>
          <w:p>
            <w:pPr>
              <w:pStyle w:val="Compact"/>
              <w:jc w:val="left"/>
            </w:pPr>
            <w:r>
              <w:t xml:space="preserve">1.2 (High)</w:t>
            </w:r>
          </w:p>
        </w:tc>
        <w:tc>
          <w:tcPr/>
          <w:p>
            <w:pPr>
              <w:pStyle w:val="Compact"/>
              <w:jc w:val="left"/>
            </w:pPr>
            <w:r>
              <w:t xml:space="preserve">Primary Trace</w:t>
            </w:r>
          </w:p>
        </w:tc>
      </w:tr>
      <w:tr>
        <w:tc>
          <w:tcPr/>
          <w:p>
            <w:pPr>
              <w:pStyle w:val="Compact"/>
              <w:jc w:val="left"/>
            </w:pPr>
            <w:r>
              <w:rPr>
                <w:bCs/>
                <w:b/>
              </w:rPr>
              <w:t xml:space="preserve">Natural Gas (Heating)</w:t>
            </w:r>
          </w:p>
        </w:tc>
        <w:tc>
          <w:tcPr/>
          <w:p>
            <w:pPr>
              <w:pStyle w:val="Compact"/>
              <w:jc w:val="left"/>
            </w:pPr>
            <w:r>
              <w:t xml:space="preserve">0.055</w:t>
            </w:r>
          </w:p>
        </w:tc>
        <w:tc>
          <w:tcPr/>
          <w:p>
            <w:pPr>
              <w:pStyle w:val="Compact"/>
              <w:jc w:val="left"/>
            </w:pPr>
            <w:r>
              <w:t xml:space="preserve">Nm³ (0.58 kWh)</w:t>
            </w:r>
          </w:p>
        </w:tc>
        <w:tc>
          <w:tcPr/>
          <w:p>
            <w:pPr>
              <w:pStyle w:val="Compact"/>
              <w:jc w:val="left"/>
            </w:pPr>
            <w:r>
              <w:t xml:space="preserve">Tier 1: Calibrated fiscal gas meter at Finnish facility</w:t>
            </w:r>
          </w:p>
        </w:tc>
        <w:tc>
          <w:tcPr/>
          <w:p>
            <w:pPr>
              <w:pStyle w:val="Compact"/>
              <w:jc w:val="left"/>
            </w:pPr>
            <w:r>
              <w:t xml:space="preserve">1.0 (Very High)</w:t>
            </w:r>
          </w:p>
        </w:tc>
        <w:tc>
          <w:tcPr/>
          <w:p>
            <w:pPr>
              <w:pStyle w:val="Compact"/>
              <w:jc w:val="left"/>
            </w:pPr>
            <w:r>
              <w:t xml:space="preserve">Primary Plant</w:t>
            </w:r>
          </w:p>
        </w:tc>
      </w:tr>
      <w:tr>
        <w:tc>
          <w:tcPr/>
          <w:p>
            <w:pPr>
              <w:pStyle w:val="Compact"/>
              <w:jc w:val="left"/>
            </w:pPr>
            <w:r>
              <w:rPr>
                <w:bCs/>
                <w:b/>
              </w:rPr>
              <w:t xml:space="preserve">Electricity (Induction &amp; Press)</w:t>
            </w:r>
          </w:p>
        </w:tc>
        <w:tc>
          <w:tcPr/>
          <w:p>
            <w:pPr>
              <w:pStyle w:val="Compact"/>
              <w:jc w:val="left"/>
            </w:pPr>
            <w:r>
              <w:t xml:space="preserve">1.120</w:t>
            </w:r>
          </w:p>
        </w:tc>
        <w:tc>
          <w:tcPr/>
          <w:p>
            <w:pPr>
              <w:pStyle w:val="Compact"/>
              <w:jc w:val="left"/>
            </w:pPr>
            <w:r>
              <w:t xml:space="preserve">kWh</w:t>
            </w:r>
          </w:p>
        </w:tc>
        <w:tc>
          <w:tcPr/>
          <w:p>
            <w:pPr>
              <w:pStyle w:val="Compact"/>
              <w:jc w:val="left"/>
            </w:pPr>
            <w:r>
              <w:t xml:space="preserve">Tier 1: Sub-metered electrical lines at forge line</w:t>
            </w:r>
          </w:p>
        </w:tc>
        <w:tc>
          <w:tcPr/>
          <w:p>
            <w:pPr>
              <w:pStyle w:val="Compact"/>
              <w:jc w:val="left"/>
            </w:pPr>
            <w:r>
              <w:t xml:space="preserve">1.0 (Very High)</w:t>
            </w:r>
          </w:p>
        </w:tc>
        <w:tc>
          <w:tcPr/>
          <w:p>
            <w:pPr>
              <w:pStyle w:val="Compact"/>
              <w:jc w:val="left"/>
            </w:pPr>
            <w:r>
              <w:t xml:space="preserve">Primary Plant</w:t>
            </w:r>
          </w:p>
        </w:tc>
      </w:tr>
      <w:tr>
        <w:tc>
          <w:tcPr/>
          <w:p>
            <w:pPr>
              <w:pStyle w:val="Compact"/>
              <w:jc w:val="left"/>
            </w:pPr>
            <w:r>
              <w:rPr>
                <w:bCs/>
                <w:b/>
              </w:rPr>
              <w:t xml:space="preserve">Forging Die Lubricant</w:t>
            </w:r>
          </w:p>
        </w:tc>
        <w:tc>
          <w:tcPr/>
          <w:p>
            <w:pPr>
              <w:pStyle w:val="Compact"/>
              <w:jc w:val="left"/>
            </w:pPr>
            <w:r>
              <w:t xml:space="preserve">0.015</w:t>
            </w:r>
          </w:p>
        </w:tc>
        <w:tc>
          <w:tcPr/>
          <w:p>
            <w:pPr>
              <w:pStyle w:val="Compact"/>
              <w:jc w:val="left"/>
            </w:pPr>
            <w:r>
              <w:t xml:space="preserve">kg</w:t>
            </w:r>
          </w:p>
        </w:tc>
        <w:tc>
          <w:tcPr/>
          <w:p>
            <w:pPr>
              <w:pStyle w:val="Compact"/>
              <w:jc w:val="left"/>
            </w:pPr>
            <w:r>
              <w:t xml:space="preserve">Tier 1: SAP ERP inventory dispatch records</w:t>
            </w:r>
          </w:p>
        </w:tc>
        <w:tc>
          <w:tcPr/>
          <w:p>
            <w:pPr>
              <w:pStyle w:val="Compact"/>
              <w:jc w:val="left"/>
            </w:pPr>
            <w:r>
              <w:t xml:space="preserve">1.3 (High)</w:t>
            </w:r>
          </w:p>
        </w:tc>
        <w:tc>
          <w:tcPr/>
          <w:p>
            <w:pPr>
              <w:pStyle w:val="Compact"/>
              <w:jc w:val="left"/>
            </w:pPr>
            <w:r>
              <w:t xml:space="preserve">Primary Plant</w:t>
            </w:r>
          </w:p>
        </w:tc>
      </w:tr>
      <w:tr>
        <w:tc>
          <w:tcPr/>
          <w:p>
            <w:pPr>
              <w:pStyle w:val="Compact"/>
              <w:jc w:val="left"/>
            </w:pPr>
            <w:r>
              <w:rPr>
                <w:bCs/>
                <w:b/>
              </w:rPr>
              <w:t xml:space="preserve">Forging Die Tooling Wear</w:t>
            </w:r>
          </w:p>
        </w:tc>
        <w:tc>
          <w:tcPr/>
          <w:p>
            <w:pPr>
              <w:pStyle w:val="Compact"/>
              <w:jc w:val="left"/>
            </w:pPr>
            <w:r>
              <w:t xml:space="preserve">0.003</w:t>
            </w:r>
          </w:p>
        </w:tc>
        <w:tc>
          <w:tcPr/>
          <w:p>
            <w:pPr>
              <w:pStyle w:val="Compact"/>
              <w:jc w:val="left"/>
            </w:pPr>
            <w:r>
              <w:t xml:space="preserve">kg tool steel</w:t>
            </w:r>
          </w:p>
        </w:tc>
        <w:tc>
          <w:tcPr/>
          <w:p>
            <w:pPr>
              <w:pStyle w:val="Compact"/>
              <w:jc w:val="left"/>
            </w:pPr>
            <w:r>
              <w:t xml:space="preserve">Tier 1: Tool maintenance amortized consumption log</w:t>
            </w:r>
          </w:p>
        </w:tc>
        <w:tc>
          <w:tcPr/>
          <w:p>
            <w:pPr>
              <w:pStyle w:val="Compact"/>
              <w:jc w:val="left"/>
            </w:pPr>
            <w:r>
              <w:t xml:space="preserve">1.8 (Good)</w:t>
            </w:r>
          </w:p>
        </w:tc>
        <w:tc>
          <w:tcPr/>
          <w:p>
            <w:pPr>
              <w:pStyle w:val="Compact"/>
              <w:jc w:val="left"/>
            </w:pPr>
            <w:r>
              <w:t xml:space="preserve">Primary Plant</w:t>
            </w:r>
          </w:p>
        </w:tc>
      </w:tr>
      <w:tr>
        <w:tc>
          <w:tcPr/>
          <w:p>
            <w:pPr>
              <w:pStyle w:val="Compact"/>
              <w:jc w:val="left"/>
            </w:pPr>
            <w:r>
              <w:rPr>
                <w:bCs/>
                <w:b/>
              </w:rPr>
              <w:t xml:space="preserve">Scrap Steel Recycling</w:t>
            </w:r>
          </w:p>
        </w:tc>
        <w:tc>
          <w:tcPr/>
          <w:p>
            <w:pPr>
              <w:pStyle w:val="Compact"/>
              <w:jc w:val="left"/>
            </w:pPr>
            <w:r>
              <w:t xml:space="preserve">-0.200</w:t>
            </w:r>
          </w:p>
        </w:tc>
        <w:tc>
          <w:tcPr/>
          <w:p>
            <w:pPr>
              <w:pStyle w:val="Compact"/>
              <w:jc w:val="left"/>
            </w:pPr>
            <w:r>
              <w:t xml:space="preserve">kg</w:t>
            </w:r>
          </w:p>
        </w:tc>
        <w:tc>
          <w:tcPr/>
          <w:p>
            <w:pPr>
              <w:pStyle w:val="Compact"/>
              <w:jc w:val="left"/>
            </w:pPr>
            <w:r>
              <w:t xml:space="preserve">Tier 1: Outgoing metal scrap weighbridge tickets</w:t>
            </w:r>
          </w:p>
        </w:tc>
        <w:tc>
          <w:tcPr/>
          <w:p>
            <w:pPr>
              <w:pStyle w:val="Compact"/>
              <w:jc w:val="left"/>
            </w:pPr>
            <w:r>
              <w:t xml:space="preserve">1.0 (Very High)</w:t>
            </w:r>
          </w:p>
        </w:tc>
        <w:tc>
          <w:tcPr/>
          <w:p>
            <w:pPr>
              <w:pStyle w:val="Compact"/>
              <w:jc w:val="left"/>
            </w:pPr>
            <w:r>
              <w:t xml:space="preserve">Primary Plant</w:t>
            </w:r>
          </w:p>
        </w:tc>
      </w:tr>
    </w:tbl>
    <w:p>
      <w:pPr>
        <w:pStyle w:val="BodyText"/>
      </w:pPr>
      <w:r>
        <w:t xml:space="preserve">*DQR = Data Quality Rating based on ISO 14044 / PEF guidance where 1.0 represents the highest quality (technological, geographical, and time-related representativeness).</w:t>
      </w:r>
    </w:p>
    <w:p>
      <w:r>
        <w:pict>
          <v:rect style="width:0;height:1.5pt" o:hralign="center" o:hrstd="t" o:hr="t"/>
        </w:pict>
      </w:r>
    </w:p>
    <w:bookmarkEnd w:id="25"/>
    <w:bookmarkStart w:id="28" w:name="emission-calculations-impact-assessment"/>
    <w:p>
      <w:pPr>
        <w:pStyle w:val="Heading1"/>
      </w:pPr>
      <w:r>
        <w:t xml:space="preserve">4. Emission Calculations &amp; Impact Assessment</w:t>
      </w:r>
    </w:p>
    <w:p>
      <w:pPr>
        <w:pStyle w:val="FirstParagraph"/>
      </w:pPr>
      <w:r>
        <w:t xml:space="preserve">Greenhouse gas emissions are computed using the deterministic equation:</w:t>
      </w:r>
      <w:r>
        <w:br/>
      </w:r>
      <w:r>
        <w:rPr>
          <w:rStyle w:val="VerbatimChar"/>
        </w:rPr>
        <w:t xml:space="preserve">GHG Emissions (kg CO₂e) = Activity Data × Emission Factor (EF)</w:t>
      </w:r>
    </w:p>
    <w:bookmarkStart w:id="26" w:name="X8afe52dbc21907b95fa84ad911b45a1368f6940"/>
    <w:p>
      <w:pPr>
        <w:pStyle w:val="Heading2"/>
      </w:pPr>
      <w:r>
        <w:t xml:space="preserve">4.1 Comprehensive Emission Factor Ledger &amp; Calculation Matrix</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 Cycle Stage</w:t>
            </w:r>
          </w:p>
        </w:tc>
        <w:tc>
          <w:tcPr/>
          <w:p>
            <w:pPr>
              <w:pStyle w:val="Compact"/>
              <w:jc w:val="left"/>
            </w:pPr>
            <w:r>
              <w:t xml:space="preserve">Activity Value</w:t>
            </w:r>
          </w:p>
        </w:tc>
        <w:tc>
          <w:tcPr/>
          <w:p>
            <w:pPr>
              <w:pStyle w:val="Compact"/>
              <w:jc w:val="left"/>
            </w:pPr>
            <w:r>
              <w:t xml:space="preserve">Emission Factor (EF)</w:t>
            </w:r>
          </w:p>
        </w:tc>
        <w:tc>
          <w:tcPr/>
          <w:p>
            <w:pPr>
              <w:pStyle w:val="Compact"/>
              <w:jc w:val="left"/>
            </w:pPr>
            <w:r>
              <w:t xml:space="preserve">EF Source Reference</w:t>
            </w:r>
          </w:p>
        </w:tc>
        <w:tc>
          <w:tcPr/>
          <w:p>
            <w:pPr>
              <w:pStyle w:val="Compact"/>
              <w:jc w:val="left"/>
            </w:pPr>
            <w:r>
              <w:t xml:space="preserve">Total (kg CO₂e)</w:t>
            </w:r>
          </w:p>
        </w:tc>
      </w:tr>
      <w:tr>
        <w:tc>
          <w:tcPr/>
          <w:p>
            <w:pPr>
              <w:pStyle w:val="Compact"/>
              <w:jc w:val="left"/>
            </w:pPr>
            <w:r>
              <w:rPr>
                <w:bCs/>
                <w:b/>
              </w:rPr>
              <w:t xml:space="preserve">Upstream Billet (Asia)</w:t>
            </w:r>
          </w:p>
        </w:tc>
        <w:tc>
          <w:tcPr/>
          <w:p>
            <w:pPr>
              <w:pStyle w:val="Compact"/>
              <w:jc w:val="left"/>
            </w:pPr>
            <w:r>
              <w:t xml:space="preserve">1.250 kg</w:t>
            </w:r>
          </w:p>
        </w:tc>
        <w:tc>
          <w:tcPr/>
          <w:p>
            <w:pPr>
              <w:pStyle w:val="Compact"/>
              <w:jc w:val="left"/>
            </w:pPr>
            <w:r>
              <w:t xml:space="preserve">2.2304 kg CO₂e / kg</w:t>
            </w:r>
          </w:p>
        </w:tc>
        <w:tc>
          <w:tcPr/>
          <w:p>
            <w:pPr>
              <w:pStyle w:val="Compact"/>
              <w:jc w:val="left"/>
            </w:pPr>
            <w:r>
              <w:t xml:space="preserve">Ecoinvent 3.9 (BF-BOF, China/Asia)</w:t>
            </w:r>
          </w:p>
        </w:tc>
        <w:tc>
          <w:tcPr/>
          <w:p>
            <w:pPr>
              <w:pStyle w:val="Compact"/>
              <w:jc w:val="left"/>
            </w:pPr>
            <w:r>
              <w:rPr>
                <w:bCs/>
                <w:b/>
              </w:rPr>
              <w:t xml:space="preserve">2.7880</w:t>
            </w:r>
          </w:p>
        </w:tc>
      </w:tr>
      <w:tr>
        <w:tc>
          <w:tcPr/>
          <w:p>
            <w:pPr>
              <w:pStyle w:val="Compact"/>
              <w:jc w:val="left"/>
            </w:pPr>
            <w:r>
              <w:rPr>
                <w:bCs/>
                <w:b/>
              </w:rPr>
              <w:t xml:space="preserve">Maritime Freight (10k km)</w:t>
            </w:r>
          </w:p>
        </w:tc>
        <w:tc>
          <w:tcPr/>
          <w:p>
            <w:pPr>
              <w:pStyle w:val="Compact"/>
              <w:jc w:val="left"/>
            </w:pPr>
            <w:r>
              <w:t xml:space="preserve">12.500 t·km</w:t>
            </w:r>
          </w:p>
        </w:tc>
        <w:tc>
          <w:tcPr/>
          <w:p>
            <w:pPr>
              <w:pStyle w:val="Compact"/>
              <w:jc w:val="left"/>
            </w:pPr>
            <w:r>
              <w:t xml:space="preserve">0.01614 kg CO₂e / t·km</w:t>
            </w:r>
          </w:p>
        </w:tc>
        <w:tc>
          <w:tcPr/>
          <w:p>
            <w:pPr>
              <w:pStyle w:val="Compact"/>
              <w:jc w:val="left"/>
            </w:pPr>
            <w:r>
              <w:t xml:space="preserve">DEFRA/DESNZ 2024 Container Ship</w:t>
            </w:r>
          </w:p>
        </w:tc>
        <w:tc>
          <w:tcPr/>
          <w:p>
            <w:pPr>
              <w:pStyle w:val="Compact"/>
              <w:jc w:val="left"/>
            </w:pPr>
            <w:r>
              <w:rPr>
                <w:bCs/>
                <w:b/>
              </w:rPr>
              <w:t xml:space="preserve">0.2018</w:t>
            </w:r>
          </w:p>
        </w:tc>
      </w:tr>
      <w:tr>
        <w:tc>
          <w:tcPr/>
          <w:p>
            <w:pPr>
              <w:pStyle w:val="Compact"/>
              <w:jc w:val="left"/>
            </w:pPr>
            <w:r>
              <w:rPr>
                <w:bCs/>
                <w:b/>
              </w:rPr>
              <w:t xml:space="preserve">Inland Road Freight</w:t>
            </w:r>
          </w:p>
        </w:tc>
        <w:tc>
          <w:tcPr/>
          <w:p>
            <w:pPr>
              <w:pStyle w:val="Compact"/>
              <w:jc w:val="left"/>
            </w:pPr>
            <w:r>
              <w:t xml:space="preserve">0.313 t·km</w:t>
            </w:r>
          </w:p>
        </w:tc>
        <w:tc>
          <w:tcPr/>
          <w:p>
            <w:pPr>
              <w:pStyle w:val="Compact"/>
              <w:jc w:val="left"/>
            </w:pPr>
            <w:r>
              <w:t xml:space="preserve">0.08832 kg CO₂e / t·km</w:t>
            </w:r>
          </w:p>
        </w:tc>
        <w:tc>
          <w:tcPr/>
          <w:p>
            <w:pPr>
              <w:pStyle w:val="Compact"/>
              <w:jc w:val="left"/>
            </w:pPr>
            <w:r>
              <w:t xml:space="preserve">DEFRA 2024 HGV Diesel &gt;20t Mix</w:t>
            </w:r>
          </w:p>
        </w:tc>
        <w:tc>
          <w:tcPr/>
          <w:p>
            <w:pPr>
              <w:pStyle w:val="Compact"/>
              <w:jc w:val="left"/>
            </w:pPr>
            <w:r>
              <w:rPr>
                <w:bCs/>
                <w:b/>
              </w:rPr>
              <w:t xml:space="preserve">0.0276</w:t>
            </w:r>
          </w:p>
        </w:tc>
      </w:tr>
      <w:tr>
        <w:tc>
          <w:tcPr/>
          <w:p>
            <w:pPr>
              <w:pStyle w:val="Compact"/>
              <w:jc w:val="left"/>
            </w:pPr>
            <w:r>
              <w:rPr>
                <w:bCs/>
                <w:b/>
              </w:rPr>
              <w:t xml:space="preserve">Scope 1: Direct Natural Gas</w:t>
            </w:r>
          </w:p>
        </w:tc>
        <w:tc>
          <w:tcPr/>
          <w:p>
            <w:pPr>
              <w:pStyle w:val="Compact"/>
              <w:jc w:val="left"/>
            </w:pPr>
            <w:r>
              <w:t xml:space="preserve">0.055 Nm³</w:t>
            </w:r>
          </w:p>
        </w:tc>
        <w:tc>
          <w:tcPr/>
          <w:p>
            <w:pPr>
              <w:pStyle w:val="Compact"/>
              <w:jc w:val="left"/>
            </w:pPr>
            <w:r>
              <w:t xml:space="preserve">2.0280 kg CO₂e / Nm³</w:t>
            </w:r>
          </w:p>
        </w:tc>
        <w:tc>
          <w:tcPr/>
          <w:p>
            <w:pPr>
              <w:pStyle w:val="Compact"/>
              <w:jc w:val="left"/>
            </w:pPr>
            <w:r>
              <w:t xml:space="preserve">Finland VTT / Statistics Finland 2024</w:t>
            </w:r>
          </w:p>
        </w:tc>
        <w:tc>
          <w:tcPr/>
          <w:p>
            <w:pPr>
              <w:pStyle w:val="Compact"/>
              <w:jc w:val="left"/>
            </w:pPr>
            <w:r>
              <w:rPr>
                <w:bCs/>
                <w:b/>
              </w:rPr>
              <w:t xml:space="preserve">0.1115</w:t>
            </w:r>
          </w:p>
        </w:tc>
      </w:tr>
      <w:tr>
        <w:tc>
          <w:tcPr/>
          <w:p>
            <w:pPr>
              <w:pStyle w:val="Compact"/>
              <w:jc w:val="left"/>
            </w:pPr>
            <w:r>
              <w:rPr>
                <w:bCs/>
                <w:b/>
              </w:rPr>
              <w:t xml:space="preserve">Scope 1: Lubricant Cracking</w:t>
            </w:r>
          </w:p>
        </w:tc>
        <w:tc>
          <w:tcPr/>
          <w:p>
            <w:pPr>
              <w:pStyle w:val="Compact"/>
              <w:jc w:val="left"/>
            </w:pPr>
            <w:r>
              <w:t xml:space="preserve">0.015 kg</w:t>
            </w:r>
          </w:p>
        </w:tc>
        <w:tc>
          <w:tcPr/>
          <w:p>
            <w:pPr>
              <w:pStyle w:val="Compact"/>
              <w:jc w:val="left"/>
            </w:pPr>
            <w:r>
              <w:t xml:space="preserve">0.5400 kg CO₂e / kg</w:t>
            </w:r>
          </w:p>
        </w:tc>
        <w:tc>
          <w:tcPr/>
          <w:p>
            <w:pPr>
              <w:pStyle w:val="Compact"/>
              <w:jc w:val="left"/>
            </w:pPr>
            <w:r>
              <w:t xml:space="preserve">Ecoinvent 3.9 synthetic ester/graphite</w:t>
            </w:r>
          </w:p>
        </w:tc>
        <w:tc>
          <w:tcPr/>
          <w:p>
            <w:pPr>
              <w:pStyle w:val="Compact"/>
              <w:jc w:val="left"/>
            </w:pPr>
            <w:r>
              <w:rPr>
                <w:bCs/>
                <w:b/>
              </w:rPr>
              <w:t xml:space="preserve">0.0081</w:t>
            </w:r>
          </w:p>
        </w:tc>
      </w:tr>
      <w:tr>
        <w:tc>
          <w:tcPr/>
          <w:p>
            <w:pPr>
              <w:pStyle w:val="Compact"/>
              <w:jc w:val="left"/>
            </w:pPr>
            <w:r>
              <w:rPr>
                <w:bCs/>
                <w:b/>
              </w:rPr>
              <w:t xml:space="preserve">Scope 2: Finnish Grid Power</w:t>
            </w:r>
          </w:p>
        </w:tc>
        <w:tc>
          <w:tcPr/>
          <w:p>
            <w:pPr>
              <w:pStyle w:val="Compact"/>
              <w:jc w:val="left"/>
            </w:pPr>
            <w:r>
              <w:t xml:space="preserve">1.120 kWh</w:t>
            </w:r>
          </w:p>
        </w:tc>
        <w:tc>
          <w:tcPr/>
          <w:p>
            <w:pPr>
              <w:pStyle w:val="Compact"/>
              <w:jc w:val="left"/>
            </w:pPr>
            <w:r>
              <w:t xml:space="preserve">0.0680 kg CO₂e / kWh</w:t>
            </w:r>
          </w:p>
        </w:tc>
        <w:tc>
          <w:tcPr/>
          <w:p>
            <w:pPr>
              <w:pStyle w:val="Compact"/>
              <w:jc w:val="left"/>
            </w:pPr>
            <w:r>
              <w:t xml:space="preserve">IEA 2024 / Motiva Finland Grid Mix</w:t>
            </w:r>
          </w:p>
        </w:tc>
        <w:tc>
          <w:tcPr/>
          <w:p>
            <w:pPr>
              <w:pStyle w:val="Compact"/>
              <w:jc w:val="left"/>
            </w:pPr>
            <w:r>
              <w:rPr>
                <w:bCs/>
                <w:b/>
              </w:rPr>
              <w:t xml:space="preserve">0.0762</w:t>
            </w:r>
          </w:p>
        </w:tc>
      </w:tr>
      <w:tr>
        <w:tc>
          <w:tcPr/>
          <w:p>
            <w:pPr>
              <w:pStyle w:val="Compact"/>
              <w:jc w:val="left"/>
            </w:pPr>
            <w:r>
              <w:rPr>
                <w:bCs/>
                <w:b/>
              </w:rPr>
              <w:t xml:space="preserve">Scope 3: Auxiliary Consumables</w:t>
            </w:r>
          </w:p>
        </w:tc>
        <w:tc>
          <w:tcPr/>
          <w:p>
            <w:pPr>
              <w:pStyle w:val="Compact"/>
              <w:jc w:val="left"/>
            </w:pPr>
            <w:r>
              <w:t xml:space="preserve">1.000 FU eq</w:t>
            </w:r>
          </w:p>
        </w:tc>
        <w:tc>
          <w:tcPr/>
          <w:p>
            <w:pPr>
              <w:pStyle w:val="Compact"/>
              <w:jc w:val="left"/>
            </w:pPr>
            <w:r>
              <w:t xml:space="preserve">0.0708 kg CO₂e / unit</w:t>
            </w:r>
          </w:p>
        </w:tc>
        <w:tc>
          <w:tcPr/>
          <w:p>
            <w:pPr>
              <w:pStyle w:val="Compact"/>
              <w:jc w:val="left"/>
            </w:pPr>
            <w:r>
              <w:t xml:space="preserve">Aggregated Tooling &amp; Shot (Ecoinvent)</w:t>
            </w:r>
          </w:p>
        </w:tc>
        <w:tc>
          <w:tcPr/>
          <w:p>
            <w:pPr>
              <w:pStyle w:val="Compact"/>
              <w:jc w:val="left"/>
            </w:pPr>
            <w:r>
              <w:rPr>
                <w:bCs/>
                <w:b/>
              </w:rPr>
              <w:t xml:space="preserve">0.0708</w:t>
            </w:r>
          </w:p>
        </w:tc>
      </w:tr>
      <w:tr>
        <w:tc>
          <w:tcPr>
            <w:gridSpan w:val="4"/>
          </w:tcPr>
          <w:p>
            <w:pPr>
              <w:pStyle w:val="Compact"/>
              <w:jc w:val="left"/>
            </w:pPr>
            <w:r>
              <w:rPr>
                <w:bCs/>
                <w:b/>
              </w:rPr>
              <w:t xml:space="preserve">GROSS PRODUCT CARBON FOOTPRINT (Factory Gate)</w:t>
            </w:r>
          </w:p>
        </w:tc>
        <w:tc>
          <w:tcPr/>
          <w:p>
            <w:pPr>
              <w:pStyle w:val="Compact"/>
              <w:jc w:val="left"/>
            </w:pPr>
            <w:r>
              <w:rPr>
                <w:bCs/>
                <w:b/>
              </w:rPr>
              <w:t xml:space="preserve">3.2840 kg CO₂e</w:t>
            </w:r>
          </w:p>
        </w:tc>
      </w:tr>
      <w:tr>
        <w:tc>
          <w:tcPr/>
          <w:p>
            <w:pPr>
              <w:pStyle w:val="Compact"/>
              <w:jc w:val="left"/>
            </w:pPr>
            <w:r>
              <w:rPr>
                <w:bCs/>
                <w:b/>
              </w:rPr>
              <w:t xml:space="preserve">Avoided Burden: Scrap Offset</w:t>
            </w:r>
          </w:p>
        </w:tc>
        <w:tc>
          <w:tcPr/>
          <w:p>
            <w:pPr>
              <w:pStyle w:val="Compact"/>
              <w:jc w:val="left"/>
            </w:pPr>
            <w:r>
              <w:t xml:space="preserve">-0.200 kg</w:t>
            </w:r>
          </w:p>
        </w:tc>
        <w:tc>
          <w:tcPr/>
          <w:p>
            <w:pPr>
              <w:pStyle w:val="Compact"/>
              <w:jc w:val="left"/>
            </w:pPr>
            <w:r>
              <w:t xml:space="preserve">1.3500 kg CO₂e / kg (Credit)</w:t>
            </w:r>
          </w:p>
        </w:tc>
        <w:tc>
          <w:tcPr/>
          <w:p>
            <w:pPr>
              <w:pStyle w:val="Compact"/>
              <w:jc w:val="left"/>
            </w:pPr>
            <w:r>
              <w:t xml:space="preserve">WorldSteel EAF substitution value</w:t>
            </w:r>
          </w:p>
        </w:tc>
        <w:tc>
          <w:tcPr/>
          <w:p>
            <w:pPr>
              <w:pStyle w:val="Compact"/>
              <w:jc w:val="left"/>
            </w:pPr>
            <w:r>
              <w:rPr>
                <w:bCs/>
                <w:b/>
              </w:rPr>
              <w:t xml:space="preserve">-0.2700</w:t>
            </w:r>
          </w:p>
        </w:tc>
      </w:tr>
      <w:tr>
        <w:tc>
          <w:tcPr>
            <w:gridSpan w:val="4"/>
          </w:tcPr>
          <w:p>
            <w:pPr>
              <w:pStyle w:val="Compact"/>
              <w:jc w:val="left"/>
            </w:pPr>
            <w:r>
              <w:rPr>
                <w:bCs/>
                <w:b/>
              </w:rPr>
              <w:t xml:space="preserve">NET PRODUCT CARBON FOOTPRINT (Inclusive of Recycling Value)</w:t>
            </w:r>
          </w:p>
        </w:tc>
        <w:tc>
          <w:tcPr/>
          <w:p>
            <w:pPr>
              <w:pStyle w:val="Compact"/>
              <w:jc w:val="left"/>
            </w:pPr>
            <w:r>
              <w:rPr>
                <w:bCs/>
                <w:b/>
              </w:rPr>
              <w:t xml:space="preserve">3.0140 kg CO₂e</w:t>
            </w:r>
          </w:p>
        </w:tc>
      </w:tr>
    </w:tbl>
    <w:bookmarkEnd w:id="26"/>
    <w:bookmarkStart w:id="27" w:name="X20f127e1cde2027813af92446e3fc6ccf6f274b"/>
    <w:p>
      <w:pPr>
        <w:pStyle w:val="Heading2"/>
      </w:pPr>
      <w:r>
        <w:t xml:space="preserve">4.2 Categorization According to ISO 14064-1:2018</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ISO 14064-1 Scope Category</w:t>
            </w:r>
          </w:p>
        </w:tc>
        <w:tc>
          <w:tcPr/>
          <w:p>
            <w:pPr>
              <w:pStyle w:val="Compact"/>
              <w:jc w:val="left"/>
            </w:pPr>
            <w:r>
              <w:t xml:space="preserve">Operational Elements</w:t>
            </w:r>
          </w:p>
        </w:tc>
        <w:tc>
          <w:tcPr/>
          <w:p>
            <w:pPr>
              <w:pStyle w:val="Compact"/>
              <w:jc w:val="left"/>
            </w:pPr>
            <w:r>
              <w:t xml:space="preserve">Emissions (kg CO₂e)</w:t>
            </w:r>
          </w:p>
        </w:tc>
        <w:tc>
          <w:tcPr/>
          <w:p>
            <w:pPr>
              <w:pStyle w:val="Compact"/>
              <w:jc w:val="left"/>
            </w:pPr>
            <w:r>
              <w:t xml:space="preserve">Contribution (%)</w:t>
            </w:r>
          </w:p>
        </w:tc>
      </w:tr>
      <w:tr>
        <w:tc>
          <w:tcPr/>
          <w:p>
            <w:pPr>
              <w:pStyle w:val="Compact"/>
              <w:jc w:val="left"/>
            </w:pPr>
            <w:r>
              <w:rPr>
                <w:bCs/>
                <w:b/>
              </w:rPr>
              <w:t xml:space="preserve">Category 1: Direct Emissions</w:t>
            </w:r>
          </w:p>
        </w:tc>
        <w:tc>
          <w:tcPr/>
          <w:p>
            <w:pPr>
              <w:pStyle w:val="Compact"/>
              <w:jc w:val="left"/>
            </w:pPr>
            <w:r>
              <w:t xml:space="preserve">Natural gas furnaces, torch heating, lubricant volatile loss</w:t>
            </w:r>
          </w:p>
        </w:tc>
        <w:tc>
          <w:tcPr/>
          <w:p>
            <w:pPr>
              <w:pStyle w:val="Compact"/>
              <w:jc w:val="left"/>
            </w:pPr>
            <w:r>
              <w:t xml:space="preserve">0.1196</w:t>
            </w:r>
          </w:p>
        </w:tc>
        <w:tc>
          <w:tcPr/>
          <w:p>
            <w:pPr>
              <w:pStyle w:val="Compact"/>
              <w:jc w:val="left"/>
            </w:pPr>
            <w:r>
              <w:t xml:space="preserve">3.64%</w:t>
            </w:r>
          </w:p>
        </w:tc>
      </w:tr>
      <w:tr>
        <w:tc>
          <w:tcPr/>
          <w:p>
            <w:pPr>
              <w:pStyle w:val="Compact"/>
              <w:jc w:val="left"/>
            </w:pPr>
            <w:r>
              <w:rPr>
                <w:bCs/>
                <w:b/>
              </w:rPr>
              <w:t xml:space="preserve">Category 2: Indirect from Imported Energy</w:t>
            </w:r>
          </w:p>
        </w:tc>
        <w:tc>
          <w:tcPr/>
          <w:p>
            <w:pPr>
              <w:pStyle w:val="Compact"/>
              <w:jc w:val="left"/>
            </w:pPr>
            <w:r>
              <w:t xml:space="preserve">Facility electrical grid consumption (induction heaters, press)</w:t>
            </w:r>
          </w:p>
        </w:tc>
        <w:tc>
          <w:tcPr/>
          <w:p>
            <w:pPr>
              <w:pStyle w:val="Compact"/>
              <w:jc w:val="left"/>
            </w:pPr>
            <w:r>
              <w:t xml:space="preserve">0.0762</w:t>
            </w:r>
          </w:p>
        </w:tc>
        <w:tc>
          <w:tcPr/>
          <w:p>
            <w:pPr>
              <w:pStyle w:val="Compact"/>
              <w:jc w:val="left"/>
            </w:pPr>
            <w:r>
              <w:t xml:space="preserve">2.32%</w:t>
            </w:r>
          </w:p>
        </w:tc>
      </w:tr>
      <w:tr>
        <w:tc>
          <w:tcPr/>
          <w:p>
            <w:pPr>
              <w:pStyle w:val="Compact"/>
              <w:jc w:val="left"/>
            </w:pPr>
            <w:r>
              <w:rPr>
                <w:bCs/>
                <w:b/>
              </w:rPr>
              <w:t xml:space="preserve">Category 3: Indirect from Transportation</w:t>
            </w:r>
          </w:p>
        </w:tc>
        <w:tc>
          <w:tcPr/>
          <w:p>
            <w:pPr>
              <w:pStyle w:val="Compact"/>
              <w:jc w:val="left"/>
            </w:pPr>
            <w:r>
              <w:t xml:space="preserve">10,000 km Sea freight + 250 km inland road logistics</w:t>
            </w:r>
          </w:p>
        </w:tc>
        <w:tc>
          <w:tcPr/>
          <w:p>
            <w:pPr>
              <w:pStyle w:val="Compact"/>
              <w:jc w:val="left"/>
            </w:pPr>
            <w:r>
              <w:t xml:space="preserve">0.2294</w:t>
            </w:r>
          </w:p>
        </w:tc>
        <w:tc>
          <w:tcPr/>
          <w:p>
            <w:pPr>
              <w:pStyle w:val="Compact"/>
              <w:jc w:val="left"/>
            </w:pPr>
            <w:r>
              <w:t xml:space="preserve">6.99%</w:t>
            </w:r>
          </w:p>
        </w:tc>
      </w:tr>
      <w:tr>
        <w:tc>
          <w:tcPr/>
          <w:p>
            <w:pPr>
              <w:pStyle w:val="Compact"/>
              <w:jc w:val="left"/>
            </w:pPr>
            <w:r>
              <w:rPr>
                <w:bCs/>
                <w:b/>
              </w:rPr>
              <w:t xml:space="preserve">Category 4: Indirect from Purchased Goods</w:t>
            </w:r>
          </w:p>
        </w:tc>
        <w:tc>
          <w:tcPr/>
          <w:p>
            <w:pPr>
              <w:pStyle w:val="Compact"/>
              <w:jc w:val="left"/>
            </w:pPr>
            <w:r>
              <w:t xml:space="preserve">Upstream Asian steel billet, tool wear, shot blast media</w:t>
            </w:r>
          </w:p>
        </w:tc>
        <w:tc>
          <w:tcPr/>
          <w:p>
            <w:pPr>
              <w:pStyle w:val="Compact"/>
              <w:jc w:val="left"/>
            </w:pPr>
            <w:r>
              <w:t xml:space="preserve">2.8588</w:t>
            </w:r>
          </w:p>
        </w:tc>
        <w:tc>
          <w:tcPr/>
          <w:p>
            <w:pPr>
              <w:pStyle w:val="Compact"/>
              <w:jc w:val="left"/>
            </w:pPr>
            <w:r>
              <w:t xml:space="preserve">87.05%</w:t>
            </w:r>
          </w:p>
        </w:tc>
      </w:tr>
      <w:tr>
        <w:tc>
          <w:tcPr>
            <w:gridSpan w:val="2"/>
          </w:tcPr>
          <w:p>
            <w:pPr>
              <w:pStyle w:val="Compact"/>
              <w:jc w:val="left"/>
            </w:pPr>
            <w:r>
              <w:rPr>
                <w:bCs/>
                <w:b/>
              </w:rPr>
              <w:t xml:space="preserve">Total Gross Organizationally Attributed Footprint</w:t>
            </w:r>
          </w:p>
        </w:tc>
        <w:tc>
          <w:tcPr/>
          <w:p>
            <w:pPr>
              <w:pStyle w:val="Compact"/>
              <w:jc w:val="left"/>
            </w:pPr>
            <w:r>
              <w:rPr>
                <w:bCs/>
                <w:b/>
              </w:rPr>
              <w:t xml:space="preserve">3.2840</w:t>
            </w:r>
          </w:p>
        </w:tc>
        <w:tc>
          <w:tcPr/>
          <w:p>
            <w:pPr>
              <w:pStyle w:val="Compact"/>
              <w:jc w:val="left"/>
            </w:pPr>
            <w:r>
              <w:rPr>
                <w:bCs/>
                <w:b/>
              </w:rPr>
              <w:t xml:space="preserve">100.00%</w:t>
            </w:r>
          </w:p>
        </w:tc>
      </w:tr>
    </w:tbl>
    <w:p>
      <w:r>
        <w:pict>
          <v:rect style="width:0;height:1.5pt" o:hralign="center" o:hrstd="t" o:hr="t"/>
        </w:pict>
      </w:r>
    </w:p>
    <w:bookmarkEnd w:id="27"/>
    <w:bookmarkEnd w:id="28"/>
    <w:bookmarkStart w:id="31" w:name="carbon-hotspots-sensitivity-analysis"/>
    <w:p>
      <w:pPr>
        <w:pStyle w:val="Heading1"/>
      </w:pPr>
      <w:r>
        <w:t xml:space="preserve">5. Carbon Hotspots &amp; Sensitivity Analysis</w:t>
      </w:r>
    </w:p>
    <w:bookmarkStart w:id="29" w:name="hotspot-evaluation"/>
    <w:p>
      <w:pPr>
        <w:pStyle w:val="Heading2"/>
      </w:pPr>
      <w:r>
        <w:t xml:space="preserve">5.1 Hotspot Evaluation</w:t>
      </w:r>
    </w:p>
    <w:p>
      <w:pPr>
        <w:pStyle w:val="FirstParagraph"/>
      </w:pPr>
      <w:r>
        <w:t xml:space="preserve">The life cycle emission structure reveals a single overwhelming emissions driver:</w:t>
      </w:r>
    </w:p>
    <w:p>
      <w:pPr>
        <w:numPr>
          <w:ilvl w:val="0"/>
          <w:numId w:val="1003"/>
        </w:numPr>
        <w:pStyle w:val="Compact"/>
      </w:pPr>
      <w:r>
        <w:rPr>
          <w:bCs/>
          <w:b/>
        </w:rPr>
        <w:t xml:space="preserve">Raw Steel Sourcing (84.9%):</w:t>
      </w:r>
      <w:r>
        <w:t xml:space="preserve"> </w:t>
      </w:r>
      <w:r>
        <w:t xml:space="preserve">The high carbon intensity of blast furnace production in coal-reliant grids in Asia is the predominant contributor. Even with low-loss modern forging, 1.25 kg of raw steel accounts for ~2.79 kg CO₂e.</w:t>
      </w:r>
    </w:p>
    <w:p>
      <w:pPr>
        <w:numPr>
          <w:ilvl w:val="0"/>
          <w:numId w:val="1003"/>
        </w:numPr>
        <w:pStyle w:val="Compact"/>
      </w:pPr>
      <w:r>
        <w:rPr>
          <w:bCs/>
          <w:b/>
        </w:rPr>
        <w:t xml:space="preserve">Intercontinental Sea Freight (6.1%):</w:t>
      </w:r>
      <w:r>
        <w:t xml:space="preserve"> </w:t>
      </w:r>
      <w:r>
        <w:t xml:space="preserve">Covering 10,000 km by sea produces 0.202 kg CO₂e. While shipping is highly fuel-efficient per tonne-kilometer, the sheer geographical distance creates an emissions profile larger than the direct manufacturing footprint of the Finnish plant.</w:t>
      </w:r>
    </w:p>
    <w:p>
      <w:pPr>
        <w:numPr>
          <w:ilvl w:val="0"/>
          <w:numId w:val="1003"/>
        </w:numPr>
        <w:pStyle w:val="Compact"/>
      </w:pPr>
      <w:r>
        <w:rPr>
          <w:bCs/>
          <w:b/>
        </w:rPr>
        <w:t xml:space="preserve">Finnish Manufacturing Operations (5.9% combined):</w:t>
      </w:r>
      <w:r>
        <w:t xml:space="preserve"> </w:t>
      </w:r>
      <w:r>
        <w:t xml:space="preserve">Due to Finland\'s highly decarbonized grid (nuclear, hydro, biomass, and wind representing &gt;90% of electricity generation), plant electricity adds only 2.3% of the total, while natural gas combustion contributes 3.6%.</w:t>
      </w:r>
    </w:p>
    <w:bookmarkEnd w:id="29"/>
    <w:bookmarkStart w:id="30" w:name="sensitivity-scenario-analysis"/>
    <w:p>
      <w:pPr>
        <w:pStyle w:val="Heading2"/>
      </w:pPr>
      <w:r>
        <w:t xml:space="preserve">5.2 Sensitivity &amp; Scenario Analysis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Scenario Description</w:t>
            </w:r>
          </w:p>
        </w:tc>
        <w:tc>
          <w:tcPr/>
          <w:p>
            <w:pPr>
              <w:pStyle w:val="Compact"/>
              <w:jc w:val="left"/>
            </w:pPr>
            <w:r>
              <w:t xml:space="preserve">Variable Modification</w:t>
            </w:r>
          </w:p>
        </w:tc>
        <w:tc>
          <w:tcPr/>
          <w:p>
            <w:pPr>
              <w:pStyle w:val="Compact"/>
              <w:jc w:val="left"/>
            </w:pPr>
            <w:r>
              <w:t xml:space="preserve">Resulting Net PCF</w:t>
            </w:r>
          </w:p>
        </w:tc>
        <w:tc>
          <w:tcPr/>
          <w:p>
            <w:pPr>
              <w:pStyle w:val="Compact"/>
              <w:jc w:val="left"/>
            </w:pPr>
            <w:r>
              <w:t xml:space="preserve">Variance vs Base</w:t>
            </w:r>
          </w:p>
        </w:tc>
      </w:tr>
      <w:tr>
        <w:tc>
          <w:tcPr/>
          <w:p>
            <w:pPr>
              <w:pStyle w:val="Compact"/>
              <w:jc w:val="left"/>
            </w:pPr>
            <w:r>
              <w:rPr>
                <w:bCs/>
                <w:b/>
              </w:rPr>
              <w:t xml:space="preserve">Baseline Model</w:t>
            </w:r>
          </w:p>
        </w:tc>
        <w:tc>
          <w:tcPr/>
          <w:p>
            <w:pPr>
              <w:pStyle w:val="Compact"/>
              <w:jc w:val="left"/>
            </w:pPr>
            <w:r>
              <w:t xml:space="preserve">Asia BF-BOF Steel + 10,000 km Sea + FI Grid</w:t>
            </w:r>
          </w:p>
        </w:tc>
        <w:tc>
          <w:tcPr/>
          <w:p>
            <w:pPr>
              <w:pStyle w:val="Compact"/>
              <w:jc w:val="left"/>
            </w:pPr>
            <w:r>
              <w:t xml:space="preserve">3.014 kg CO₂e</w:t>
            </w:r>
          </w:p>
        </w:tc>
        <w:tc>
          <w:tcPr/>
          <w:p>
            <w:pPr>
              <w:pStyle w:val="Compact"/>
              <w:jc w:val="left"/>
            </w:pPr>
            <w:r>
              <w:t xml:space="preserve">0.0%</w:t>
            </w:r>
          </w:p>
        </w:tc>
      </w:tr>
      <w:tr>
        <w:tc>
          <w:tcPr/>
          <w:p>
            <w:pPr>
              <w:pStyle w:val="Compact"/>
              <w:jc w:val="left"/>
            </w:pPr>
            <w:r>
              <w:rPr>
                <w:bCs/>
                <w:b/>
              </w:rPr>
              <w:t xml:space="preserve">Green Steel Sourcing (Nordic EAF)</w:t>
            </w:r>
          </w:p>
        </w:tc>
        <w:tc>
          <w:tcPr/>
          <w:p>
            <w:pPr>
              <w:pStyle w:val="Compact"/>
              <w:jc w:val="left"/>
            </w:pPr>
            <w:r>
              <w:t xml:space="preserve">Billet replaced with Nordic Scrap-EAF route (0.45 kg CO₂e/kg)</w:t>
            </w:r>
          </w:p>
        </w:tc>
        <w:tc>
          <w:tcPr/>
          <w:p>
            <w:pPr>
              <w:pStyle w:val="Compact"/>
              <w:jc w:val="left"/>
            </w:pPr>
            <w:r>
              <w:t xml:space="preserve">0.789 kg CO₂e</w:t>
            </w:r>
          </w:p>
        </w:tc>
        <w:tc>
          <w:tcPr/>
          <w:p>
            <w:pPr>
              <w:pStyle w:val="Compact"/>
              <w:jc w:val="left"/>
            </w:pPr>
            <w:r>
              <w:rPr>
                <w:bCs/>
                <w:b/>
              </w:rPr>
              <w:t xml:space="preserve">-73.8%</w:t>
            </w:r>
          </w:p>
        </w:tc>
      </w:tr>
      <w:tr>
        <w:tc>
          <w:tcPr/>
          <w:p>
            <w:pPr>
              <w:pStyle w:val="Compact"/>
              <w:jc w:val="left"/>
            </w:pPr>
            <w:r>
              <w:rPr>
                <w:bCs/>
                <w:b/>
              </w:rPr>
              <w:t xml:space="preserve">Biofuel Marine Logistics</w:t>
            </w:r>
          </w:p>
        </w:tc>
        <w:tc>
          <w:tcPr/>
          <w:p>
            <w:pPr>
              <w:pStyle w:val="Compact"/>
              <w:jc w:val="left"/>
            </w:pPr>
            <w:r>
              <w:t xml:space="preserve">10,000 km Sea Freight powered by B100 Biodiesel/e-Methanol</w:t>
            </w:r>
          </w:p>
        </w:tc>
        <w:tc>
          <w:tcPr/>
          <w:p>
            <w:pPr>
              <w:pStyle w:val="Compact"/>
              <w:jc w:val="left"/>
            </w:pPr>
            <w:r>
              <w:t xml:space="preserve">2.842 kg CO₂e</w:t>
            </w:r>
          </w:p>
        </w:tc>
        <w:tc>
          <w:tcPr/>
          <w:p>
            <w:pPr>
              <w:pStyle w:val="Compact"/>
              <w:jc w:val="left"/>
            </w:pPr>
            <w:r>
              <w:rPr>
                <w:bCs/>
                <w:b/>
              </w:rPr>
              <w:t xml:space="preserve">-5.7%</w:t>
            </w:r>
          </w:p>
        </w:tc>
      </w:tr>
      <w:tr>
        <w:tc>
          <w:tcPr/>
          <w:p>
            <w:pPr>
              <w:pStyle w:val="Compact"/>
              <w:jc w:val="left"/>
            </w:pPr>
            <w:r>
              <w:rPr>
                <w:bCs/>
                <w:b/>
              </w:rPr>
              <w:t xml:space="preserve">Electrified Thermal Treatment</w:t>
            </w:r>
          </w:p>
        </w:tc>
        <w:tc>
          <w:tcPr/>
          <w:p>
            <w:pPr>
              <w:pStyle w:val="Compact"/>
              <w:jc w:val="left"/>
            </w:pPr>
            <w:r>
              <w:t xml:space="preserve">Finnish furnace converted from natural gas to 100% electric</w:t>
            </w:r>
          </w:p>
        </w:tc>
        <w:tc>
          <w:tcPr/>
          <w:p>
            <w:pPr>
              <w:pStyle w:val="Compact"/>
              <w:jc w:val="left"/>
            </w:pPr>
            <w:r>
              <w:t xml:space="preserve">2.938 kg CO₂e</w:t>
            </w:r>
          </w:p>
        </w:tc>
        <w:tc>
          <w:tcPr/>
          <w:p>
            <w:pPr>
              <w:pStyle w:val="Compact"/>
              <w:jc w:val="left"/>
            </w:pPr>
            <w:r>
              <w:rPr>
                <w:bCs/>
                <w:b/>
              </w:rPr>
              <w:t xml:space="preserve">-2.5%</w:t>
            </w:r>
          </w:p>
        </w:tc>
      </w:tr>
      <w:tr>
        <w:tc>
          <w:tcPr/>
          <w:p>
            <w:pPr>
              <w:pStyle w:val="Compact"/>
              <w:jc w:val="left"/>
            </w:pPr>
            <w:r>
              <w:rPr>
                <w:bCs/>
                <w:b/>
              </w:rPr>
              <w:t xml:space="preserve">Nearshore Forging (Continental EU)</w:t>
            </w:r>
          </w:p>
        </w:tc>
        <w:tc>
          <w:tcPr/>
          <w:p>
            <w:pPr>
              <w:pStyle w:val="Compact"/>
              <w:jc w:val="left"/>
            </w:pPr>
            <w:r>
              <w:t xml:space="preserve">Billet from Germany/Sweden (no 10k km sea freight)</w:t>
            </w:r>
          </w:p>
        </w:tc>
        <w:tc>
          <w:tcPr/>
          <w:p>
            <w:pPr>
              <w:pStyle w:val="Compact"/>
              <w:jc w:val="left"/>
            </w:pPr>
            <w:r>
              <w:t xml:space="preserve">2.812 kg CO₂e</w:t>
            </w:r>
          </w:p>
        </w:tc>
        <w:tc>
          <w:tcPr/>
          <w:p>
            <w:pPr>
              <w:pStyle w:val="Compact"/>
              <w:jc w:val="left"/>
            </w:pPr>
            <w:r>
              <w:rPr>
                <w:bCs/>
                <w:b/>
              </w:rPr>
              <w:t xml:space="preserve">-6.7%</w:t>
            </w:r>
          </w:p>
        </w:tc>
      </w:tr>
    </w:tbl>
    <w:p>
      <w:r>
        <w:pict>
          <v:rect style="width:0;height:1.5pt" o:hralign="center" o:hrstd="t" o:hr="t"/>
        </w:pict>
      </w:r>
    </w:p>
    <w:bookmarkEnd w:id="30"/>
    <w:bookmarkEnd w:id="31"/>
    <w:bookmarkStart w:id="34" w:name="X8295827c8efe9dc6fea0ee936b828d7b0a40b3b"/>
    <w:p>
      <w:pPr>
        <w:pStyle w:val="Heading1"/>
      </w:pPr>
      <w:r>
        <w:t xml:space="preserve">6. Audit Readiness, Verification Assurance &amp; Recommendations</w:t>
      </w:r>
    </w:p>
    <w:bookmarkStart w:id="32" w:name="Xad9c4e6defa2b2d1b20b623c41d1d01cea52a53"/>
    <w:p>
      <w:pPr>
        <w:pStyle w:val="Heading2"/>
      </w:pPr>
      <w:r>
        <w:t xml:space="preserve">6.1 ISO 14064-3 Verifier Audit Trail Checklist</w:t>
      </w:r>
    </w:p>
    <w:p>
      <w:pPr>
        <w:pStyle w:val="FirstParagraph"/>
      </w:pPr>
      <w:r>
        <w:t xml:space="preserve">To ensure complete compliance during third-party independent assurance audits, the facility has documented the following evidence files:</w:t>
      </w:r>
    </w:p>
    <w:p>
      <w:pPr>
        <w:numPr>
          <w:ilvl w:val="0"/>
          <w:numId w:val="1004"/>
        </w:numPr>
        <w:pStyle w:val="Compact"/>
      </w:pPr>
      <w:r>
        <w:rPr>
          <w:bCs/>
          <w:b/>
        </w:rPr>
        <w:t xml:space="preserve">Material Ledger Reconciliation:</w:t>
      </w:r>
      <w:r>
        <w:t xml:space="preserve"> </w:t>
      </w:r>
      <w:r>
        <w:t xml:space="preserve">Material Safety Data Sheets (MSDS), commercial shipping manifests, and mill test certificates verifying chemical metallurgy and mass input of 1.25 kg billet per finished kilogram.</w:t>
      </w:r>
    </w:p>
    <w:p>
      <w:pPr>
        <w:numPr>
          <w:ilvl w:val="0"/>
          <w:numId w:val="1004"/>
        </w:numPr>
        <w:pStyle w:val="Compact"/>
      </w:pPr>
      <w:r>
        <w:rPr>
          <w:bCs/>
          <w:b/>
        </w:rPr>
        <w:t xml:space="preserve">Logistics Traceability:</w:t>
      </w:r>
      <w:r>
        <w:t xml:space="preserve"> </w:t>
      </w:r>
      <w:r>
        <w:t xml:space="preserve">Ocean bills of lading confirming container vessel routing from Port of Ningbo/Tianjin to Port of Kotka (10,000 km logged nautical track) and road freight CMR waybills.</w:t>
      </w:r>
    </w:p>
    <w:p>
      <w:pPr>
        <w:numPr>
          <w:ilvl w:val="0"/>
          <w:numId w:val="1004"/>
        </w:numPr>
        <w:pStyle w:val="Compact"/>
      </w:pPr>
      <w:r>
        <w:rPr>
          <w:bCs/>
          <w:b/>
        </w:rPr>
        <w:t xml:space="preserve">Energy Meter Calibration:</w:t>
      </w:r>
      <w:r>
        <w:t xml:space="preserve"> </w:t>
      </w:r>
      <w:r>
        <w:t xml:space="preserve">Calibration logs for fiscal billing gas meters and sub-metered electrical lines feeding the 2500T forging press in accordance with ISO 50001 / ISO 14064 energy metering standards.</w:t>
      </w:r>
    </w:p>
    <w:p>
      <w:pPr>
        <w:numPr>
          <w:ilvl w:val="0"/>
          <w:numId w:val="1004"/>
        </w:numPr>
        <w:pStyle w:val="Compact"/>
      </w:pPr>
      <w:r>
        <w:rPr>
          <w:bCs/>
          <w:b/>
        </w:rPr>
        <w:t xml:space="preserve">Scrap Custody Documentation:</w:t>
      </w:r>
      <w:r>
        <w:t xml:space="preserve"> </w:t>
      </w:r>
      <w:r>
        <w:t xml:space="preserve">Certified weigh tickets from Finnish scrap processing recyclers proving recovery of 0.20 kg flash per functional unit.</w:t>
      </w:r>
    </w:p>
    <w:bookmarkEnd w:id="32"/>
    <w:bookmarkStart w:id="33" w:name="decarbonization-action-plan"/>
    <w:p>
      <w:pPr>
        <w:pStyle w:val="Heading2"/>
      </w:pPr>
      <w:r>
        <w:t xml:space="preserve">6.2 Decarbonization Action Plan</w:t>
      </w:r>
    </w:p>
    <w:p>
      <w:pPr>
        <w:numPr>
          <w:ilvl w:val="0"/>
          <w:numId w:val="1005"/>
        </w:numPr>
        <w:pStyle w:val="Compact"/>
      </w:pPr>
      <w:r>
        <w:rPr>
          <w:bCs/>
          <w:b/>
        </w:rPr>
        <w:t xml:space="preserve">Supply Chain Engagement (Scope 3 - Cat 4):</w:t>
      </w:r>
      <w:r>
        <w:t xml:space="preserve"> </w:t>
      </w:r>
      <w:r>
        <w:t xml:space="preserve">Partner with Asian billet suppliers transitioning to Direct Reduced Iron (DRI) with hydrogen or increasing recycled scrap content in basic oxygen furnaces to lower baseline billet footprint.</w:t>
      </w:r>
    </w:p>
    <w:p>
      <w:pPr>
        <w:numPr>
          <w:ilvl w:val="0"/>
          <w:numId w:val="1005"/>
        </w:numPr>
        <w:pStyle w:val="Compact"/>
      </w:pPr>
      <w:r>
        <w:rPr>
          <w:bCs/>
          <w:b/>
        </w:rPr>
        <w:t xml:space="preserve">Marine Logistics Route Optimization (Scope 3 - Cat 3):</w:t>
      </w:r>
      <w:r>
        <w:t xml:space="preserve"> </w:t>
      </w:r>
      <w:r>
        <w:t xml:space="preserve">Contract with shipping carriers certified under the IMO Carbon Intensity Indicator (CII) rating \'A\' or \'B\', or explore slow-steaming corridors to reduce fuel consumption per t-km.</w:t>
      </w:r>
    </w:p>
    <w:p>
      <w:pPr>
        <w:numPr>
          <w:ilvl w:val="0"/>
          <w:numId w:val="1005"/>
        </w:numPr>
        <w:pStyle w:val="Compact"/>
      </w:pPr>
      <w:r>
        <w:rPr>
          <w:bCs/>
          <w:b/>
        </w:rPr>
        <w:t xml:space="preserve">Facility Fuel Switching (Scope 1 - Cat 1):</w:t>
      </w:r>
      <w:r>
        <w:t xml:space="preserve"> </w:t>
      </w:r>
      <w:r>
        <w:t xml:space="preserve">Retrofit natural gas pre-heating and normalizing furnaces with high-temperature industrial electric resistance heating or biogas/biomethane, eliminating on-site fossil emissions in Finland.</w:t>
      </w:r>
    </w:p>
    <w:p>
      <w:pPr>
        <w:pStyle w:val="FirstParagraph"/>
      </w:pPr>
      <w:r>
        <w:t xml:space="preserve">businessanalytiq.com • ISO 14064 Carbon Footprint Report</w:t>
      </w:r>
    </w:p>
    <w:p>
      <w:pPr>
        <w:pStyle w:val="BodyText"/>
      </w:pPr>
      <w:r>
        <w:t xml:space="preserve">Confidential • Third-Party Audit Ready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Forged Steel Component - ISO 14064 Compliance</dc:title>
  <dc:creator/>
  <dc:description>Audit-ready Product Carbon Footprint (PCF) report for hot forged steel component manufactured in Finland with an Asia-focused supply chain, verified against ISO 14064-1.</dc:description>
  <dc:language>en</dc:language>
  <cp:keywords/>
  <dcterms:created xsi:type="dcterms:W3CDTF">2026-10-19T12:44:18Z</dcterms:created>
  <dcterms:modified xsi:type="dcterms:W3CDTF">2026-10-19T12:44:18Z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