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fnzkmitexg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fnzkmitexg</w:t>
      </w:r>
    </w:p>
    <w:p>
      <w:pPr>
        <w:pStyle w:val="BodyText"/>
      </w:pPr>
      <w:r>
        <w:t xml:space="preserve">Company Name:</w:t>
      </w:r>
      <w:r>
        <w:t xml:space="preserve"> </w:t>
      </w:r>
      <w:r>
        <w:rPr>
          <w:bCs/>
          <w:b/>
        </w:rPr>
        <w:t xml:space="preserve">wkgqnxzlhn</w:t>
      </w:r>
    </w:p>
    <w:p>
      <w:pPr>
        <w:pStyle w:val="BodyText"/>
      </w:pPr>
      <w:r>
        <w:t xml:space="preserve">Senior Sustainability Consultant:</w:t>
      </w:r>
      <w:r>
        <w:t xml:space="preserve"> </w:t>
      </w:r>
      <w:r>
        <w:rPr>
          <w:bCs/>
          <w:b/>
        </w:rPr>
        <w:t xml:space="preserve">ddpsnznfpx</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providing a comprehensive analysis of the product\'s carbon footprint.</w:t>
      </w:r>
    </w:p>
    <w:bookmarkEnd w:id="20"/>
    <w:bookmarkStart w:id="21" w:name="Xf2e6ab5be446359d80f42f50d41e46314dfe19d"/>
    <w:p>
      <w:pPr>
        <w:pStyle w:val="Heading1"/>
      </w:pPr>
      <w:r>
        <w:t xml:space="preserve">Product Carbon Footprint (PCF) Analysis Report</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fnzkmitexg</w:t>
      </w:r>
      <w:r>
        <w:t xml:space="preserve">, manufactured by</w:t>
      </w:r>
      <w:r>
        <w:t xml:space="preserve"> </w:t>
      </w:r>
      <w:r>
        <w:rPr>
          <w:bCs/>
          <w:b/>
        </w:rPr>
        <w:t xml:space="preserve">wkgqnxzlhn</w:t>
      </w:r>
      <w:r>
        <w:t xml:space="preserve">. Conducted by Senior Sustainability Consultant</w:t>
      </w:r>
      <w:r>
        <w:t xml:space="preserve"> </w:t>
      </w:r>
      <w:r>
        <w:rPr>
          <w:bCs/>
          <w:b/>
        </w:rPr>
        <w:t xml:space="preserve">ddpsnznfpx</w:t>
      </w:r>
      <w:r>
        <w:t xml:space="preserve">, this analysis adheres strictly to the GHG Protocol Product Standard and incorporates the latest 2026 updates, including the Land Sector and Removals (LSR) Standard. The assessment covers the entire lifecycle of the product, from raw material acquisition to end-of-life, with a system boundary defined as \'factory_gate\'. The findings aim to identify key emission hotspots and provide a robust foundation for strategic decarbonization efforts.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fnzkmitexg</w:t>
      </w:r>
      <w:r>
        <w:t xml:space="preserve">. This unit serves as the reference basis for quantifying all relevant environmental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study is defined as</w:t>
      </w:r>
      <w:r>
        <w:t xml:space="preserve"> </w:t>
      </w:r>
      <w:r>
        <w:rPr>
          <w:bCs/>
          <w:b/>
        </w:rPr>
        <w:t xml:space="preserve">\'factory_gate\'</w:t>
      </w:r>
      <w:r>
        <w:t xml:space="preserve">. This implies that the analysis covers all emissions from raw material extraction, processing, component manufacturing, and transportation to the final production facility (the \'gate\' of the factory). It also includes emissions from the manufacturing processes within the final production factory. Downstream emissions, such as transport from the factory, the use phase, and end-of-life, are also included to ensure a comprehensive cradle-to-grave assessment, even though the primary boundary definition emphasizes the upstream and manufacturing stages. This comprehensive approach is essential for identifying all significant emission sources across the product\'s value chain.</w:t>
      </w:r>
    </w:p>
    <w:bookmarkEnd w:id="24"/>
    <w:bookmarkStart w:id="25" w:name="geographic-scope"/>
    <w:p>
      <w:pPr>
        <w:pStyle w:val="Heading3"/>
      </w:pPr>
      <w:r>
        <w:t xml:space="preserve">1.3 Geographic Scope</w:t>
      </w:r>
    </w:p>
    <w:p>
      <w:pPr>
        <w:pStyle w:val="FirstParagraph"/>
      </w:pPr>
      <w:r>
        <w:t xml:space="preserve">The geographic scope for this analysis specifies the</w:t>
      </w:r>
      <w:r>
        <w:t xml:space="preserve"> </w:t>
      </w:r>
      <w:r>
        <w:rPr>
          <w:bCs/>
          <w:b/>
        </w:rPr>
        <w:t xml:space="preserve">Final Production Country as China</w:t>
      </w:r>
      <w:r>
        <w:t xml:space="preserve">, with a</w:t>
      </w:r>
      <w:r>
        <w:t xml:space="preserve"> </w:t>
      </w:r>
      <w:r>
        <w:rPr>
          <w:bCs/>
          <w:b/>
        </w:rPr>
        <w:t xml:space="preserve">Supply Chain Focus on Europe Focused</w:t>
      </w:r>
      <w:r>
        <w:t xml:space="preserve">. This necessitates the application of region-specific emission factors for manufacturing processes in China and for upstream material and transportation activities within Europe where applicable. Data relevant to these regions will be prioritized to enhance accuracy.</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requirements and guidance for companies to quantify and report an inventory of GHG emissions and removals associated with a specific product\'s life cycle. Emissions are categorized into Scope 1 (direct emissions from owned or controlled sources), Scope 2 (indirect emissions from purchased energy), and Scope 3 (all other indirect emissions across the value chain) as defined by the GHG Protocol.</w:t>
      </w:r>
    </w:p>
    <w:bookmarkEnd w:id="26"/>
    <w:bookmarkStart w:id="27" w:name="allocation"/>
    <w:p>
      <w:pPr>
        <w:pStyle w:val="Heading3"/>
      </w:pPr>
      <w:r>
        <w:t xml:space="preserve">1.5 Allocation</w:t>
      </w:r>
    </w:p>
    <w:p>
      <w:pPr>
        <w:pStyle w:val="FirstParagraph"/>
      </w:pPr>
      <w:r>
        <w:t xml:space="preserve">Allocation procedures are applied where shared processes or facilities contribute to the production of multiple products. For this PCF, a mass-based allocation approach is primarily utilized for shared material processing and waste, assuming environmental impacts scale proportionally with mass. Where specific primary data for fnzkmitexg is available (e.g., direct energy consumption for its manufacturing or specific material input quantities), direct attribution is applied. Economic allocation may be considered for co-products if a mass-based approach is not representative of the environmental burden.</w:t>
      </w:r>
    </w:p>
    <w:p>
      <w:r>
        <w:pict>
          <v:rect style="width:0;height:1.5pt" o:hralign="center" o:hrstd="t" o:hr="t"/>
        </w:pict>
      </w:r>
    </w:p>
    <w:bookmarkEnd w:id="27"/>
    <w:bookmarkEnd w:id="28"/>
    <w:bookmarkStart w:id="29"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fnzkmitexg</w:t>
      </w:r>
      <w:r>
        <w:t xml:space="preserve"> </w:t>
      </w:r>
      <w:r>
        <w:t xml:space="preserve">is mapped across several key stages to capture all relevant greenhouse gas emissions. These stages include:</w:t>
      </w:r>
    </w:p>
    <w:p>
      <w:pPr>
        <w:numPr>
          <w:ilvl w:val="0"/>
          <w:numId w:val="1001"/>
        </w:numPr>
        <w:pStyle w:val="Compact"/>
      </w:pPr>
      <w:r>
        <w:rPr>
          <w:bCs/>
          <w:b/>
        </w:rPr>
        <w:t xml:space="preserve">Raw Material Acquisition &amp; Pre-processing:</w:t>
      </w:r>
      <w:r>
        <w:t xml:space="preserve"> </w:t>
      </w:r>
      <w:r>
        <w:t xml:space="preserve">Extraction, cultivation, and initial processing of all raw materials used in the product.</w:t>
      </w:r>
    </w:p>
    <w:p>
      <w:pPr>
        <w:numPr>
          <w:ilvl w:val="0"/>
          <w:numId w:val="1001"/>
        </w:numPr>
        <w:pStyle w:val="Compact"/>
      </w:pPr>
      <w:r>
        <w:rPr>
          <w:bCs/>
          <w:b/>
        </w:rPr>
        <w:t xml:space="preserve">Manufacturing &amp; Production:</w:t>
      </w:r>
      <w:r>
        <w:t xml:space="preserve"> </w:t>
      </w:r>
      <w:r>
        <w:t xml:space="preserve">Transformation of raw materials into components, assembly of components into the final product in China, and associated energy consumption.</w:t>
      </w:r>
    </w:p>
    <w:p>
      <w:pPr>
        <w:numPr>
          <w:ilvl w:val="0"/>
          <w:numId w:val="1001"/>
        </w:numPr>
        <w:pStyle w:val="Compact"/>
      </w:pPr>
      <w:r>
        <w:rPr>
          <w:bCs/>
          <w:b/>
        </w:rPr>
        <w:t xml:space="preserve">Transportation &amp; Distribution (Upstream &amp; Downstream):</w:t>
      </w:r>
      <w:r>
        <w:t xml:space="preserve"> </w:t>
      </w:r>
      <w:r>
        <w:t xml:space="preserve">Movement of raw materials and components to the factory, and distribution of the finished product to the end-user.</w:t>
      </w:r>
    </w:p>
    <w:p>
      <w:pPr>
        <w:numPr>
          <w:ilvl w:val="0"/>
          <w:numId w:val="1001"/>
        </w:numPr>
        <w:pStyle w:val="Compact"/>
      </w:pPr>
      <w:r>
        <w:rPr>
          <w:bCs/>
          <w:b/>
        </w:rPr>
        <w:t xml:space="preserve">Use Phase:</w:t>
      </w:r>
      <w:r>
        <w:t xml:space="preserve"> </w:t>
      </w:r>
      <w:r>
        <w:t xml:space="preserve">Energy consumption and other impacts during the typical lifespan of the product by the consumer.</w:t>
      </w:r>
    </w:p>
    <w:p>
      <w:pPr>
        <w:numPr>
          <w:ilvl w:val="0"/>
          <w:numId w:val="1001"/>
        </w:numPr>
        <w:pStyle w:val="Compact"/>
      </w:pPr>
      <w:r>
        <w:rPr>
          <w:bCs/>
          <w:b/>
        </w:rPr>
        <w:t xml:space="preserve">End-of-Life (EoL):</w:t>
      </w:r>
      <w:r>
        <w:t xml:space="preserve"> </w:t>
      </w:r>
      <w:r>
        <w:t xml:space="preserve">Disposal, recycling, or recovery processes for the product and its components at the end of its functional life.</w:t>
      </w:r>
    </w:p>
    <w:p>
      <w:r>
        <w:pict>
          <v:rect style="width:0;height:1.5pt" o:hralign="center" o:hrstd="t" o:hr="t"/>
        </w:pict>
      </w:r>
    </w:p>
    <w:bookmarkEnd w:id="29"/>
    <w:bookmarkStart w:id="35" w:name="Xb57f50a89bf1f3f1837369be949d9d60d6c1272"/>
    <w:p>
      <w:pPr>
        <w:pStyle w:val="Heading2"/>
      </w:pPr>
      <w:r>
        <w:t xml:space="preserve">3. Collect Data (Primary/Secondary Data Points)</w:t>
      </w:r>
    </w:p>
    <w:p>
      <w:pPr>
        <w:pStyle w:val="FirstParagraph"/>
      </w:pPr>
      <w:r>
        <w:t xml:space="preserve">Data collection for this PCF relies on a combination of primary and secondary data to ensure accuracy and comprehensiveness. Industry-standard emission factors from databases such as Ecoinvent and DEFRA are utilized for calculations where primary data is unavailable or for generic processes.</w:t>
      </w:r>
    </w:p>
    <w:bookmarkStart w:id="30" w:name="X22dc26e019ffaba3c735b42aa060b8331d96c6c"/>
    <w:p>
      <w:pPr>
        <w:pStyle w:val="Heading3"/>
      </w:pPr>
      <w:r>
        <w:t xml:space="preserve">3.1 Detailed Bill of Materials (BOM) - zxsdltqu</w:t>
      </w:r>
    </w:p>
    <w:p>
      <w:pPr>
        <w:pStyle w:val="FirstParagraph"/>
      </w:pPr>
      <w:r>
        <w:t xml:space="preserve">The following detailed Bill of Materials (BOM) for</w:t>
      </w:r>
      <w:r>
        <w:t xml:space="preserve"> </w:t>
      </w:r>
      <w:r>
        <w:rPr>
          <w:bCs/>
          <w:b/>
        </w:rPr>
        <w:t xml:space="preserve">fnzkmitexg</w:t>
      </w:r>
      <w:r>
        <w:t xml:space="preserve"> </w:t>
      </w:r>
      <w:r>
        <w:t xml:space="preserve">is used for high-accuracy material impact calculation. The \'Total Carbon\' values provided for each item are directly incorporated into the material impact calculation, as instructed.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Processor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Memory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5.2</w:t>
            </w:r>
          </w:p>
        </w:tc>
        <w:tc>
          <w:tcPr/>
          <w:p>
            <w:pPr>
              <w:pStyle w:val="Compact"/>
              <w:jc w:val="left"/>
            </w:pPr>
            <w:r>
              <w:t xml:space="preserve">5.2</w:t>
            </w:r>
          </w:p>
        </w:tc>
      </w:tr>
      <w:tr>
        <w:tc>
          <w:tcPr/>
          <w:p>
            <w:pPr>
              <w:pStyle w:val="Compact"/>
              <w:jc w:val="left"/>
            </w:pPr>
            <w:r>
              <w:t xml:space="preserve">3</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w:t>
            </w:r>
          </w:p>
        </w:tc>
        <w:tc>
          <w:tcPr/>
          <w:p>
            <w:pPr>
              <w:pStyle w:val="Compact"/>
              <w:jc w:val="left"/>
            </w:pPr>
            <w:r>
              <w:t xml:space="preserve">1.55</w:t>
            </w:r>
          </w:p>
        </w:tc>
      </w:tr>
      <w:tr>
        <w:tc>
          <w:tcPr/>
          <w:p>
            <w:pPr>
              <w:pStyle w:val="Compact"/>
              <w:jc w:val="left"/>
            </w:pPr>
            <w:r>
              <w:t xml:space="preserve">4</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7.0</w:t>
            </w:r>
          </w:p>
        </w:tc>
        <w:tc>
          <w:tcPr/>
          <w:p>
            <w:pPr>
              <w:pStyle w:val="Compact"/>
              <w:jc w:val="left"/>
            </w:pPr>
            <w:r>
              <w:t xml:space="preserve">7.0</w:t>
            </w:r>
          </w:p>
        </w:tc>
      </w:tr>
      <w:tr>
        <w:tc>
          <w:tcPr/>
          <w:p>
            <w:pPr>
              <w:pStyle w:val="Compact"/>
              <w:jc w:val="left"/>
            </w:pPr>
            <w:r>
              <w:t xml:space="preserve">6</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t xml:space="preserve">Total Material Carbon Impact:</w:t>
            </w:r>
          </w:p>
        </w:tc>
        <w:tc>
          <w:tcPr/>
          <w:p>
            <w:pPr>
              <w:pStyle w:val="Compact"/>
              <w:jc w:val="left"/>
            </w:pPr>
            <w:r>
              <w:t xml:space="preserve">25.25</w:t>
            </w:r>
          </w:p>
        </w:tc>
      </w:tr>
    </w:tbl>
    <w:bookmarkEnd w:id="30"/>
    <w:bookmarkStart w:id="31" w:name="transport-and-logistics-data"/>
    <w:p>
      <w:pPr>
        <w:pStyle w:val="Heading3"/>
      </w:pPr>
      <w:r>
        <w:t xml:space="preserve">3.2 Transport and Logistics Data</w:t>
      </w:r>
    </w:p>
    <w:p>
      <w:pPr>
        <w:pStyle w:val="FirstParagraph"/>
      </w:pPr>
      <w:r>
        <w:t xml:space="preserve">Logistics data is crucial for assessing Scope 3 emissions related to transportation. The following specific data points are integrated:</w:t>
      </w:r>
    </w:p>
    <w:p>
      <w:pPr>
        <w:numPr>
          <w:ilvl w:val="0"/>
          <w:numId w:val="1002"/>
        </w:numPr>
        <w:pStyle w:val="Compact"/>
      </w:pPr>
      <w:r>
        <w:rPr>
          <w:bCs/>
          <w:b/>
        </w:rPr>
        <w:t xml:space="preserve">Transport Mode (Upstream/Midstream):</w:t>
      </w:r>
      <w:r>
        <w:t xml:space="preserve"> </w:t>
      </w:r>
      <w:r>
        <w:rPr>
          <w:rStyle w:val="VerbatimChar"/>
        </w:rPr>
        <w:t xml:space="preserve">Select Mode</w:t>
      </w:r>
      <w:r>
        <w:t xml:space="preserve"> </w:t>
      </w:r>
      <w:r>
        <w:t xml:space="preserve">(e.g., Freight Train, Cargo Ship, Heavy Goods Vehicle). Emission factors for this mode will be applied based on distance and load.</w:t>
      </w:r>
    </w:p>
    <w:p>
      <w:pPr>
        <w:numPr>
          <w:ilvl w:val="0"/>
          <w:numId w:val="1002"/>
        </w:numPr>
        <w:pStyle w:val="Compact"/>
      </w:pPr>
      <w:r>
        <w:rPr>
          <w:bCs/>
          <w:b/>
        </w:rPr>
        <w:t xml:space="preserve">Transport Distance (Upstream/Midstream):</w:t>
      </w:r>
      <w:r>
        <w:t xml:space="preserve"> </w:t>
      </w:r>
      <w:r>
        <w:rPr>
          <w:rStyle w:val="VerbatimChar"/>
        </w:rPr>
        <w:t xml:space="preserve">jioggyurtl</w:t>
      </w:r>
      <w:r>
        <w:t xml:space="preserve"> </w:t>
      </w:r>
      <w:r>
        <w:t xml:space="preserve">(e.g., 2500 km). This distance is used to calculate emissions for material and component transport to the manufacturing facility.</w:t>
      </w:r>
    </w:p>
    <w:p>
      <w:pPr>
        <w:numPr>
          <w:ilvl w:val="0"/>
          <w:numId w:val="1002"/>
        </w:numPr>
        <w:pStyle w:val="Compact"/>
      </w:pPr>
      <w:r>
        <w:rPr>
          <w:bCs/>
          <w:b/>
        </w:rPr>
        <w:t xml:space="preserve">Last-Mile Delivery Channel (Downstream):</w:t>
      </w:r>
      <w:r>
        <w:t xml:space="preserve"> </w:t>
      </w:r>
      <w:r>
        <w:rPr>
          <w:rStyle w:val="VerbatimChar"/>
        </w:rPr>
        <w:t xml:space="preserve">Delivery Type</w:t>
      </w:r>
      <w:r>
        <w:t xml:space="preserve"> </w:t>
      </w:r>
      <w:r>
        <w:t xml:space="preserve">(e.g., Parcel Service via Van). Specific emission factors for this delivery type will be applied for the distribution to end-users.</w:t>
      </w:r>
    </w:p>
    <w:p>
      <w:pPr>
        <w:pStyle w:val="FirstParagraph"/>
      </w:pPr>
      <w:r>
        <w:t xml:space="preserve">Given the placeholder values, quantitative calculations for transport will be illustrative, explaining the methodology if concrete data were provided (e.g., DEFRA factors for road freight or specific modes).</w:t>
      </w:r>
    </w:p>
    <w:bookmarkEnd w:id="31"/>
    <w:bookmarkStart w:id="32" w:name="X56b9d6d03739858614996de57896da5f5bd663e"/>
    <w:p>
      <w:pPr>
        <w:pStyle w:val="Heading3"/>
      </w:pPr>
      <w:r>
        <w:t xml:space="preserve">3.3 Production Phase Energy Customization Data</w:t>
      </w:r>
    </w:p>
    <w:p>
      <w:pPr>
        <w:pStyle w:val="FirstParagraph"/>
      </w:pPr>
      <w:r>
        <w:t xml:space="preserve">Energy consumption during the production phase is a significant contributor to the carbon footprint. The following customized data is applied for the manufacturing process in China:</w:t>
      </w:r>
    </w:p>
    <w:p>
      <w:pPr>
        <w:numPr>
          <w:ilvl w:val="0"/>
          <w:numId w:val="1003"/>
        </w:numPr>
        <w:pStyle w:val="Compact"/>
      </w:pPr>
      <w:r>
        <w:rPr>
          <w:bCs/>
          <w:b/>
        </w:rPr>
        <w:t xml:space="preserve">Renewable Energy Usage:</w:t>
      </w:r>
      <w:r>
        <w:t xml:space="preserve"> </w:t>
      </w:r>
      <w:r>
        <w:rPr>
          <w:rStyle w:val="VerbatimChar"/>
        </w:rPr>
        <w:t xml:space="preserve">fidtsmhrjr</w:t>
      </w:r>
      <w:r>
        <w:t xml:space="preserve"> </w:t>
      </w:r>
      <w:r>
        <w:t xml:space="preserve">(e.g., 60% renewable energy). This percentage is used to adjust the grid electricity emission factor, reducing Scope 2 emissions.</w:t>
      </w:r>
    </w:p>
    <w:p>
      <w:pPr>
        <w:numPr>
          <w:ilvl w:val="0"/>
          <w:numId w:val="1003"/>
        </w:numPr>
        <w:pStyle w:val="Compact"/>
      </w:pPr>
      <w:r>
        <w:rPr>
          <w:bCs/>
          <w:b/>
        </w:rPr>
        <w:t xml:space="preserve">Energy Intensity (kWh/unit):</w:t>
      </w:r>
      <w:r>
        <w:t xml:space="preserve"> </w:t>
      </w:r>
      <w:r>
        <w:rPr>
          <w:rStyle w:val="VerbatimChar"/>
        </w:rPr>
        <w:t xml:space="preserve">lexoorekle</w:t>
      </w:r>
      <w:r>
        <w:t xml:space="preserve"> </w:t>
      </w:r>
      <w:r>
        <w:t xml:space="preserve">(e.g., 5 kWh/unit). This represents the total electricity consumed per functional unit of fnzkmitexg during its final production.</w:t>
      </w:r>
    </w:p>
    <w:bookmarkEnd w:id="32"/>
    <w:bookmarkStart w:id="33" w:name="X1ba14a67a329254cce30ddbf9878601bb9c0fa0"/>
    <w:p>
      <w:pPr>
        <w:pStyle w:val="Heading3"/>
      </w:pPr>
      <w:r>
        <w:t xml:space="preserve">3.4 Use Phase Durability and Consumption Data</w:t>
      </w:r>
    </w:p>
    <w:p>
      <w:pPr>
        <w:pStyle w:val="FirstParagraph"/>
      </w:pPr>
      <w:r>
        <w:t xml:space="preserve">The use phase can be a major hotspot for many products. The following data is used to calculate use-phase emissions:</w:t>
      </w:r>
    </w:p>
    <w:p>
      <w:pPr>
        <w:numPr>
          <w:ilvl w:val="0"/>
          <w:numId w:val="1004"/>
        </w:numPr>
        <w:pStyle w:val="Compact"/>
      </w:pPr>
      <w:r>
        <w:rPr>
          <w:bCs/>
          <w:b/>
        </w:rPr>
        <w:t xml:space="preserve">Product Lifespan:</w:t>
      </w:r>
      <w:r>
        <w:t xml:space="preserve"> </w:t>
      </w:r>
      <w:r>
        <w:rPr>
          <w:rStyle w:val="VerbatimChar"/>
        </w:rPr>
        <w:t xml:space="preserve">siztgonetj</w:t>
      </w:r>
      <w:r>
        <w:t xml:space="preserve"> </w:t>
      </w:r>
      <w:r>
        <w:t xml:space="preserve">(e.g., 3 years). This defines the duration over which use-phase energy consumption is considered.</w:t>
      </w:r>
    </w:p>
    <w:p>
      <w:pPr>
        <w:numPr>
          <w:ilvl w:val="0"/>
          <w:numId w:val="1004"/>
        </w:numPr>
        <w:pStyle w:val="Compact"/>
      </w:pPr>
      <w:r>
        <w:rPr>
          <w:bCs/>
          <w:b/>
        </w:rPr>
        <w:t xml:space="preserve">Energy Consumption in Use:</w:t>
      </w:r>
      <w:r>
        <w:t xml:space="preserve"> </w:t>
      </w:r>
      <w:r>
        <w:rPr>
          <w:rStyle w:val="VerbatimChar"/>
        </w:rPr>
        <w:t xml:space="preserve">zyrotikszm</w:t>
      </w:r>
      <w:r>
        <w:t xml:space="preserve"> </w:t>
      </w:r>
      <w:r>
        <w:t xml:space="preserve">(e.g., 0.05 kWh/day). This specifies the average daily energy consumption of the product during its operational lifespan.</w:t>
      </w:r>
    </w:p>
    <w:bookmarkEnd w:id="33"/>
    <w:bookmarkStart w:id="34" w:name="end-of-life-eol-scenarios"/>
    <w:p>
      <w:pPr>
        <w:pStyle w:val="Heading3"/>
      </w:pPr>
      <w:r>
        <w:t xml:space="preserve">3.5 End-of-Life (EoL) Scenarios</w:t>
      </w:r>
    </w:p>
    <w:p>
      <w:pPr>
        <w:pStyle w:val="FirstParagraph"/>
      </w:pPr>
      <w:r>
        <w:t xml:space="preserve">End-of-Life management influences the overall circularity and footprint. The following scenarios are considered:</w:t>
      </w:r>
    </w:p>
    <w:p>
      <w:pPr>
        <w:numPr>
          <w:ilvl w:val="0"/>
          <w:numId w:val="1005"/>
        </w:numPr>
        <w:pStyle w:val="Compact"/>
      </w:pPr>
      <w:r>
        <w:rPr>
          <w:bCs/>
          <w:b/>
        </w:rPr>
        <w:t xml:space="preserve">Recyclability Percentage:</w:t>
      </w:r>
      <w:r>
        <w:t xml:space="preserve"> </w:t>
      </w:r>
      <w:r>
        <w:rPr>
          <w:rStyle w:val="VerbatimChar"/>
        </w:rPr>
        <w:t xml:space="preserve">kyhdouzumd</w:t>
      </w:r>
      <w:r>
        <w:t xml:space="preserve"> </w:t>
      </w:r>
      <w:r>
        <w:t xml:space="preserve">(e.g., 85% of product weight is recyclable). This percentage helps estimate avoided emissions from virgin material production if components are recycled.</w:t>
      </w:r>
    </w:p>
    <w:p>
      <w:pPr>
        <w:numPr>
          <w:ilvl w:val="0"/>
          <w:numId w:val="1005"/>
        </w:numPr>
        <w:pStyle w:val="Compact"/>
      </w:pPr>
      <w:r>
        <w:rPr>
          <w:bCs/>
          <w:b/>
        </w:rPr>
        <w:t xml:space="preserve">Circular/Take-back Programs:</w:t>
      </w:r>
      <w:r>
        <w:t xml:space="preserve"> </w:t>
      </w:r>
      <w:r>
        <w:rPr>
          <w:rStyle w:val="VerbatimChar"/>
        </w:rPr>
        <w:t xml:space="preserve">jntidssswk</w:t>
      </w:r>
      <w:r>
        <w:t xml:space="preserve"> </w:t>
      </w:r>
      <w:r>
        <w:t xml:space="preserve">(e.g., Yes, company operates a product take-back program for refurbishment/recycling). The presence of such programs indicates a higher likelihood of material recovery and can lead to emission credits or avoided burdens.</w:t>
      </w:r>
    </w:p>
    <w:p>
      <w:r>
        <w:pict>
          <v:rect style="width:0;height:1.5pt" o:hralign="center" o:hrstd="t" o:hr="t"/>
        </w:pict>
      </w:r>
    </w:p>
    <w:bookmarkEnd w:id="34"/>
    <w:bookmarkEnd w:id="35"/>
    <w:bookmarkStart w:id="40" w:name="Xb404f6bea4a0013006ec7a9103609d9ea6643c1"/>
    <w:p>
      <w:pPr>
        <w:pStyle w:val="Heading2"/>
      </w:pPr>
      <w:r>
        <w:t xml:space="preserve">4. Calculate Emissions (Activity * Emission Factor = CO2e)</w:t>
      </w:r>
    </w:p>
    <w:p>
      <w:pPr>
        <w:pStyle w:val="FirstParagraph"/>
      </w:pPr>
      <w:r>
        <w:t xml:space="preserve">The calculation of emissions is performed by multiplying activity data (e.g., kg of material, km traveled, kWh consumed) by relevant emission factors. The results are categorized according to the GHG Protocol\'s Scope 1, 2, and 3 definitions.</w:t>
      </w:r>
    </w:p>
    <w:bookmarkStart w:id="36" w:name="ghg-protocol-scopes-categorization"/>
    <w:p>
      <w:pPr>
        <w:pStyle w:val="Heading3"/>
      </w:pPr>
      <w:r>
        <w:t xml:space="preserve">4.1 GHG Protocol Scopes Categorization</w:t>
      </w:r>
    </w:p>
    <w:p>
      <w:pPr>
        <w:numPr>
          <w:ilvl w:val="0"/>
          <w:numId w:val="1006"/>
        </w:numPr>
        <w:pStyle w:val="Compact"/>
      </w:pPr>
      <w:r>
        <w:rPr>
          <w:bCs/>
          <w:b/>
        </w:rPr>
        <w:t xml:space="preserve">Scope 1 Emissions (Direct Emissions):</w:t>
      </w:r>
      <w:r>
        <w:t xml:space="preserve"> </w:t>
      </w:r>
      <w:r>
        <w:t xml:space="preserve">These are direct GHG emissions from sources owned or controlled by</w:t>
      </w:r>
      <w:r>
        <w:t xml:space="preserve"> </w:t>
      </w:r>
      <w:r>
        <w:rPr>
          <w:bCs/>
          <w:b/>
        </w:rPr>
        <w:t xml:space="preserve">wkgqnxzlhn</w:t>
      </w:r>
      <w:r>
        <w:t xml:space="preserve">. For a \'factory_gate\' boundary, if</w:t>
      </w:r>
      <w:r>
        <w:t xml:space="preserve"> </w:t>
      </w:r>
      <w:r>
        <w:rPr>
          <w:bCs/>
          <w:b/>
        </w:rPr>
        <w:t xml:space="preserve">wkgqnxzlhn</w:t>
      </w:r>
      <w:r>
        <w:t xml:space="preserve"> </w:t>
      </w:r>
      <w:r>
        <w:t xml:space="preserve">owns and operates the manufacturing facility in China, these would include emissions from direct combustion of fuels in owned boilers or vehicles within the factory premises. Assuming the manufacturing is typically outsourced in such a PCF context, Scope 1 emissions directly attributable to the product\'s manufacturing under</w:t>
      </w:r>
      <w:r>
        <w:t xml:space="preserve"> </w:t>
      </w:r>
      <w:r>
        <w:rPr>
          <w:bCs/>
          <w:b/>
        </w:rPr>
        <w:t xml:space="preserve">wkgqnxzlhn</w:t>
      </w:r>
      <w:r>
        <w:t xml:space="preserve">\'s direct operational control are considered minimal for the product itself and largely accounted for in Scope 3 for purchased goods/services.</w:t>
      </w:r>
    </w:p>
    <w:p>
      <w:pPr>
        <w:numPr>
          <w:ilvl w:val="0"/>
          <w:numId w:val="1006"/>
        </w:numPr>
        <w:pStyle w:val="Compact"/>
      </w:pPr>
      <w:r>
        <w:rPr>
          <w:bCs/>
          <w:b/>
        </w:rPr>
        <w:t xml:space="preserve">Scope 2 Emissions (Purchased Energy):</w:t>
      </w:r>
      <w:r>
        <w:t xml:space="preserve"> </w:t>
      </w:r>
      <w:r>
        <w:t xml:space="preserve">These are indirect GHG emissions from the generation of purchased electricity, heat, or steam consumed by</w:t>
      </w:r>
      <w:r>
        <w:t xml:space="preserve"> </w:t>
      </w:r>
      <w:r>
        <w:rPr>
          <w:bCs/>
          <w:b/>
        </w:rPr>
        <w:t xml:space="preserve">wkgqnxzlhn</w:t>
      </w:r>
      <w:r>
        <w:t xml:space="preserve">. For</w:t>
      </w:r>
      <w:r>
        <w:t xml:space="preserve"> </w:t>
      </w:r>
      <w:r>
        <w:rPr>
          <w:bCs/>
          <w:b/>
        </w:rPr>
        <w:t xml:space="preserve">fnzkmitexg</w:t>
      </w:r>
      <w:r>
        <w:t xml:space="preserve">, this includes electricity purchased for the final assembly process in China, adjusted by the</w:t>
      </w:r>
      <w:r>
        <w:t xml:space="preserve"> </w:t>
      </w:r>
      <w:r>
        <w:rPr>
          <w:rStyle w:val="VerbatimChar"/>
        </w:rPr>
        <w:t xml:space="preserve">fidtsmhrjr</w:t>
      </w:r>
      <w:r>
        <w:t xml:space="preserve"> </w:t>
      </w:r>
      <w:r>
        <w:t xml:space="preserve">renewable energy usage percentage and</w:t>
      </w:r>
      <w:r>
        <w:t xml:space="preserve"> </w:t>
      </w:r>
      <w:r>
        <w:rPr>
          <w:rStyle w:val="VerbatimChar"/>
        </w:rPr>
        <w:t xml:space="preserve">lexoorekle</w:t>
      </w:r>
      <w:r>
        <w:t xml:space="preserve"> </w:t>
      </w:r>
      <w:r>
        <w:t xml:space="preserve">energy intensity.</w:t>
      </w:r>
    </w:p>
    <w:p>
      <w:pPr>
        <w:numPr>
          <w:ilvl w:val="0"/>
          <w:numId w:val="1006"/>
        </w:numPr>
      </w:pPr>
      <w:r>
        <w:rPr>
          <w:bCs/>
          <w:b/>
        </w:rPr>
        <w:t xml:space="preserve">Scope 3 Emissions (Value Chain Emissions):</w:t>
      </w:r>
      <w:r>
        <w:t xml:space="preserve"> </w:t>
      </w:r>
      <w:r>
        <w:t xml:space="preserve">These are all other indirect emissions that occur in the value chain of</w:t>
      </w:r>
      <w:r>
        <w:t xml:space="preserve"> </w:t>
      </w:r>
      <w:r>
        <w:rPr>
          <w:bCs/>
          <w:b/>
        </w:rPr>
        <w:t xml:space="preserve">wkgqnxzlhn</w:t>
      </w:r>
      <w:r>
        <w:t xml:space="preserve">, both upstream and downstream. They encompass a broad range of categories including:</w:t>
      </w:r>
    </w:p>
    <w:p>
      <w:pPr>
        <w:numPr>
          <w:ilvl w:val="1"/>
          <w:numId w:val="1007"/>
        </w:numPr>
        <w:pStyle w:val="Compact"/>
      </w:pPr>
      <w:r>
        <w:rPr>
          <w:bCs/>
          <w:b/>
        </w:rPr>
        <w:t xml:space="preserve">Upstream Emissions:</w:t>
      </w:r>
    </w:p>
    <w:p>
      <w:pPr>
        <w:numPr>
          <w:ilvl w:val="2"/>
          <w:numId w:val="1008"/>
        </w:numPr>
        <w:pStyle w:val="Compact"/>
      </w:pPr>
      <w:r>
        <w:t xml:space="preserve">Extraction and production of purchased raw materials and components (calculated from the \'Total Carbon\' in BOM</w:t>
      </w:r>
      <w:r>
        <w:t xml:space="preserve"> </w:t>
      </w:r>
      <w:r>
        <w:rPr>
          <w:bCs/>
          <w:b/>
        </w:rPr>
        <w:t xml:space="preserve">zxsdltqu</w:t>
      </w:r>
      <w:r>
        <w:t xml:space="preserve">).</w:t>
      </w:r>
    </w:p>
    <w:p>
      <w:pPr>
        <w:numPr>
          <w:ilvl w:val="2"/>
          <w:numId w:val="1008"/>
        </w:numPr>
        <w:pStyle w:val="Compact"/>
      </w:pPr>
      <w:r>
        <w:t xml:space="preserve">Upstream transportation and distribution (based on</w:t>
      </w:r>
      <w:r>
        <w:t xml:space="preserve"> </w:t>
      </w:r>
      <w:r>
        <w:rPr>
          <w:rStyle w:val="VerbatimChar"/>
        </w:rPr>
        <w:t xml:space="preserve">Select Mode</w:t>
      </w:r>
      <w:r>
        <w:t xml:space="preserve"> </w:t>
      </w:r>
      <w:r>
        <w:t xml:space="preserve">and</w:t>
      </w:r>
      <w:r>
        <w:t xml:space="preserve"> </w:t>
      </w:r>
      <w:r>
        <w:rPr>
          <w:rStyle w:val="VerbatimChar"/>
        </w:rPr>
        <w:t xml:space="preserve">jioggyurtl</w:t>
      </w:r>
      <w:r>
        <w:t xml:space="preserve">).</w:t>
      </w:r>
    </w:p>
    <w:p>
      <w:pPr>
        <w:numPr>
          <w:ilvl w:val="2"/>
          <w:numId w:val="1008"/>
        </w:numPr>
        <w:pStyle w:val="Compact"/>
      </w:pPr>
      <w:r>
        <w:t xml:space="preserve">Emissions from manufacturing processes at supplier sites (covered within material emission factors or specific process data).</w:t>
      </w:r>
    </w:p>
    <w:p>
      <w:pPr>
        <w:numPr>
          <w:ilvl w:val="1"/>
          <w:numId w:val="1007"/>
        </w:numPr>
        <w:pStyle w:val="Compact"/>
      </w:pPr>
      <w:r>
        <w:rPr>
          <w:bCs/>
          <w:b/>
        </w:rPr>
        <w:t xml:space="preserve">Downstream Emissions:</w:t>
      </w:r>
    </w:p>
    <w:p>
      <w:pPr>
        <w:numPr>
          <w:ilvl w:val="2"/>
          <w:numId w:val="1009"/>
        </w:numPr>
        <w:pStyle w:val="Compact"/>
      </w:pPr>
      <w:r>
        <w:t xml:space="preserve">Transportation and distribution of sold products (Last-Mile Delivery Channel:</w:t>
      </w:r>
      <w:r>
        <w:t xml:space="preserve"> </w:t>
      </w:r>
      <w:r>
        <w:rPr>
          <w:rStyle w:val="VerbatimChar"/>
        </w:rPr>
        <w:t xml:space="preserve">Delivery Type</w:t>
      </w:r>
      <w:r>
        <w:t xml:space="preserve">).</w:t>
      </w:r>
    </w:p>
    <w:p>
      <w:pPr>
        <w:numPr>
          <w:ilvl w:val="2"/>
          <w:numId w:val="1009"/>
        </w:numPr>
        <w:pStyle w:val="Compact"/>
      </w:pPr>
      <w:r>
        <w:t xml:space="preserve">Use of sold products (based on</w:t>
      </w:r>
      <w:r>
        <w:t xml:space="preserve"> </w:t>
      </w:r>
      <w:r>
        <w:rPr>
          <w:rStyle w:val="VerbatimChar"/>
        </w:rPr>
        <w:t xml:space="preserve">siztgonetj</w:t>
      </w:r>
      <w:r>
        <w:t xml:space="preserve"> </w:t>
      </w:r>
      <w:r>
        <w:t xml:space="preserve">and</w:t>
      </w:r>
      <w:r>
        <w:t xml:space="preserve"> </w:t>
      </w:r>
      <w:r>
        <w:rPr>
          <w:rStyle w:val="VerbatimChar"/>
        </w:rPr>
        <w:t xml:space="preserve">zyrotikszm</w:t>
      </w:r>
      <w:r>
        <w:t xml:space="preserve">).</w:t>
      </w:r>
    </w:p>
    <w:p>
      <w:pPr>
        <w:numPr>
          <w:ilvl w:val="2"/>
          <w:numId w:val="1009"/>
        </w:numPr>
        <w:pStyle w:val="Compact"/>
      </w:pPr>
      <w:r>
        <w:t xml:space="preserve">End-of-life treatment of sold products (based on</w:t>
      </w:r>
      <w:r>
        <w:t xml:space="preserve"> </w:t>
      </w:r>
      <w:r>
        <w:rPr>
          <w:rStyle w:val="VerbatimChar"/>
        </w:rPr>
        <w:t xml:space="preserve">kyhdouzumd</w:t>
      </w:r>
      <w:r>
        <w:t xml:space="preserve"> </w:t>
      </w:r>
      <w:r>
        <w:t xml:space="preserve">recyclability and</w:t>
      </w:r>
      <w:r>
        <w:t xml:space="preserve"> </w:t>
      </w:r>
      <w:r>
        <w:rPr>
          <w:rStyle w:val="VerbatimChar"/>
        </w:rPr>
        <w:t xml:space="preserve">jntidssswk</w:t>
      </w:r>
      <w:r>
        <w:t xml:space="preserve"> </w:t>
      </w:r>
      <w:r>
        <w:t xml:space="preserve">circular programs).</w:t>
      </w:r>
    </w:p>
    <w:p>
      <w:pPr>
        <w:numPr>
          <w:ilvl w:val="0"/>
          <w:numId w:val="1000"/>
        </w:numPr>
      </w:pPr>
      <w:r>
        <w:rPr>
          <w:bCs/>
          <w:b/>
        </w:rPr>
        <w:t xml:space="preserve">2026 Scope 3 Compliance:</w:t>
      </w:r>
      <w:r>
        <w:t xml:space="preserve"> </w:t>
      </w:r>
      <w:r>
        <w:t xml:space="preserve">As per 2026 requirements, efforts are made to ensure at least 95% coverage for Scope 3 emissions reporting. Any exclusions are quantified, disclosed, and justified to maintain transparency and compliance.</w:t>
      </w:r>
    </w:p>
    <w:bookmarkEnd w:id="36"/>
    <w:bookmarkStart w:id="37" w:name="X96e4ca11d876b430114a48bb2e633f4013896b5"/>
    <w:p>
      <w:pPr>
        <w:pStyle w:val="Heading3"/>
      </w:pPr>
      <w:r>
        <w:t xml:space="preserve">4.2 Application of the 2026 Land Sector and Removals (LSR) Standard</w:t>
      </w:r>
    </w:p>
    <w:p>
      <w:pPr>
        <w:pStyle w:val="FirstParagraph"/>
      </w:pPr>
      <w:r>
        <w:t xml:space="preserve">The GHG Protocol\'s Land Sector and Removals (LSR) Standard, released on January 30, 2026, is applied to account for land-based GHG emissions and carbon dioxide removals within the product\'s lifecycle where relevant. While specific land use data for each component of</w:t>
      </w:r>
      <w:r>
        <w:t xml:space="preserve"> </w:t>
      </w:r>
      <w:r>
        <w:rPr>
          <w:bCs/>
          <w:b/>
        </w:rPr>
        <w:t xml:space="preserve">fnzkmitexg</w:t>
      </w:r>
      <w:r>
        <w:t xml:space="preserve"> </w:t>
      </w:r>
      <w:r>
        <w:t xml:space="preserve">is not provided, the methodology acknowledges the importance of quantifying emissions from land use change, land management, and biogenic carbon flows, especially for materials derived from agriculture or forestry within the supply chain. The LSR Standard also provides guidance for reporting technological CO2 removals. Its application ensures a more comprehensive understanding of the biogenic carbon impacts of the product.</w:t>
      </w:r>
    </w:p>
    <w:bookmarkEnd w:id="37"/>
    <w:bookmarkStart w:id="38" w:name="illustrative-emission-calculations"/>
    <w:p>
      <w:pPr>
        <w:pStyle w:val="Heading3"/>
      </w:pPr>
      <w:r>
        <w:t xml:space="preserve">4.3 Illustrative Emission Calculations</w:t>
      </w:r>
    </w:p>
    <w:p>
      <w:pPr>
        <w:pStyle w:val="FirstParagraph"/>
      </w:pPr>
      <w:r>
        <w:t xml:space="preserve">Due to the placeholder nature of some input parameters, detailed numerical calculation results are illustrative. The methodology for calculating emissions for each stage is as follows:</w:t>
      </w:r>
    </w:p>
    <w:p>
      <w:pPr>
        <w:numPr>
          <w:ilvl w:val="0"/>
          <w:numId w:val="1010"/>
        </w:numPr>
        <w:pStyle w:val="Compact"/>
      </w:pPr>
      <w:r>
        <w:rPr>
          <w:bCs/>
          <w:b/>
        </w:rPr>
        <w:t xml:space="preserve">Materials (Scope 3 - Upstream):</w:t>
      </w:r>
      <w:r>
        <w:t xml:space="preserve"> </w:t>
      </w:r>
      <w:r>
        <w:t xml:space="preserve">Sum of \'Total Carbon\' from the Detailed BOM:</w:t>
      </w:r>
      <w:r>
        <w:t xml:space="preserve"> </w:t>
      </w:r>
      <w:r>
        <w:rPr>
          <w:bCs/>
          <w:b/>
        </w:rPr>
        <w:t xml:space="preserve">25.25 kg CO2e</w:t>
      </w:r>
      <w:r>
        <w:t xml:space="preserve">.</w:t>
      </w:r>
    </w:p>
    <w:p>
      <w:pPr>
        <w:numPr>
          <w:ilvl w:val="0"/>
          <w:numId w:val="1010"/>
        </w:numPr>
        <w:pStyle w:val="Compact"/>
      </w:pPr>
      <w:r>
        <w:rPr>
          <w:bCs/>
          <w:b/>
        </w:rPr>
        <w:t xml:space="preserve">Manufacturing Energy (Scope 2):</w:t>
      </w:r>
    </w:p>
    <w:p>
      <w:pPr>
        <w:numPr>
          <w:ilvl w:val="1"/>
          <w:numId w:val="1011"/>
        </w:numPr>
        <w:pStyle w:val="Compact"/>
      </w:pPr>
      <w:r>
        <w:t xml:space="preserve">Energy Intensity:</w:t>
      </w:r>
      <w:r>
        <w:t xml:space="preserve"> </w:t>
      </w:r>
      <w:r>
        <w:rPr>
          <w:rStyle w:val="VerbatimChar"/>
        </w:rPr>
        <w:t xml:space="preserve">lexoorekle</w:t>
      </w:r>
      <w:r>
        <w:t xml:space="preserve"> </w:t>
      </w:r>
      <w:r>
        <w:t xml:space="preserve">kWh/unit (e.g., 5 kWh/unit)</w:t>
      </w:r>
    </w:p>
    <w:p>
      <w:pPr>
        <w:numPr>
          <w:ilvl w:val="1"/>
          <w:numId w:val="1011"/>
        </w:numPr>
        <w:pStyle w:val="Compact"/>
      </w:pPr>
      <w:r>
        <w:t xml:space="preserve">Grid Emission Factor (China, illustrative): 0.7 kg CO2e/kWh (hypothetical for 2026, considering local grid mix)</w:t>
      </w:r>
    </w:p>
    <w:p>
      <w:pPr>
        <w:numPr>
          <w:ilvl w:val="1"/>
          <w:numId w:val="1011"/>
        </w:numPr>
        <w:pStyle w:val="Compact"/>
      </w:pPr>
      <w:r>
        <w:t xml:space="preserve">Renewable Energy Usage:</w:t>
      </w:r>
      <w:r>
        <w:t xml:space="preserve"> </w:t>
      </w:r>
      <w:r>
        <w:rPr>
          <w:rStyle w:val="VerbatimChar"/>
        </w:rPr>
        <w:t xml:space="preserve">fidtsmhrjr</w:t>
      </w:r>
      <w:r>
        <w:t xml:space="preserve"> </w:t>
      </w:r>
      <w:r>
        <w:t xml:space="preserve">(e.g., 60%)</w:t>
      </w:r>
    </w:p>
    <w:p>
      <w:pPr>
        <w:numPr>
          <w:ilvl w:val="1"/>
          <w:numId w:val="1011"/>
        </w:numPr>
        <w:pStyle w:val="Compact"/>
      </w:pPr>
      <w:r>
        <w:t xml:space="preserve">Calculated Scope 2 = Energy Intensity * Grid EF * (1 - Renewable Usage)</w:t>
      </w:r>
    </w:p>
    <w:p>
      <w:pPr>
        <w:numPr>
          <w:ilvl w:val="1"/>
          <w:numId w:val="1011"/>
        </w:numPr>
        <w:pStyle w:val="Compact"/>
      </w:pPr>
      <w:r>
        <w:t xml:space="preserve">Illustrative Scope 2 = 5 kWh/unit * 0.7 kg CO2e/kWh * (1 - 0.60) =</w:t>
      </w:r>
      <w:r>
        <w:t xml:space="preserve"> </w:t>
      </w:r>
      <w:r>
        <w:rPr>
          <w:bCs/>
          <w:b/>
        </w:rPr>
        <w:t xml:space="preserve">1.4 kg CO2e/unit</w:t>
      </w:r>
    </w:p>
    <w:p>
      <w:pPr>
        <w:numPr>
          <w:ilvl w:val="0"/>
          <w:numId w:val="1010"/>
        </w:numPr>
        <w:pStyle w:val="Compact"/>
      </w:pPr>
      <w:r>
        <w:rPr>
          <w:bCs/>
          <w:b/>
        </w:rPr>
        <w:t xml:space="preserve">Upstream Transportation (Scope 3 - Upstream):</w:t>
      </w:r>
    </w:p>
    <w:p>
      <w:pPr>
        <w:numPr>
          <w:ilvl w:val="1"/>
          <w:numId w:val="1012"/>
        </w:numPr>
        <w:pStyle w:val="Compact"/>
      </w:pPr>
      <w:r>
        <w:t xml:space="preserve">Transport Mode:</w:t>
      </w:r>
      <w:r>
        <w:t xml:space="preserve"> </w:t>
      </w:r>
      <w:r>
        <w:rPr>
          <w:rStyle w:val="VerbatimChar"/>
        </w:rPr>
        <w:t xml:space="preserve">Select Mode</w:t>
      </w:r>
      <w:r>
        <w:t xml:space="preserve"> </w:t>
      </w:r>
      <w:r>
        <w:t xml:space="preserve">(e.g., Heavy Goods Vehicle)</w:t>
      </w:r>
    </w:p>
    <w:p>
      <w:pPr>
        <w:numPr>
          <w:ilvl w:val="1"/>
          <w:numId w:val="1012"/>
        </w:numPr>
        <w:pStyle w:val="Compact"/>
      </w:pPr>
      <w:r>
        <w:t xml:space="preserve">Transport Distance:</w:t>
      </w:r>
      <w:r>
        <w:t xml:space="preserve"> </w:t>
      </w:r>
      <w:r>
        <w:rPr>
          <w:rStyle w:val="VerbatimChar"/>
        </w:rPr>
        <w:t xml:space="preserve">jioggyurtl</w:t>
      </w:r>
      <w:r>
        <w:t xml:space="preserve"> </w:t>
      </w:r>
      <w:r>
        <w:t xml:space="preserve">km (e.g., 2500 km)</w:t>
      </w:r>
    </w:p>
    <w:p>
      <w:pPr>
        <w:numPr>
          <w:ilvl w:val="1"/>
          <w:numId w:val="1012"/>
        </w:numPr>
        <w:pStyle w:val="Compact"/>
      </w:pPr>
      <w:r>
        <w:t xml:space="preserve">Emission Factor (e.g., HGV, DEFRA 2025): 0.1 kg CO2e/tonne-km (illustrative)</w:t>
      </w:r>
    </w:p>
    <w:p>
      <w:pPr>
        <w:numPr>
          <w:ilvl w:val="1"/>
          <w:numId w:val="1012"/>
        </w:numPr>
        <w:pStyle w:val="Compact"/>
      </w:pPr>
      <w:r>
        <w:t xml:space="preserve">Product Weight: (Estimated from BOM) ~1.7 kg (0.5kg Plastic + 0.1kg Al + 0.05kg Cu + assumed 1kg for electronics) = 0.0017 tonnes</w:t>
      </w:r>
    </w:p>
    <w:p>
      <w:pPr>
        <w:numPr>
          <w:ilvl w:val="1"/>
          <w:numId w:val="1012"/>
        </w:numPr>
        <w:pStyle w:val="Compact"/>
      </w:pPr>
      <w:r>
        <w:t xml:space="preserve">Calculated Scope 3 Transport (Upstream) = Emission Factor * Distance * Product Weight</w:t>
      </w:r>
    </w:p>
    <w:p>
      <w:pPr>
        <w:numPr>
          <w:ilvl w:val="1"/>
          <w:numId w:val="1012"/>
        </w:numPr>
        <w:pStyle w:val="Compact"/>
      </w:pPr>
      <w:r>
        <w:t xml:space="preserve">Illustrative Scope 3 Transport (Upstream) = 0.1 kg CO2e/tonne-km * 2500 km * 0.0017 tonnes =</w:t>
      </w:r>
      <w:r>
        <w:t xml:space="preserve"> </w:t>
      </w:r>
      <w:r>
        <w:rPr>
          <w:bCs/>
          <w:b/>
        </w:rPr>
        <w:t xml:space="preserve">0.425 kg CO2e/unit</w:t>
      </w:r>
    </w:p>
    <w:p>
      <w:pPr>
        <w:numPr>
          <w:ilvl w:val="0"/>
          <w:numId w:val="1010"/>
        </w:numPr>
        <w:pStyle w:val="Compact"/>
      </w:pPr>
      <w:r>
        <w:rPr>
          <w:bCs/>
          <w:b/>
        </w:rPr>
        <w:t xml:space="preserve">Last-Mile Delivery (Scope 3 - Downstream):</w:t>
      </w:r>
    </w:p>
    <w:p>
      <w:pPr>
        <w:numPr>
          <w:ilvl w:val="1"/>
          <w:numId w:val="1013"/>
        </w:numPr>
        <w:pStyle w:val="Compact"/>
      </w:pPr>
      <w:r>
        <w:t xml:space="preserve">Delivery Channel:</w:t>
      </w:r>
      <w:r>
        <w:t xml:space="preserve"> </w:t>
      </w:r>
      <w:r>
        <w:rPr>
          <w:rStyle w:val="VerbatimChar"/>
        </w:rPr>
        <w:t xml:space="preserve">Delivery Type</w:t>
      </w:r>
      <w:r>
        <w:t xml:space="preserve"> </w:t>
      </w:r>
      <w:r>
        <w:t xml:space="preserve">(e.g., Small Van)</w:t>
      </w:r>
    </w:p>
    <w:p>
      <w:pPr>
        <w:numPr>
          <w:ilvl w:val="1"/>
          <w:numId w:val="1013"/>
        </w:numPr>
        <w:pStyle w:val="Compact"/>
      </w:pPr>
      <w:r>
        <w:t xml:space="preserve">Average Last-Mile Distance (illustrative): 50 km</w:t>
      </w:r>
    </w:p>
    <w:p>
      <w:pPr>
        <w:numPr>
          <w:ilvl w:val="1"/>
          <w:numId w:val="1013"/>
        </w:numPr>
        <w:pStyle w:val="Compact"/>
      </w:pPr>
      <w:r>
        <w:t xml:space="preserve">Emission Factor (e.g., Small Van, DEFRA 2025): 0.2 kg CO2e/km (illustrative, per delivery)</w:t>
      </w:r>
    </w:p>
    <w:p>
      <w:pPr>
        <w:numPr>
          <w:ilvl w:val="1"/>
          <w:numId w:val="1013"/>
        </w:numPr>
        <w:pStyle w:val="Compact"/>
      </w:pPr>
      <w:r>
        <w:t xml:space="preserve">Calculated Scope 3 Transport (Last-Mile) = Emission Factor * Distance</w:t>
      </w:r>
    </w:p>
    <w:p>
      <w:pPr>
        <w:numPr>
          <w:ilvl w:val="1"/>
          <w:numId w:val="1013"/>
        </w:numPr>
        <w:pStyle w:val="Compact"/>
      </w:pPr>
      <w:r>
        <w:t xml:space="preserve">Illustrative Scope 3 Transport (Last-Mile) = 0.2 kg CO2e/km * 50 km =</w:t>
      </w:r>
      <w:r>
        <w:t xml:space="preserve"> </w:t>
      </w:r>
      <w:r>
        <w:rPr>
          <w:bCs/>
          <w:b/>
        </w:rPr>
        <w:t xml:space="preserve">10.0 kg CO2e/unit</w:t>
      </w:r>
      <w:r>
        <w:t xml:space="preserve"> </w:t>
      </w:r>
      <w:r>
        <w:t xml:space="preserve">(assuming one delivery per unit directly to customer)</w:t>
      </w:r>
    </w:p>
    <w:p>
      <w:pPr>
        <w:numPr>
          <w:ilvl w:val="0"/>
          <w:numId w:val="1010"/>
        </w:numPr>
        <w:pStyle w:val="Compact"/>
      </w:pPr>
      <w:r>
        <w:rPr>
          <w:bCs/>
          <w:b/>
        </w:rPr>
        <w:t xml:space="preserve">Use Phase (Scope 3 - Downstream):</w:t>
      </w:r>
    </w:p>
    <w:p>
      <w:pPr>
        <w:numPr>
          <w:ilvl w:val="1"/>
          <w:numId w:val="1014"/>
        </w:numPr>
        <w:pStyle w:val="Compact"/>
      </w:pPr>
      <w:r>
        <w:t xml:space="preserve">Product Lifespan:</w:t>
      </w:r>
      <w:r>
        <w:t xml:space="preserve"> </w:t>
      </w:r>
      <w:r>
        <w:rPr>
          <w:rStyle w:val="VerbatimChar"/>
        </w:rPr>
        <w:t xml:space="preserve">siztgonetj</w:t>
      </w:r>
      <w:r>
        <w:t xml:space="preserve"> </w:t>
      </w:r>
      <w:r>
        <w:t xml:space="preserve">(e.g., 3 years = 1095 days)</w:t>
      </w:r>
    </w:p>
    <w:p>
      <w:pPr>
        <w:numPr>
          <w:ilvl w:val="1"/>
          <w:numId w:val="1014"/>
        </w:numPr>
        <w:pStyle w:val="Compact"/>
      </w:pPr>
      <w:r>
        <w:t xml:space="preserve">Energy Consumption in Use:</w:t>
      </w:r>
      <w:r>
        <w:t xml:space="preserve"> </w:t>
      </w:r>
      <w:r>
        <w:rPr>
          <w:rStyle w:val="VerbatimChar"/>
        </w:rPr>
        <w:t xml:space="preserve">zyrotikszm</w:t>
      </w:r>
      <w:r>
        <w:t xml:space="preserve"> </w:t>
      </w:r>
      <w:r>
        <w:t xml:space="preserve">kWh/day (e.g., 0.05 kWh/day)</w:t>
      </w:r>
    </w:p>
    <w:p>
      <w:pPr>
        <w:numPr>
          <w:ilvl w:val="1"/>
          <w:numId w:val="1014"/>
        </w:numPr>
        <w:pStyle w:val="Compact"/>
      </w:pPr>
      <w:r>
        <w:t xml:space="preserve">Electricity Grid Emission Factor (End-User region, illustrative): 0.3 kg CO2e/kWh (e.g., EU average)</w:t>
      </w:r>
    </w:p>
    <w:p>
      <w:pPr>
        <w:numPr>
          <w:ilvl w:val="1"/>
          <w:numId w:val="1014"/>
        </w:numPr>
        <w:pStyle w:val="Compact"/>
      </w:pPr>
      <w:r>
        <w:t xml:space="preserve">Calculated Scope 3 Use Phase = Lifespan (days) * Energy Consumption/day * Grid EF</w:t>
      </w:r>
    </w:p>
    <w:p>
      <w:pPr>
        <w:numPr>
          <w:ilvl w:val="1"/>
          <w:numId w:val="1014"/>
        </w:numPr>
        <w:pStyle w:val="Compact"/>
      </w:pPr>
      <w:r>
        <w:t xml:space="preserve">Illustrative Scope 3 Use Phase = 1095 days * 0.05 kWh/day * 0.3 kg CO2e/kWh =</w:t>
      </w:r>
      <w:r>
        <w:t xml:space="preserve"> </w:t>
      </w:r>
      <w:r>
        <w:rPr>
          <w:bCs/>
          <w:b/>
        </w:rPr>
        <w:t xml:space="preserve">16.425 kg CO2e/unit</w:t>
      </w:r>
    </w:p>
    <w:p>
      <w:pPr>
        <w:numPr>
          <w:ilvl w:val="0"/>
          <w:numId w:val="1010"/>
        </w:numPr>
        <w:pStyle w:val="Compact"/>
      </w:pPr>
      <w:r>
        <w:rPr>
          <w:bCs/>
          <w:b/>
        </w:rPr>
        <w:t xml:space="preserve">End-of-Life (Scope 3 - Downstream):</w:t>
      </w:r>
    </w:p>
    <w:p>
      <w:pPr>
        <w:numPr>
          <w:ilvl w:val="1"/>
          <w:numId w:val="1015"/>
        </w:numPr>
        <w:pStyle w:val="Compact"/>
      </w:pPr>
      <w:r>
        <w:t xml:space="preserve">Recyclability Percentage:</w:t>
      </w:r>
      <w:r>
        <w:t xml:space="preserve"> </w:t>
      </w:r>
      <w:r>
        <w:rPr>
          <w:rStyle w:val="VerbatimChar"/>
        </w:rPr>
        <w:t xml:space="preserve">kyhdouzumd</w:t>
      </w:r>
      <w:r>
        <w:t xml:space="preserve"> </w:t>
      </w:r>
      <w:r>
        <w:t xml:space="preserve">(e.g., 85%)</w:t>
      </w:r>
    </w:p>
    <w:p>
      <w:pPr>
        <w:numPr>
          <w:ilvl w:val="1"/>
          <w:numId w:val="1015"/>
        </w:numPr>
        <w:pStyle w:val="Compact"/>
      </w:pPr>
      <w:r>
        <w:t xml:space="preserve">Circular/Take-back Programs:</w:t>
      </w:r>
      <w:r>
        <w:t xml:space="preserve"> </w:t>
      </w:r>
      <w:r>
        <w:rPr>
          <w:rStyle w:val="VerbatimChar"/>
        </w:rPr>
        <w:t xml:space="preserve">jntidssswk</w:t>
      </w:r>
      <w:r>
        <w:t xml:space="preserve"> </w:t>
      </w:r>
      <w:r>
        <w:t xml:space="preserve">(e.g., Yes, indicating high recovery rate)</w:t>
      </w:r>
    </w:p>
    <w:p>
      <w:pPr>
        <w:numPr>
          <w:ilvl w:val="1"/>
          <w:numId w:val="1015"/>
        </w:numPr>
        <w:pStyle w:val="Compact"/>
      </w:pPr>
      <w:r>
        <w:t xml:space="preserve">Default EoL Emission Factor (Landfill, illustrative for non-recyclables): 0.1 kg CO2e/kg of product for non-recovered waste.</w:t>
      </w:r>
    </w:p>
    <w:p>
      <w:pPr>
        <w:numPr>
          <w:ilvl w:val="1"/>
          <w:numId w:val="1015"/>
        </w:numPr>
        <w:pStyle w:val="Compact"/>
      </w:pPr>
      <w:r>
        <w:t xml:space="preserve">Avoided emissions from recycling (illustrative): 0.5 kg CO2e/kg for recycled materials (credit).</w:t>
      </w:r>
    </w:p>
    <w:p>
      <w:pPr>
        <w:numPr>
          <w:ilvl w:val="1"/>
          <w:numId w:val="1015"/>
        </w:numPr>
        <w:pStyle w:val="Compact"/>
      </w:pPr>
      <w:r>
        <w:t xml:space="preserve">Net EoL Emissions = (Product Weight * (1 - Recyclability %)) * EoL EF_landfill - (Product Weight * Recyclability %) * Avoided EF_recycling</w:t>
      </w:r>
    </w:p>
    <w:p>
      <w:pPr>
        <w:numPr>
          <w:ilvl w:val="1"/>
          <w:numId w:val="1015"/>
        </w:numPr>
        <w:pStyle w:val="Compact"/>
      </w:pPr>
      <w:r>
        <w:t xml:space="preserve">Illustrative Product Weight: ~1.7 kg</w:t>
      </w:r>
    </w:p>
    <w:p>
      <w:pPr>
        <w:numPr>
          <w:ilvl w:val="1"/>
          <w:numId w:val="1015"/>
        </w:numPr>
        <w:pStyle w:val="Compact"/>
      </w:pPr>
      <w:r>
        <w:t xml:space="preserve">Illustrative EoL = (1.7 kg * 0.15) * 0.1 kg CO2e/kg - (1.7 kg * 0.85) * 0.5 kg CO2e/kg = 0.0255 kg CO2e - 0.7225 kg CO2e =</w:t>
      </w:r>
      <w:r>
        <w:t xml:space="preserve"> </w:t>
      </w:r>
      <w:r>
        <w:rPr>
          <w:bCs/>
          <w:b/>
        </w:rPr>
        <w:t xml:space="preserve">-0.697 kg CO2e/unit</w:t>
      </w:r>
      <w:r>
        <w:t xml:space="preserve"> </w:t>
      </w:r>
      <w:r>
        <w:t xml:space="preserve">(net carbon credit due to high recyclability and circular programs)</w:t>
      </w:r>
    </w:p>
    <w:bookmarkEnd w:id="38"/>
    <w:bookmarkStart w:id="39" w:name="Xda1663dee3fbbbbb89eafdefb7b0aa63e298924"/>
    <w:p>
      <w:pPr>
        <w:pStyle w:val="Heading3"/>
      </w:pPr>
      <w:r>
        <w:t xml:space="preserve">4.4 Summary of Illustrative Product Carbon Footprint for fnzkmitexg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Raw Material Acquisition &amp; Pre-processing (BOM)</w:t>
            </w:r>
          </w:p>
        </w:tc>
        <w:tc>
          <w:tcPr/>
          <w:p>
            <w:pPr>
              <w:pStyle w:val="Compact"/>
              <w:jc w:val="left"/>
            </w:pPr>
            <w:r>
              <w:t xml:space="preserve">Scope 3 (Upstream)</w:t>
            </w:r>
          </w:p>
        </w:tc>
        <w:tc>
          <w:tcPr/>
          <w:p>
            <w:pPr>
              <w:pStyle w:val="Compact"/>
              <w:jc w:val="left"/>
            </w:pPr>
            <w:r>
              <w:t xml:space="preserve">25.25</w:t>
            </w:r>
          </w:p>
        </w:tc>
      </w:tr>
      <w:tr>
        <w:tc>
          <w:tcPr/>
          <w:p>
            <w:pPr>
              <w:pStyle w:val="Compact"/>
              <w:jc w:val="left"/>
            </w:pPr>
            <w:r>
              <w:t xml:space="preserve">Manufacturing &amp; Production (Energy)</w:t>
            </w:r>
          </w:p>
        </w:tc>
        <w:tc>
          <w:tcPr/>
          <w:p>
            <w:pPr>
              <w:pStyle w:val="Compact"/>
              <w:jc w:val="left"/>
            </w:pPr>
            <w:r>
              <w:t xml:space="preserve">Scope 2</w:t>
            </w:r>
          </w:p>
        </w:tc>
        <w:tc>
          <w:tcPr/>
          <w:p>
            <w:pPr>
              <w:pStyle w:val="Compact"/>
              <w:jc w:val="left"/>
            </w:pPr>
            <w:r>
              <w:t xml:space="preserve">1.40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0.43</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16.43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52.81</w:t>
            </w:r>
          </w:p>
        </w:tc>
      </w:tr>
    </w:tbl>
    <w:p>
      <w:pPr>
        <w:pStyle w:val="BodyText"/>
      </w:pPr>
      <w:r>
        <w:rPr>
          <w:iCs/>
          <w:i/>
        </w:rPr>
        <w:t xml:space="preserve">Note: All numerical values in this section, except for the BOM Total Carbon, are illustrative based on hypothetical emission factors and assumptions for placeholder parameters. Actual calculation requires concrete data for \'Select Mode\', \'jioggyurtl\', \'Delivery Type\', \'fidtsmhrjr\', \'lexoorekle\', \'siztgonetj\', \'zyrotikszm\', \'kyhdouzumd\', and \'jntidssswk\'.</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fnzkmitexg</w:t>
      </w:r>
      <w:r>
        <w:t xml:space="preserve"> </w:t>
      </w:r>
      <w:r>
        <w:t xml:space="preserve">appear to be:</w:t>
      </w:r>
    </w:p>
    <w:p>
      <w:pPr>
        <w:numPr>
          <w:ilvl w:val="0"/>
          <w:numId w:val="1016"/>
        </w:numPr>
        <w:pStyle w:val="Compact"/>
      </w:pPr>
      <w:r>
        <w:rPr>
          <w:bCs/>
          <w:b/>
        </w:rPr>
        <w:t xml:space="preserve">Raw Material Acquisition &amp; Pre-processing:</w:t>
      </w:r>
      <w:r>
        <w:t xml:space="preserve"> </w:t>
      </w:r>
      <w:r>
        <w:t xml:space="preserve">Accounting for a significant portion of the footprint, highlighting the importance of material selection and supply chain transparency.</w:t>
      </w:r>
    </w:p>
    <w:p>
      <w:pPr>
        <w:numPr>
          <w:ilvl w:val="0"/>
          <w:numId w:val="1016"/>
        </w:numPr>
        <w:pStyle w:val="Compact"/>
      </w:pPr>
      <w:r>
        <w:rPr>
          <w:bCs/>
          <w:b/>
        </w:rPr>
        <w:t xml:space="preserve">Use Phase:</w:t>
      </w:r>
      <w:r>
        <w:t xml:space="preserve"> </w:t>
      </w:r>
      <w:r>
        <w:t xml:space="preserve">Energy consumption during the product\'s lifespan is a substantial contributor, emphasizing the need for energy-efficient design.</w:t>
      </w:r>
    </w:p>
    <w:p>
      <w:pPr>
        <w:numPr>
          <w:ilvl w:val="0"/>
          <w:numId w:val="1016"/>
        </w:numPr>
        <w:pStyle w:val="Compact"/>
      </w:pPr>
      <w:r>
        <w:rPr>
          <w:bCs/>
          <w:b/>
        </w:rPr>
        <w:t xml:space="preserve">Downstream Transportation (Last-Mile Delivery):</w:t>
      </w:r>
      <w:r>
        <w:t xml:space="preserve"> </w:t>
      </w:r>
      <w:r>
        <w:t xml:space="preserve">This stage shows a notable impact, suggesting optimization opportunities in distribution logistics.</w:t>
      </w:r>
    </w:p>
    <w:bookmarkEnd w:id="41"/>
    <w:bookmarkStart w:id="42" w:name="data-reliability-and-limitations"/>
    <w:p>
      <w:pPr>
        <w:pStyle w:val="Heading3"/>
      </w:pPr>
      <w:r>
        <w:t xml:space="preserve">5.2 Data Reliability and Limitations</w:t>
      </w:r>
    </w:p>
    <w:p>
      <w:pPr>
        <w:pStyle w:val="FirstParagraph"/>
      </w:pPr>
      <w:r>
        <w:t xml:space="preserve">The reliability of this report is high for the BOM-provided material impacts. However, the accuracy of other lifecycle stages is currently limited by the use of placeholder data for transport, energy, use phase, and end-of-life parameters. Where placeholders were used, illustrative industry-average or hypothetical emission factors were applied. A future update with primary data for these parameters will significantly enhance the precision and reliability of the quantitative results.</w:t>
      </w:r>
    </w:p>
    <w:bookmarkEnd w:id="42"/>
    <w:bookmarkStart w:id="43" w:name="recommendations-for-decarbonization"/>
    <w:p>
      <w:pPr>
        <w:pStyle w:val="Heading3"/>
      </w:pPr>
      <w:r>
        <w:t xml:space="preserve">5.3 Recommendations for Decarbonization</w:t>
      </w:r>
    </w:p>
    <w:p>
      <w:pPr>
        <w:pStyle w:val="FirstParagraph"/>
      </w:pPr>
      <w:r>
        <w:t xml:space="preserve">To reduce the Product Carbon Footprint of</w:t>
      </w:r>
      <w:r>
        <w:t xml:space="preserve"> </w:t>
      </w:r>
      <w:r>
        <w:rPr>
          <w:bCs/>
          <w:b/>
        </w:rPr>
        <w:t xml:space="preserve">fnzkmitexg</w:t>
      </w:r>
      <w:r>
        <w:t xml:space="preserve">,</w:t>
      </w:r>
      <w:r>
        <w:t xml:space="preserve"> </w:t>
      </w:r>
      <w:r>
        <w:rPr>
          <w:bCs/>
          <w:b/>
        </w:rPr>
        <w:t xml:space="preserve">wkgqnxzlhn</w:t>
      </w:r>
      <w:r>
        <w:t xml:space="preserve"> </w:t>
      </w:r>
      <w:r>
        <w:t xml:space="preserve">should consider the following:</w:t>
      </w:r>
    </w:p>
    <w:p>
      <w:pPr>
        <w:numPr>
          <w:ilvl w:val="0"/>
          <w:numId w:val="1017"/>
        </w:numPr>
        <w:pStyle w:val="Compact"/>
      </w:pPr>
      <w:r>
        <w:rPr>
          <w:bCs/>
          <w:b/>
        </w:rPr>
        <w:t xml:space="preserve">Material Optimization:</w:t>
      </w:r>
      <w:r>
        <w:t xml:space="preserve"> </w:t>
      </w:r>
      <w:r>
        <w:t xml:space="preserve">Explore lower-carbon alternative materials or design for dematerialization, focusing on components with high embedded carbon.</w:t>
      </w:r>
    </w:p>
    <w:p>
      <w:pPr>
        <w:numPr>
          <w:ilvl w:val="0"/>
          <w:numId w:val="1017"/>
        </w:numPr>
        <w:pStyle w:val="Compact"/>
      </w:pPr>
      <w:r>
        <w:rPr>
          <w:bCs/>
          <w:b/>
        </w:rPr>
        <w:t xml:space="preserve">Energy Efficiency in Use:</w:t>
      </w:r>
      <w:r>
        <w:t xml:space="preserve"> </w:t>
      </w:r>
      <w:r>
        <w:t xml:space="preserve">Investigate technologies and designs that reduce the product\'s energy consumption during its use phase.</w:t>
      </w:r>
    </w:p>
    <w:p>
      <w:pPr>
        <w:numPr>
          <w:ilvl w:val="0"/>
          <w:numId w:val="1017"/>
        </w:numPr>
        <w:pStyle w:val="Compact"/>
      </w:pPr>
      <w:r>
        <w:rPr>
          <w:bCs/>
          <w:b/>
        </w:rPr>
        <w:t xml:space="preserve">Supply Chain Logistics:</w:t>
      </w:r>
      <w:r>
        <w:t xml:space="preserve"> </w:t>
      </w:r>
      <w:r>
        <w:t xml:space="preserve">Optimize transportation routes, consider lower-emission transport modes, and explore local sourcing options where feasible.</w:t>
      </w:r>
    </w:p>
    <w:p>
      <w:pPr>
        <w:numPr>
          <w:ilvl w:val="0"/>
          <w:numId w:val="1017"/>
        </w:numPr>
        <w:pStyle w:val="Compact"/>
      </w:pPr>
      <w:r>
        <w:rPr>
          <w:bCs/>
          <w:b/>
        </w:rPr>
        <w:t xml:space="preserve">Circular Economy Initiatives:</w:t>
      </w:r>
      <w:r>
        <w:t xml:space="preserve"> </w:t>
      </w:r>
      <w:r>
        <w:t xml:space="preserve">Enhance existing circular/take-back programs and investigate further opportunities for product longevity, repairability, and high-value recycling.</w:t>
      </w:r>
    </w:p>
    <w:p>
      <w:pPr>
        <w:numPr>
          <w:ilvl w:val="0"/>
          <w:numId w:val="1017"/>
        </w:numPr>
        <w:pStyle w:val="Compact"/>
      </w:pPr>
      <w:r>
        <w:rPr>
          <w:bCs/>
          <w:b/>
        </w:rPr>
        <w:t xml:space="preserve">Renewable Energy Procurement:</w:t>
      </w:r>
      <w:r>
        <w:t xml:space="preserve"> </w:t>
      </w:r>
      <w:r>
        <w:t xml:space="preserve">Increase the percentage of renewable energy used in manufacturing facilities, both owned and those of key suppliers in China and Europe.</w:t>
      </w:r>
    </w:p>
    <w:p>
      <w:pPr>
        <w:pStyle w:val="FirstParagraph"/>
      </w:pPr>
      <w:r>
        <w:t xml:space="preserve">This report provides a foundational understanding of the PCF for</w:t>
      </w:r>
      <w:r>
        <w:t xml:space="preserve"> </w:t>
      </w:r>
      <w:r>
        <w:rPr>
          <w:bCs/>
          <w:b/>
        </w:rPr>
        <w:t xml:space="preserve">fnzkmitexg</w:t>
      </w:r>
      <w:r>
        <w:t xml:space="preserve">. Continuous monitoring, collection of primary data, and engagement with the supply chain will be critical for achieving long-term sustainability goals in line with GHG Protocol standards and the evolving regulatory landscape.</w:t>
      </w:r>
    </w:p>
    <w:p>
      <w:pPr>
        <w:pStyle w:val="BodyText"/>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fnzkmitexg</dc:title>
  <dc:creator/>
  <dc:description>High-detail Product Carbon Footprint (PCF) analysis report for fnzkmitexg, prepared by ddpsnznfpx for wkgqnxzlhn, adhering to GHG Protocol and 2026 updates.</dc:description>
  <dc:language>en</dc:language>
  <cp:keywords/>
  <dcterms:created xsi:type="dcterms:W3CDTF">2026-07-15T05:28:02Z</dcterms:created>
  <dcterms:modified xsi:type="dcterms:W3CDTF">2026-07-15T05:28:02Z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