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fnylhlymle</w:t>
      </w:r>
    </w:p>
    <w:p>
      <w:pPr>
        <w:pStyle w:val="FirstParagraph"/>
      </w:pPr>
      <w:r>
        <w:t xml:space="preserve">carboncalcpcf.com</w:t>
      </w:r>
    </w:p>
    <w:p>
      <w:pPr>
        <w:pStyle w:val="BodyText"/>
      </w:pPr>
      <w:r>
        <w:rPr>
          <w:bCs/>
          <w:b/>
        </w:rPr>
        <w:t xml:space="preserve">PRODUCT CARBON FOOTPRINT ANALYSIS REPORT</w:t>
      </w:r>
    </w:p>
    <w:bookmarkStart w:id="20" w:name="fnylhlymle"/>
    <w:p>
      <w:pPr>
        <w:pStyle w:val="Heading1"/>
      </w:pPr>
      <w:r>
        <w:t xml:space="preserve">fnylhlymle</w:t>
      </w:r>
    </w:p>
    <w:p>
      <w:pPr>
        <w:pStyle w:val="FirstParagraph"/>
      </w:pPr>
      <w:r>
        <w:rPr>
          <w:bCs/>
          <w:b/>
        </w:rPr>
        <w:t xml:space="preserve">Company Name:</w:t>
      </w:r>
      <w:r>
        <w:t xml:space="preserve"> </w:t>
      </w:r>
      <w:r>
        <w:t xml:space="preserve">lemlwyxigp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wnpdmjezsu</w:t>
      </w:r>
    </w:p>
    <w:p>
      <w:pPr>
        <w:pStyle w:val="BodyText"/>
      </w:pPr>
      <w:r>
        <w:t xml:space="preserve">This report is generated based on available data and industry standards. All calculations are illustrative, utilizing provided parameter names as placeholders for actual data, with example numerical values provided for demonstration purposes where specific data was not available.</w:t>
      </w:r>
    </w:p>
    <w:bookmarkEnd w:id="20"/>
    <w:p>
      <w:pPr>
        <w:pStyle w:val="BodyText"/>
      </w:pPr>
      <w:r>
        <w:t xml:space="preserve">Product Carbon Footprint Analysis: fnylhlymle</w:t>
      </w:r>
    </w:p>
    <w:p>
      <w:pPr>
        <w:pStyle w:val="BodyText"/>
      </w:pPr>
      <w:r>
        <w:t xml:space="preserve">Generated Date: 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"fnylhlymle", manufactured by "lemlwyxigp". The analysis was conducted by "wnpdmjezsu", Senior Sustainability Consultant, adhering strictly to the GHG Protocol\'s corporate and product standards. This assessment integrates the 2026 Land Sector and Removals (LSR) Standard and aims for at least 95% Scope 3 coverage, reflecting current best practices in carbon accounting. The objective is to identify key emission hotspots across the product\'s lifecycle, from material acquisition to end-of-life, providing actionable insights for emission reduction strategies.</w:t>
      </w:r>
    </w:p>
    <w:p>
      <w:r>
        <w:pict>
          <v:rect style="width:0;height:1.5pt" o:hralign="center" o:hrstd="t" o:hr="t"/>
        </w:pict>
      </w:r>
    </w:p>
    <w:bookmarkEnd w:id="21"/>
    <w:bookmarkStart w:id="30" w:name="methodology"/>
    <w:p>
      <w:pPr>
        <w:pStyle w:val="Heading2"/>
      </w:pPr>
      <w:r>
        <w:t xml:space="preserve">1. Methodology</w:t>
      </w:r>
    </w:p>
    <w:p>
      <w:pPr>
        <w:pStyle w:val="FirstParagraph"/>
      </w:pPr>
      <w:r>
        <w:t xml:space="preserve">The Product Carbon Footprint (PCF) analysis for fnylhlymle follows a five-step methodology in accordance with the GHG Protocol Product Standard.</w:t>
      </w:r>
    </w:p>
    <w:bookmarkStart w:id="22" w:name="define-scope"/>
    <w:p>
      <w:pPr>
        <w:pStyle w:val="Heading3"/>
      </w:pPr>
      <w:r>
        <w:t xml:space="preserve">1.1. Define Scope</w:t>
      </w:r>
    </w:p>
    <w:p>
      <w:pPr>
        <w:pStyle w:val="FirstParagraph"/>
      </w:pPr>
      <w:r>
        <w:t xml:space="preserve">The scope definition establishes the boundaries and assumptions for the PCF calculation.</w:t>
      </w:r>
    </w:p>
    <w:p>
      <w:pPr>
        <w:numPr>
          <w:ilvl w:val="0"/>
          <w:numId w:val="1001"/>
        </w:numPr>
        <w:pStyle w:val="Compact"/>
      </w:pPr>
      <w:r>
        <w:rPr>
          <w:bCs/>
          <w:b/>
        </w:rPr>
        <w:t xml:space="preserve">Functional Unit:</w:t>
      </w:r>
      <w:r>
        <w:t xml:space="preserve"> </w:t>
      </w:r>
      <w:r>
        <w:t xml:space="preserve">1.0 unit of fnylhlymle. This unit serves as the reference basis for quantifying all inputs and outputs across the product lifecycle.</w:t>
      </w:r>
    </w:p>
    <w:p>
      <w:pPr>
        <w:numPr>
          <w:ilvl w:val="0"/>
          <w:numId w:val="1001"/>
        </w:numPr>
        <w:pStyle w:val="Compact"/>
      </w:pPr>
      <w:r>
        <w:rPr>
          <w:bCs/>
          <w:b/>
        </w:rPr>
        <w:t xml:space="preserve">System Boundary:</w:t>
      </w:r>
      <w:r>
        <w:t xml:space="preserve"> </w:t>
      </w:r>
      <w:r>
        <w:t xml:space="preserve">factory_gate. This boundary encompasses all processes from raw material extraction (cradle) up to the point the finished product leaves the manufacturing facility. However, for a comprehensive PCF, the analysis extends beyond "factory_gate" to include distribution, use-phase, and end-of-life stages to comply with full lifecycle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energy grid emission factors and local regulations.</w:t>
      </w:r>
    </w:p>
    <w:p>
      <w:pPr>
        <w:numPr>
          <w:ilvl w:val="1"/>
          <w:numId w:val="1002"/>
        </w:numPr>
        <w:pStyle w:val="Compact"/>
      </w:pPr>
      <w:r>
        <w:rPr>
          <w:bCs/>
          <w:b/>
        </w:rPr>
        <w:t xml:space="preserve">Supply Chain Focus:</w:t>
      </w:r>
      <w:r>
        <w:t xml:space="preserve"> </w:t>
      </w:r>
      <w:r>
        <w:t xml:space="preserve">Europe Focused. This implies a significant portion of raw materials or components originate from Europe, impacting transport emissions.</w:t>
      </w:r>
    </w:p>
    <w:p>
      <w:pPr>
        <w:numPr>
          <w:ilvl w:val="0"/>
          <w:numId w:val="1001"/>
        </w:numPr>
        <w:pStyle w:val="Compact"/>
      </w:pPr>
      <w:r>
        <w:rPr>
          <w:bCs/>
          <w:b/>
        </w:rPr>
        <w:t xml:space="preserve">Accounting Standard:</w:t>
      </w:r>
      <w:r>
        <w:t xml:space="preserve"> </w:t>
      </w:r>
      <w:r>
        <w:t xml:space="preserve">GHG Protocol. This report strictly adheres to the GHG Protocol\'s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Where co-production or multi-output processes occur, allocation of environmental impacts is performed based on physical relationships (e.g., mass) or economic value, depending on data availability and relevance. For this analysis, a mass-based allocation approach is primarily assumed for material processing unless specific data dictates otherwise.</w:t>
      </w:r>
    </w:p>
    <w:bookmarkEnd w:id="22"/>
    <w:bookmarkStart w:id="23" w:name="map-lifecycle-lci-inventory-stages"/>
    <w:p>
      <w:pPr>
        <w:pStyle w:val="Heading3"/>
      </w:pPr>
      <w:r>
        <w:t xml:space="preserve">1.2. Map Lifecycle (LCI Inventory Stages)</w:t>
      </w:r>
    </w:p>
    <w:p>
      <w:pPr>
        <w:pStyle w:val="FirstParagraph"/>
      </w:pPr>
      <w:r>
        <w:t xml:space="preserve">The lifecycle of fnylhlymle is mapped across the following stages, facilitating data collection and emission attribution:</w:t>
      </w:r>
    </w:p>
    <w:p>
      <w:pPr>
        <w:numPr>
          <w:ilvl w:val="0"/>
          <w:numId w:val="1003"/>
        </w:numPr>
        <w:pStyle w:val="Compact"/>
      </w:pPr>
      <w:r>
        <w:rPr>
          <w:bCs/>
          <w:b/>
        </w:rPr>
        <w:t xml:space="preserve">Materials Acquisition &amp; Processing:</w:t>
      </w:r>
      <w:r>
        <w:t xml:space="preserve"> </w:t>
      </w:r>
      <w:r>
        <w:t xml:space="preserve">Extraction of raw materials and their initial processing into usable forms (e.g., metals from ore, plastics from crude oil, agricultural products for biomass).</w:t>
      </w:r>
    </w:p>
    <w:p>
      <w:pPr>
        <w:numPr>
          <w:ilvl w:val="0"/>
          <w:numId w:val="1003"/>
        </w:numPr>
        <w:pStyle w:val="Compact"/>
      </w:pPr>
      <w:r>
        <w:rPr>
          <w:bCs/>
          <w:b/>
        </w:rPr>
        <w:t xml:space="preserve">Manufacturing:</w:t>
      </w:r>
      <w:r>
        <w:t xml:space="preserve"> </w:t>
      </w:r>
      <w:r>
        <w:t xml:space="preserve">The actual production of fnylhlymle at the lemlwyxigp facility in China, including energy consumption, direct emissions from processes, and waste generation.</w:t>
      </w:r>
    </w:p>
    <w:p>
      <w:pPr>
        <w:numPr>
          <w:ilvl w:val="0"/>
          <w:numId w:val="1003"/>
        </w:numPr>
        <w:pStyle w:val="Compact"/>
      </w:pPr>
      <w:r>
        <w:rPr>
          <w:bCs/>
          <w:b/>
        </w:rPr>
        <w:t xml:space="preserve">Inbound Transport:</w:t>
      </w:r>
      <w:r>
        <w:t xml:space="preserve"> </w:t>
      </w:r>
      <w:r>
        <w:t xml:space="preserve">Transportation of raw materials and components from their origin (Europe focused) to the manufacturing facility in China.</w:t>
      </w:r>
    </w:p>
    <w:p>
      <w:pPr>
        <w:numPr>
          <w:ilvl w:val="0"/>
          <w:numId w:val="1003"/>
        </w:numPr>
        <w:pStyle w:val="Compact"/>
      </w:pPr>
      <w:r>
        <w:rPr>
          <w:bCs/>
          <w:b/>
        </w:rPr>
        <w:t xml:space="preserve">Outbound Transport &amp; Last-Mile Delivery:</w:t>
      </w:r>
      <w:r>
        <w:t xml:space="preserve"> </w:t>
      </w:r>
      <w:r>
        <w:t xml:space="preserve">Transportation of the finished product from the factory gate to the end-consumer.</w:t>
      </w:r>
    </w:p>
    <w:p>
      <w:pPr>
        <w:numPr>
          <w:ilvl w:val="0"/>
          <w:numId w:val="1003"/>
        </w:numPr>
        <w:pStyle w:val="Compact"/>
      </w:pPr>
      <w:r>
        <w:rPr>
          <w:bCs/>
          <w:b/>
        </w:rPr>
        <w:t xml:space="preserve">Use Phase:</w:t>
      </w:r>
      <w:r>
        <w:t xml:space="preserve"> </w:t>
      </w:r>
      <w:r>
        <w:t xml:space="preserve">Emissions associated with the product\'s use by the consumer, including energy consumption over its lifespan.</w:t>
      </w:r>
    </w:p>
    <w:p>
      <w:pPr>
        <w:numPr>
          <w:ilvl w:val="0"/>
          <w:numId w:val="1003"/>
        </w:numPr>
        <w:pStyle w:val="Compact"/>
      </w:pPr>
      <w:r>
        <w:rPr>
          <w:bCs/>
          <w:b/>
        </w:rPr>
        <w:t xml:space="preserve">End-of-Life (EoL):</w:t>
      </w:r>
      <w:r>
        <w:t xml:space="preserve"> </w:t>
      </w:r>
      <w:r>
        <w:t xml:space="preserve">Processes at the end of the product\'s useful life, such as disposal, recycling, or recovery.</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involves gathering both primary data from lemlwyxigp and secondary data from reputable databases.</w:t>
      </w:r>
    </w:p>
    <w:bookmarkStart w:id="24" w:name="detailed-bill-of-materials-bom"/>
    <w:p>
      <w:pPr>
        <w:pStyle w:val="Heading4"/>
      </w:pPr>
      <w:r>
        <w:t xml:space="preserve">1.3.1. Detailed Bill of Materials (BOM)</w:t>
      </w:r>
    </w:p>
    <w:p>
      <w:pPr>
        <w:pStyle w:val="FirstParagraph"/>
      </w:pPr>
      <w:r>
        <w:t xml:space="preserve">The following table presents the assumed Detailed Bill of Materials (BOM) for fnylhlymle. Note: The input parameter `degkdhph` has been interpreted as a placeholder for the actual BOM data string. For demonstration purposes, a representative BOM has been constructed based on the specified format (ID, Description, Category, Process, Qty, Unit, Emission Factor (kg CO2e/unit or kg), Total Carbon (kg CO2e)). The \'Total Carbon\' value is directly used for material impact calculation where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106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set</w:t>
            </w:r>
          </w:p>
        </w:tc>
        <w:tc>
          <w:tcPr/>
          <w:p>
            <w:pPr>
              <w:pStyle w:val="Compact"/>
              <w:jc w:val="left"/>
            </w:pPr>
            <w:r>
              <w:t xml:space="preserve">2.0</w:t>
            </w:r>
          </w:p>
        </w:tc>
        <w:tc>
          <w:tcPr/>
          <w:p>
            <w:pPr>
              <w:pStyle w:val="Compact"/>
              <w:jc w:val="left"/>
            </w:pPr>
            <w:r>
              <w:t xml:space="preserve">2.0</w:t>
            </w:r>
          </w:p>
        </w:tc>
      </w:tr>
    </w:tbl>
    <w:bookmarkEnd w:id="24"/>
    <w:bookmarkStart w:id="25" w:name="logistics-data"/>
    <w:p>
      <w:pPr>
        <w:pStyle w:val="Heading4"/>
      </w:pPr>
      <w:r>
        <w:t xml:space="preserve">1.3.2. Logistics Data</w:t>
      </w:r>
    </w:p>
    <w:p>
      <w:pPr>
        <w:numPr>
          <w:ilvl w:val="0"/>
          <w:numId w:val="1004"/>
        </w:numPr>
        <w:pStyle w:val="Compact"/>
      </w:pPr>
      <w:r>
        <w:rPr>
          <w:bCs/>
          <w:b/>
        </w:rPr>
        <w:t xml:space="preserve">Primary Transport Mode (Inbound/Outbound):</w:t>
      </w:r>
      <w:r>
        <w:t xml:space="preserve"> </w:t>
      </w:r>
      <w:r>
        <w:t xml:space="preserve">`Select Mode` (e.g., Ocean Freight for bulk, Road Freight for last mile).</w:t>
      </w:r>
    </w:p>
    <w:p>
      <w:pPr>
        <w:numPr>
          <w:ilvl w:val="0"/>
          <w:numId w:val="1004"/>
        </w:numPr>
        <w:pStyle w:val="Compact"/>
      </w:pPr>
      <w:r>
        <w:rPr>
          <w:bCs/>
          <w:b/>
        </w:rPr>
        <w:t xml:space="preserve">Transport Distance:</w:t>
      </w:r>
      <w:r>
        <w:t xml:space="preserve"> </w:t>
      </w:r>
      <w:r>
        <w:t xml:space="preserve">`vsquhsftrt` (e.g., 8000 km for international ocean freight, 500 km for regional road freight).</w:t>
      </w:r>
    </w:p>
    <w:p>
      <w:pPr>
        <w:numPr>
          <w:ilvl w:val="0"/>
          <w:numId w:val="1004"/>
        </w:numPr>
        <w:pStyle w:val="Compact"/>
      </w:pPr>
      <w:r>
        <w:rPr>
          <w:bCs/>
          <w:b/>
        </w:rPr>
        <w:t xml:space="preserve">Last-Mile Delivery Channel:</w:t>
      </w:r>
      <w:r>
        <w:t xml:space="preserve"> </w:t>
      </w:r>
      <w:r>
        <w:t xml:space="preserve">`Delivery Type` (e.g., Road Freight - Light Commercial Vehicle).</w:t>
      </w:r>
    </w:p>
    <w:p>
      <w:pPr>
        <w:pStyle w:val="FirstParagraph"/>
      </w:pPr>
      <w:r>
        <w:rPr>
          <w:iCs/>
          <w:i/>
        </w:rPr>
        <w:t xml:space="preserve">Example Values for Calculation:</w:t>
      </w:r>
    </w:p>
    <w:p>
      <w:pPr>
        <w:numPr>
          <w:ilvl w:val="0"/>
          <w:numId w:val="1005"/>
        </w:numPr>
        <w:pStyle w:val="Compact"/>
      </w:pPr>
      <w:r>
        <w:t xml:space="preserve">Inbound Materials (Europe to China): Ocean Freight, 1.0 kg average material mass per unit (for transport calc), 8000 km. Emission Factor (Ocean Freight): 0.01 kg CO2e/tkm.</w:t>
      </w:r>
    </w:p>
    <w:p>
      <w:pPr>
        <w:numPr>
          <w:ilvl w:val="0"/>
          <w:numId w:val="1005"/>
        </w:numPr>
        <w:pStyle w:val="Compact"/>
      </w:pPr>
      <w:r>
        <w:t xml:space="preserve">Outbound Product (China to Customer Hub): Ocean Freight, 1.0 kg product mass, 8000 km. Emission Factor (Ocean Freight): 0.01 kg CO2e/tkm.</w:t>
      </w:r>
    </w:p>
    <w:p>
      <w:pPr>
        <w:numPr>
          <w:ilvl w:val="0"/>
          <w:numId w:val="1005"/>
        </w:numPr>
        <w:pStyle w:val="Compact"/>
      </w:pPr>
      <w:r>
        <w:t xml:space="preserve">Last-Mile Delivery: Road Freight (Light Commercial Vehicle), 1.0 kg product mass, 100 km. Emission Factor (Road Freight LCV): 0.15 kg CO2e/tkm.</w:t>
      </w:r>
    </w:p>
    <w:bookmarkEnd w:id="25"/>
    <w:bookmarkStart w:id="26" w:name="production-energy-data"/>
    <w:p>
      <w:pPr>
        <w:pStyle w:val="Heading4"/>
      </w:pPr>
      <w:r>
        <w:t xml:space="preserve">1.3.3. Production Energy Data</w:t>
      </w:r>
    </w:p>
    <w:p>
      <w:pPr>
        <w:numPr>
          <w:ilvl w:val="0"/>
          <w:numId w:val="1006"/>
        </w:numPr>
        <w:pStyle w:val="Compact"/>
      </w:pPr>
      <w:r>
        <w:rPr>
          <w:bCs/>
          <w:b/>
        </w:rPr>
        <w:t xml:space="preserve">Renewable Energy Usage:</w:t>
      </w:r>
      <w:r>
        <w:t xml:space="preserve"> </w:t>
      </w:r>
      <w:r>
        <w:t xml:space="preserve">`ihguhxpyde` (e.g., 50%).</w:t>
      </w:r>
    </w:p>
    <w:p>
      <w:pPr>
        <w:numPr>
          <w:ilvl w:val="0"/>
          <w:numId w:val="1006"/>
        </w:numPr>
        <w:pStyle w:val="Compact"/>
      </w:pPr>
      <w:r>
        <w:rPr>
          <w:bCs/>
          <w:b/>
        </w:rPr>
        <w:t xml:space="preserve">Energy Intensity (kWh/unit):</w:t>
      </w:r>
      <w:r>
        <w:t xml:space="preserve"> </w:t>
      </w:r>
      <w:r>
        <w:t xml:space="preserve">`sqifonflon` (e.g., 5.0 kWh/unit).</w:t>
      </w:r>
    </w:p>
    <w:p>
      <w:pPr>
        <w:pStyle w:val="FirstParagraph"/>
      </w:pPr>
      <w:r>
        <w:rPr>
          <w:iCs/>
          <w:i/>
        </w:rPr>
        <w:t xml:space="preserve">Example Values for Calculation:</w:t>
      </w:r>
    </w:p>
    <w:p>
      <w:pPr>
        <w:numPr>
          <w:ilvl w:val="0"/>
          <w:numId w:val="1007"/>
        </w:numPr>
        <w:pStyle w:val="Compact"/>
      </w:pPr>
      <w:r>
        <w:t xml:space="preserve">Total Energy per Unit: 5.0 kWh/unit.</w:t>
      </w:r>
    </w:p>
    <w:p>
      <w:pPr>
        <w:numPr>
          <w:ilvl w:val="0"/>
          <w:numId w:val="1007"/>
        </w:numPr>
        <w:pStyle w:val="Compact"/>
      </w:pPr>
      <w:r>
        <w:t xml:space="preserve">Renewable Energy Share: 50%.</w:t>
      </w:r>
    </w:p>
    <w:p>
      <w:pPr>
        <w:numPr>
          <w:ilvl w:val="0"/>
          <w:numId w:val="1007"/>
        </w:numPr>
        <w:pStyle w:val="Compact"/>
      </w:pPr>
      <w:r>
        <w:t xml:space="preserve">Non-Renewable Energy Share: 50%.</w:t>
      </w:r>
    </w:p>
    <w:p>
      <w:pPr>
        <w:numPr>
          <w:ilvl w:val="0"/>
          <w:numId w:val="1007"/>
        </w:numPr>
        <w:pStyle w:val="Compact"/>
      </w:pPr>
      <w:r>
        <w:t xml:space="preserve">China Electricity Grid Emission Factor (average): 0.57 kg CO2e/kWh (Source: IEA/Ecoinvent, illustrative).</w:t>
      </w:r>
    </w:p>
    <w:bookmarkEnd w:id="26"/>
    <w:bookmarkStart w:id="27" w:name="use-phase-data"/>
    <w:p>
      <w:pPr>
        <w:pStyle w:val="Heading4"/>
      </w:pPr>
      <w:r>
        <w:t xml:space="preserve">1.3.4. Use Phase Data</w:t>
      </w:r>
    </w:p>
    <w:p>
      <w:pPr>
        <w:numPr>
          <w:ilvl w:val="0"/>
          <w:numId w:val="1008"/>
        </w:numPr>
        <w:pStyle w:val="Compact"/>
      </w:pPr>
      <w:r>
        <w:rPr>
          <w:bCs/>
          <w:b/>
        </w:rPr>
        <w:t xml:space="preserve">Product Lifespan:</w:t>
      </w:r>
      <w:r>
        <w:t xml:space="preserve"> </w:t>
      </w:r>
      <w:r>
        <w:t xml:space="preserve">`kklpiulojq` (e.g., 3 years).</w:t>
      </w:r>
    </w:p>
    <w:p>
      <w:pPr>
        <w:numPr>
          <w:ilvl w:val="0"/>
          <w:numId w:val="1008"/>
        </w:numPr>
        <w:pStyle w:val="Compact"/>
      </w:pPr>
      <w:r>
        <w:rPr>
          <w:bCs/>
          <w:b/>
        </w:rPr>
        <w:t xml:space="preserve">Energy Consumption in Use:</w:t>
      </w:r>
      <w:r>
        <w:t xml:space="preserve"> </w:t>
      </w:r>
      <w:r>
        <w:t xml:space="preserve">`mlohssriji` (e.g., 0.01 kWh/day).</w:t>
      </w:r>
    </w:p>
    <w:p>
      <w:pPr>
        <w:pStyle w:val="FirstParagraph"/>
      </w:pPr>
      <w:r>
        <w:rPr>
          <w:iCs/>
          <w:i/>
        </w:rPr>
        <w:t xml:space="preserve">Example Values for Calculation:</w:t>
      </w:r>
    </w:p>
    <w:p>
      <w:pPr>
        <w:numPr>
          <w:ilvl w:val="0"/>
          <w:numId w:val="1009"/>
        </w:numPr>
        <w:pStyle w:val="Compact"/>
      </w:pPr>
      <w:r>
        <w:t xml:space="preserve">Lifespan: 3 years = 1095 days.</w:t>
      </w:r>
    </w:p>
    <w:p>
      <w:pPr>
        <w:numPr>
          <w:ilvl w:val="0"/>
          <w:numId w:val="1009"/>
        </w:numPr>
        <w:pStyle w:val="Compact"/>
      </w:pPr>
      <w:r>
        <w:t xml:space="preserve">Daily Consumption: 0.01 kWh/day.</w:t>
      </w:r>
    </w:p>
    <w:p>
      <w:pPr>
        <w:numPr>
          <w:ilvl w:val="0"/>
          <w:numId w:val="1009"/>
        </w:numPr>
        <w:pStyle w:val="Compact"/>
      </w:pPr>
      <w:r>
        <w:t xml:space="preserve">Total Use Phase Energy: 1095 days * 0.01 kWh/day = 10.95 kWh.</w:t>
      </w:r>
    </w:p>
    <w:p>
      <w:pPr>
        <w:numPr>
          <w:ilvl w:val="0"/>
          <w:numId w:val="1009"/>
        </w:numPr>
        <w:pStyle w:val="Compact"/>
      </w:pPr>
      <w:r>
        <w:t xml:space="preserve">Average Global Grid Emission Factor (for consumer use): 0.40 kg CO2e/kWh (illustrative).</w:t>
      </w:r>
    </w:p>
    <w:bookmarkEnd w:id="27"/>
    <w:bookmarkStart w:id="28" w:name="end-of-life-eol-data"/>
    <w:p>
      <w:pPr>
        <w:pStyle w:val="Heading4"/>
      </w:pPr>
      <w:r>
        <w:t xml:space="preserve">1.3.5. End-of-Life (EoL) Data</w:t>
      </w:r>
    </w:p>
    <w:p>
      <w:pPr>
        <w:numPr>
          <w:ilvl w:val="0"/>
          <w:numId w:val="1010"/>
        </w:numPr>
        <w:pStyle w:val="Compact"/>
      </w:pPr>
      <w:r>
        <w:rPr>
          <w:bCs/>
          <w:b/>
        </w:rPr>
        <w:t xml:space="preserve">Recyclability Percentage:</w:t>
      </w:r>
      <w:r>
        <w:t xml:space="preserve"> </w:t>
      </w:r>
      <w:r>
        <w:t xml:space="preserve">`xmjfqusxen` (e.g., 80%).</w:t>
      </w:r>
    </w:p>
    <w:p>
      <w:pPr>
        <w:numPr>
          <w:ilvl w:val="0"/>
          <w:numId w:val="1010"/>
        </w:numPr>
        <w:pStyle w:val="Compact"/>
      </w:pPr>
      <w:r>
        <w:rPr>
          <w:bCs/>
          <w:b/>
        </w:rPr>
        <w:t xml:space="preserve">Circular/Take-back Programs:</w:t>
      </w:r>
      <w:r>
        <w:t xml:space="preserve"> </w:t>
      </w:r>
      <w:r>
        <w:t xml:space="preserve">`qrthdrxvvf` (e.g., Yes, Company-run take-back scheme).</w:t>
      </w:r>
    </w:p>
    <w:p>
      <w:pPr>
        <w:pStyle w:val="FirstParagraph"/>
      </w:pPr>
      <w:r>
        <w:rPr>
          <w:iCs/>
          <w:i/>
        </w:rPr>
        <w:t xml:space="preserve">Example Values for Calculation:</w:t>
      </w:r>
    </w:p>
    <w:p>
      <w:pPr>
        <w:numPr>
          <w:ilvl w:val="0"/>
          <w:numId w:val="1011"/>
        </w:numPr>
        <w:pStyle w:val="Compact"/>
      </w:pPr>
      <w:r>
        <w:t xml:space="preserve">Total Product Mass: Sum of BOM quantities = 0.5 + 0.2 + 0.05 + 0.1 + 0.15 + 1.0 (assuming unit = kg for electronics component for mass calc) = 2.0 kg.</w:t>
      </w:r>
    </w:p>
    <w:p>
      <w:pPr>
        <w:numPr>
          <w:ilvl w:val="0"/>
          <w:numId w:val="1011"/>
        </w:numPr>
        <w:pStyle w:val="Compact"/>
      </w:pPr>
      <w:r>
        <w:t xml:space="preserve">Recycled Mass: 2.0 kg * 80% = 1.6 kg.</w:t>
      </w:r>
    </w:p>
    <w:p>
      <w:pPr>
        <w:numPr>
          <w:ilvl w:val="0"/>
          <w:numId w:val="1011"/>
        </w:numPr>
        <w:pStyle w:val="Compact"/>
      </w:pPr>
      <w:r>
        <w:t xml:space="preserve">Disposed Mass (Landfill/Incineration): 2.0 kg * 20% = 0.4 kg.</w:t>
      </w:r>
    </w:p>
    <w:p>
      <w:pPr>
        <w:numPr>
          <w:ilvl w:val="0"/>
          <w:numId w:val="1011"/>
        </w:numPr>
        <w:pStyle w:val="Compact"/>
      </w:pPr>
      <w:r>
        <w:t xml:space="preserve">Recycling Credit Factor: -0.5 kg CO2e/kg (illustrative for metals/plastics).</w:t>
      </w:r>
    </w:p>
    <w:p>
      <w:pPr>
        <w:numPr>
          <w:ilvl w:val="0"/>
          <w:numId w:val="1011"/>
        </w:numPr>
        <w:pStyle w:val="Compact"/>
      </w:pPr>
      <w:r>
        <w:t xml:space="preserve">Disposal Emission Factor: 1.0 kg CO2e/kg (illustrative for mixed waste to landfill).</w:t>
      </w:r>
    </w:p>
    <w:p>
      <w:pPr>
        <w:pStyle w:val="FirstParagraph"/>
      </w:pPr>
      <w:r>
        <w:t xml:space="preserve">Secondary data, including industry-standard emission factors, will be sourced from reputable databases such as Ecoinvent and DEFRA for generic materials, energy production, and transportation modes where primary data is unavailable.</w:t>
      </w:r>
    </w:p>
    <w:p>
      <w:r>
        <w:pict>
          <v:rect style="width:0;height:1.5pt" o:hralign="center" o:hrstd="t" o:hr="t"/>
        </w:pict>
      </w:r>
    </w:p>
    <w:bookmarkEnd w:id="28"/>
    <w:bookmarkEnd w:id="29"/>
    <w:bookmarkEnd w:id="30"/>
    <w:bookmarkStart w:id="39" w:name="X2c62247db19834934c44c209ad423fe06ba5c64"/>
    <w:p>
      <w:pPr>
        <w:pStyle w:val="Heading2"/>
      </w:pPr>
      <w:r>
        <w:t xml:space="preserve">2. Calculation of Emissions (Activity * Emission Factor = CO2e)</w:t>
      </w:r>
    </w:p>
    <w:p>
      <w:pPr>
        <w:pStyle w:val="FirstParagraph"/>
      </w:pPr>
      <w:r>
        <w:t xml:space="preserve">Emissions are quantified for each lifecycle stage and categorized according to the GHG Protocol (Scope 1, 2, 3).</w:t>
      </w:r>
    </w:p>
    <w:bookmarkStart w:id="31" w:name="Xed5a0f41b83428c02b8bdfe429bfae7a1558234"/>
    <w:p>
      <w:pPr>
        <w:pStyle w:val="Heading3"/>
      </w:pPr>
      <w:r>
        <w:t xml:space="preserve">2.1. Material Acquisition &amp; Processing (Scope 3 - Upstream)</w:t>
      </w:r>
    </w:p>
    <w:p>
      <w:pPr>
        <w:pStyle w:val="FirstParagraph"/>
      </w:pPr>
      <w:r>
        <w:t xml:space="preserve">Emissions from raw material extraction and processing are primarily Scope 3, categorized as "Purchased Goods and Services". Based on the provided BOM data, the \'Total Carbon\' values are summed directly.</w:t>
      </w:r>
    </w:p>
    <w:p>
      <w:pPr>
        <w:pStyle w:val="BodyText"/>
      </w:pPr>
      <w:r>
        <w:rPr>
          <w:bCs/>
          <w:b/>
        </w:rPr>
        <w:t xml:space="preserve">Total Material Emissions:</w:t>
      </w:r>
    </w:p>
    <w:p>
      <w:pPr>
        <w:numPr>
          <w:ilvl w:val="0"/>
          <w:numId w:val="1012"/>
        </w:numPr>
        <w:pStyle w:val="Compact"/>
      </w:pPr>
      <w:r>
        <w:t xml:space="preserve">Aluminum Casing: 3.5 kg CO2e</w:t>
      </w:r>
    </w:p>
    <w:p>
      <w:pPr>
        <w:numPr>
          <w:ilvl w:val="0"/>
          <w:numId w:val="1012"/>
        </w:numPr>
        <w:pStyle w:val="Compact"/>
      </w:pPr>
      <w:r>
        <w:t xml:space="preserve">ABS Plastic Enclosure: 0.6 kg CO2e</w:t>
      </w:r>
    </w:p>
    <w:p>
      <w:pPr>
        <w:numPr>
          <w:ilvl w:val="0"/>
          <w:numId w:val="1012"/>
        </w:numPr>
        <w:pStyle w:val="Compact"/>
      </w:pPr>
      <w:r>
        <w:t xml:space="preserve">Circuit Board: 0.5 kg CO2e</w:t>
      </w:r>
    </w:p>
    <w:p>
      <w:pPr>
        <w:numPr>
          <w:ilvl w:val="0"/>
          <w:numId w:val="1012"/>
        </w:numPr>
        <w:pStyle w:val="Compact"/>
      </w:pPr>
      <w:r>
        <w:t xml:space="preserve">Copper Wire: 0.5 kg CO2e</w:t>
      </w:r>
    </w:p>
    <w:p>
      <w:pPr>
        <w:numPr>
          <w:ilvl w:val="0"/>
          <w:numId w:val="1012"/>
        </w:numPr>
        <w:pStyle w:val="Compact"/>
      </w:pPr>
      <w:r>
        <w:t xml:space="preserve">Packaging Cardboard: 0.225 kg CO2e</w:t>
      </w:r>
    </w:p>
    <w:p>
      <w:pPr>
        <w:numPr>
          <w:ilvl w:val="0"/>
          <w:numId w:val="1012"/>
        </w:numPr>
        <w:pStyle w:val="Compact"/>
      </w:pPr>
      <w:r>
        <w:t xml:space="preserve">Electronic Components: 2.0 kg CO2e</w:t>
      </w:r>
    </w:p>
    <w:p>
      <w:pPr>
        <w:pStyle w:val="FirstParagraph"/>
      </w:pPr>
      <w:r>
        <w:rPr>
          <w:bCs/>
          <w:b/>
        </w:rPr>
        <w:t xml:space="preserve">Subtotal Material Emissions (Illustrative):</w:t>
      </w:r>
      <w:r>
        <w:t xml:space="preserve"> </w:t>
      </w:r>
      <w:r>
        <w:t xml:space="preserve">3.5 + 0.6 + 0.5 + 0.5 + 0.225 + 2.0 = 7.325 kg CO2e.</w:t>
      </w:r>
    </w:p>
    <w:bookmarkEnd w:id="31"/>
    <w:bookmarkStart w:id="32" w:name="manufacturing-scope-1-scope-2"/>
    <w:p>
      <w:pPr>
        <w:pStyle w:val="Heading3"/>
      </w:pPr>
      <w:r>
        <w:t xml:space="preserve">2.2. Manufacturing (Scope 1 &amp; Scope 2)</w:t>
      </w:r>
    </w:p>
    <w:p>
      <w:pPr>
        <w:pStyle w:val="FirstParagraph"/>
      </w:pPr>
      <w:r>
        <w:t xml:space="preserve">Emissions from the production phase include direct emissions (Scope 1) and indirect emissions from purchased electricity (Scope 2).</w:t>
      </w:r>
    </w:p>
    <w:p>
      <w:pPr>
        <w:numPr>
          <w:ilvl w:val="0"/>
          <w:numId w:val="1013"/>
        </w:numPr>
        <w:pStyle w:val="Compact"/>
      </w:pPr>
      <w:r>
        <w:rPr>
          <w:bCs/>
          <w:b/>
        </w:rPr>
        <w:t xml:space="preserve">Scope 1 (Direct Emissions):</w:t>
      </w:r>
      <w:r>
        <w:t xml:space="preserve"> </w:t>
      </w:r>
      <w:r>
        <w:t xml:space="preserve">Assumed to be negligible for this product analysis unless specific on-site fuel combustion or process emissions are detailed. If any, they would be captured here.</w:t>
      </w:r>
    </w:p>
    <w:p>
      <w:pPr>
        <w:numPr>
          <w:ilvl w:val="0"/>
          <w:numId w:val="1013"/>
        </w:numPr>
        <w:pStyle w:val="Compact"/>
      </w:pPr>
      <w:r>
        <w:rPr>
          <w:bCs/>
          <w:b/>
        </w:rPr>
        <w:t xml:space="preserve">Scope 2 (Purchased Electricity):</w:t>
      </w:r>
    </w:p>
    <w:p>
      <w:pPr>
        <w:numPr>
          <w:ilvl w:val="1"/>
          <w:numId w:val="1014"/>
        </w:numPr>
        <w:pStyle w:val="Compact"/>
      </w:pPr>
      <w:r>
        <w:t xml:space="preserve">Energy Intensity: 5.0 kWh/unit (`sqifonflon`).</w:t>
      </w:r>
    </w:p>
    <w:p>
      <w:pPr>
        <w:numPr>
          <w:ilvl w:val="1"/>
          <w:numId w:val="1014"/>
        </w:numPr>
        <w:pStyle w:val="Compact"/>
      </w:pPr>
      <w:r>
        <w:t xml:space="preserve">Renewable Energy Usage: 50% (`ihguhxpyde`).</w:t>
      </w:r>
    </w:p>
    <w:p>
      <w:pPr>
        <w:numPr>
          <w:ilvl w:val="1"/>
          <w:numId w:val="1014"/>
        </w:numPr>
        <w:pStyle w:val="Compact"/>
      </w:pPr>
      <w:r>
        <w:t xml:space="preserve">Non-Renewable Electricity: 5.0 kWh * (1 - 0.50) = 2.5 kWh/unit.</w:t>
      </w:r>
    </w:p>
    <w:p>
      <w:pPr>
        <w:numPr>
          <w:ilvl w:val="1"/>
          <w:numId w:val="1014"/>
        </w:numPr>
        <w:pStyle w:val="Compact"/>
      </w:pPr>
      <w:r>
        <w:t xml:space="preserve">China Grid Emission Factor: 0.57 kg CO2e/kWh.</w:t>
      </w:r>
    </w:p>
    <w:p>
      <w:pPr>
        <w:numPr>
          <w:ilvl w:val="1"/>
          <w:numId w:val="1014"/>
        </w:numPr>
        <w:pStyle w:val="Compact"/>
      </w:pPr>
      <w:r>
        <w:rPr>
          <w:bCs/>
          <w:b/>
        </w:rPr>
        <w:t xml:space="preserve">Scope 2 Emissions (Illustrative):</w:t>
      </w:r>
      <w:r>
        <w:t xml:space="preserve"> </w:t>
      </w:r>
      <w:r>
        <w:t xml:space="preserve">2.5 kWh/unit * 0.57 kg CO2e/kWh = 1.425 kg CO2e/unit.</w:t>
      </w:r>
    </w:p>
    <w:bookmarkEnd w:id="32"/>
    <w:bookmarkStart w:id="33" w:name="transport-scope-3---upstream-downstream"/>
    <w:p>
      <w:pPr>
        <w:pStyle w:val="Heading3"/>
      </w:pPr>
      <w:r>
        <w:t xml:space="preserve">2.3. Transport (Scope 3 - Upstream &amp; Downstream)</w:t>
      </w:r>
    </w:p>
    <w:p>
      <w:pPr>
        <w:pStyle w:val="FirstParagraph"/>
      </w:pPr>
      <w:r>
        <w:t xml:space="preserve">Transportation emissions are categorized as Scope 3, covering both inbound (upstream) and outbound (downstream) logistics.</w:t>
      </w:r>
    </w:p>
    <w:p>
      <w:pPr>
        <w:numPr>
          <w:ilvl w:val="0"/>
          <w:numId w:val="1015"/>
        </w:numPr>
        <w:pStyle w:val="Compact"/>
      </w:pPr>
      <w:r>
        <w:rPr>
          <w:bCs/>
          <w:b/>
        </w:rPr>
        <w:t xml:space="preserve">Inbound Transport (Raw Materials from Europe to China):</w:t>
      </w:r>
    </w:p>
    <w:p>
      <w:pPr>
        <w:numPr>
          <w:ilvl w:val="1"/>
          <w:numId w:val="1016"/>
        </w:numPr>
        <w:pStyle w:val="Compact"/>
      </w:pPr>
      <w:r>
        <w:t xml:space="preserve">Assumed Mass of Materials per unit: 1.0 kg (average for transport).</w:t>
      </w:r>
    </w:p>
    <w:p>
      <w:pPr>
        <w:numPr>
          <w:ilvl w:val="1"/>
          <w:numId w:val="1016"/>
        </w:numPr>
        <w:pStyle w:val="Compact"/>
      </w:pPr>
      <w:r>
        <w:t xml:space="preserve">Transport Mode: Ocean Freight (`Select Mode`).</w:t>
      </w:r>
    </w:p>
    <w:p>
      <w:pPr>
        <w:numPr>
          <w:ilvl w:val="1"/>
          <w:numId w:val="1016"/>
        </w:numPr>
        <w:pStyle w:val="Compact"/>
      </w:pPr>
      <w:r>
        <w:t xml:space="preserve">Distance: 8000 km (`vsquhsftrt`).</w:t>
      </w:r>
    </w:p>
    <w:p>
      <w:pPr>
        <w:numPr>
          <w:ilvl w:val="1"/>
          <w:numId w:val="1016"/>
        </w:numPr>
        <w:pStyle w:val="Compact"/>
      </w:pPr>
      <w:r>
        <w:t xml:space="preserve">Emission Factor (Ocean Freight): 0.01 kg CO2e/tkm.</w:t>
      </w:r>
    </w:p>
    <w:p>
      <w:pPr>
        <w:numPr>
          <w:ilvl w:val="1"/>
          <w:numId w:val="1016"/>
        </w:numPr>
        <w:pStyle w:val="Compact"/>
      </w:pPr>
      <w:r>
        <w:rPr>
          <w:bCs/>
          <w:b/>
        </w:rPr>
        <w:t xml:space="preserve">Inbound Transport Emissions (Illustrative):</w:t>
      </w:r>
      <w:r>
        <w:t xml:space="preserve"> </w:t>
      </w:r>
      <w:r>
        <w:t xml:space="preserve">1.0 kg * (1 tonne / 1000 kg) * 8000 km * 0.01 kg CO2e/tkm = 0.08 kg CO2e.</w:t>
      </w:r>
    </w:p>
    <w:p>
      <w:pPr>
        <w:numPr>
          <w:ilvl w:val="0"/>
          <w:numId w:val="1015"/>
        </w:numPr>
        <w:pStyle w:val="Compact"/>
      </w:pPr>
      <w:r>
        <w:rPr>
          <w:bCs/>
          <w:b/>
        </w:rPr>
        <w:t xml:space="preserve">Outbound Transport (Finished Product from China to Regional Hub):</w:t>
      </w:r>
    </w:p>
    <w:p>
      <w:pPr>
        <w:numPr>
          <w:ilvl w:val="1"/>
          <w:numId w:val="1017"/>
        </w:numPr>
        <w:pStyle w:val="Compact"/>
      </w:pPr>
      <w:r>
        <w:t xml:space="preserve">Product Mass: 1.0 kg.</w:t>
      </w:r>
    </w:p>
    <w:p>
      <w:pPr>
        <w:numPr>
          <w:ilvl w:val="1"/>
          <w:numId w:val="1017"/>
        </w:numPr>
        <w:pStyle w:val="Compact"/>
      </w:pPr>
      <w:r>
        <w:t xml:space="preserve">Transport Mode: Ocean Freight (`Select Mode`).</w:t>
      </w:r>
    </w:p>
    <w:p>
      <w:pPr>
        <w:numPr>
          <w:ilvl w:val="1"/>
          <w:numId w:val="1017"/>
        </w:numPr>
        <w:pStyle w:val="Compact"/>
      </w:pPr>
      <w:r>
        <w:t xml:space="preserve">Distance: 8000 km (`vsquhsftrt`).</w:t>
      </w:r>
    </w:p>
    <w:p>
      <w:pPr>
        <w:numPr>
          <w:ilvl w:val="1"/>
          <w:numId w:val="1017"/>
        </w:numPr>
        <w:pStyle w:val="Compact"/>
      </w:pPr>
      <w:r>
        <w:t xml:space="preserve">Emission Factor (Ocean Freight): 0.01 kg CO2e/tkm.</w:t>
      </w:r>
    </w:p>
    <w:p>
      <w:pPr>
        <w:numPr>
          <w:ilvl w:val="1"/>
          <w:numId w:val="1017"/>
        </w:numPr>
        <w:pStyle w:val="Compact"/>
      </w:pPr>
      <w:r>
        <w:rPr>
          <w:bCs/>
          <w:b/>
        </w:rPr>
        <w:t xml:space="preserve">Outbound Transport Emissions (Illustrative):</w:t>
      </w:r>
      <w:r>
        <w:t xml:space="preserve"> </w:t>
      </w:r>
      <w:r>
        <w:t xml:space="preserve">1.0 kg * (1 tonne / 1000 kg) * 8000 km * 0.01 kg CO2e/tkm = 0.08 kg CO2e.</w:t>
      </w:r>
    </w:p>
    <w:p>
      <w:pPr>
        <w:numPr>
          <w:ilvl w:val="0"/>
          <w:numId w:val="1015"/>
        </w:numPr>
        <w:pStyle w:val="Compact"/>
      </w:pPr>
      <w:r>
        <w:rPr>
          <w:bCs/>
          <w:b/>
        </w:rPr>
        <w:t xml:space="preserve">Last-Mile Delivery (Regional Hub to Customer):</w:t>
      </w:r>
    </w:p>
    <w:p>
      <w:pPr>
        <w:numPr>
          <w:ilvl w:val="1"/>
          <w:numId w:val="1018"/>
        </w:numPr>
        <w:pStyle w:val="Compact"/>
      </w:pPr>
      <w:r>
        <w:t xml:space="preserve">Product Mass: 1.0 kg.</w:t>
      </w:r>
    </w:p>
    <w:p>
      <w:pPr>
        <w:numPr>
          <w:ilvl w:val="1"/>
          <w:numId w:val="1018"/>
        </w:numPr>
        <w:pStyle w:val="Compact"/>
      </w:pPr>
      <w:r>
        <w:t xml:space="preserve">Transport Mode: Road Freight (Light Commercial Vehicle, `Delivery Type`).</w:t>
      </w:r>
    </w:p>
    <w:p>
      <w:pPr>
        <w:numPr>
          <w:ilvl w:val="1"/>
          <w:numId w:val="1018"/>
        </w:numPr>
        <w:pStyle w:val="Compact"/>
      </w:pPr>
      <w:r>
        <w:t xml:space="preserve">Distance: 100 km (Illustrative).</w:t>
      </w:r>
    </w:p>
    <w:p>
      <w:pPr>
        <w:numPr>
          <w:ilvl w:val="1"/>
          <w:numId w:val="1018"/>
        </w:numPr>
        <w:pStyle w:val="Compact"/>
      </w:pPr>
      <w:r>
        <w:t xml:space="preserve">Emission Factor (Road Freight LCV): 0.15 kg CO2e/tkm.</w:t>
      </w:r>
    </w:p>
    <w:p>
      <w:pPr>
        <w:numPr>
          <w:ilvl w:val="1"/>
          <w:numId w:val="1018"/>
        </w:numPr>
        <w:pStyle w:val="Compact"/>
      </w:pPr>
      <w:r>
        <w:rPr>
          <w:bCs/>
          <w:b/>
        </w:rPr>
        <w:t xml:space="preserve">Last-Mile Emissions (Illustrative):</w:t>
      </w:r>
      <w:r>
        <w:t xml:space="preserve"> </w:t>
      </w:r>
      <w:r>
        <w:t xml:space="preserve">1.0 kg * (1 tonne / 1000 kg) * 100 km * 0.15 kg CO2e/tkm = 0.015 kg CO2e.</w:t>
      </w:r>
    </w:p>
    <w:p>
      <w:pPr>
        <w:numPr>
          <w:ilvl w:val="0"/>
          <w:numId w:val="1015"/>
        </w:numPr>
        <w:pStyle w:val="Compact"/>
      </w:pPr>
      <w:r>
        <w:rPr>
          <w:bCs/>
          <w:b/>
        </w:rPr>
        <w:t xml:space="preserve">Total Transport Emissions (Illustrative):</w:t>
      </w:r>
      <w:r>
        <w:t xml:space="preserve"> </w:t>
      </w:r>
      <w:r>
        <w:t xml:space="preserve">0.08 + 0.08 + 0.015 = 0.175 kg CO2e.</w:t>
      </w:r>
    </w:p>
    <w:bookmarkEnd w:id="33"/>
    <w:bookmarkStart w:id="34" w:name="use-phase-scope-3---downstream"/>
    <w:p>
      <w:pPr>
        <w:pStyle w:val="Heading3"/>
      </w:pPr>
      <w:r>
        <w:t xml:space="preserve">2.4. Use Phase (Scope 3 - Downstream)</w:t>
      </w:r>
    </w:p>
    <w:p>
      <w:pPr>
        <w:pStyle w:val="FirstParagraph"/>
      </w:pPr>
      <w:r>
        <w:t xml:space="preserve">Emissions from the product\'s energy consumption during its lifespan.</w:t>
      </w:r>
    </w:p>
    <w:p>
      <w:pPr>
        <w:numPr>
          <w:ilvl w:val="0"/>
          <w:numId w:val="1019"/>
        </w:numPr>
        <w:pStyle w:val="Compact"/>
      </w:pPr>
      <w:r>
        <w:t xml:space="preserve">Product Lifespan: 3 years (`kklpiulojq`) = 1095 days.</w:t>
      </w:r>
    </w:p>
    <w:p>
      <w:pPr>
        <w:numPr>
          <w:ilvl w:val="0"/>
          <w:numId w:val="1019"/>
        </w:numPr>
        <w:pStyle w:val="Compact"/>
      </w:pPr>
      <w:r>
        <w:t xml:space="preserve">Energy Consumption in Use: 0.01 kWh/day (`mlohssriji`).</w:t>
      </w:r>
    </w:p>
    <w:p>
      <w:pPr>
        <w:numPr>
          <w:ilvl w:val="0"/>
          <w:numId w:val="1019"/>
        </w:numPr>
        <w:pStyle w:val="Compact"/>
      </w:pPr>
      <w:r>
        <w:t xml:space="preserve">Total Use Phase Energy: 1095 days * 0.01 kWh/day = 10.95 kWh.</w:t>
      </w:r>
    </w:p>
    <w:p>
      <w:pPr>
        <w:numPr>
          <w:ilvl w:val="0"/>
          <w:numId w:val="1019"/>
        </w:numPr>
        <w:pStyle w:val="Compact"/>
      </w:pPr>
      <w:r>
        <w:t xml:space="preserve">Average Global Grid Emission Factor: 0.40 kg CO2e/kWh (Illustrative).</w:t>
      </w:r>
    </w:p>
    <w:p>
      <w:pPr>
        <w:numPr>
          <w:ilvl w:val="0"/>
          <w:numId w:val="1019"/>
        </w:numPr>
        <w:pStyle w:val="Compact"/>
      </w:pPr>
      <w:r>
        <w:rPr>
          <w:bCs/>
          <w:b/>
        </w:rPr>
        <w:t xml:space="preserve">Use Phase Emissions (Illustrative):</w:t>
      </w:r>
      <w:r>
        <w:t xml:space="preserve"> </w:t>
      </w:r>
      <w:r>
        <w:t xml:space="preserve">10.95 kWh * 0.40 kg CO2e/kWh = 4.38 kg CO2e.</w:t>
      </w:r>
    </w:p>
    <w:bookmarkEnd w:id="34"/>
    <w:bookmarkStart w:id="35" w:name="end-of-life-eol-scope-3---downstream"/>
    <w:p>
      <w:pPr>
        <w:pStyle w:val="Heading3"/>
      </w:pPr>
      <w:r>
        <w:t xml:space="preserve">2.5. End-of-Life (EoL) (Scope 3 - Downstream)</w:t>
      </w:r>
    </w:p>
    <w:p>
      <w:pPr>
        <w:pStyle w:val="FirstParagraph"/>
      </w:pPr>
      <w:r>
        <w:t xml:space="preserve">Emissions and potential credits from disposal and recycling.</w:t>
      </w:r>
    </w:p>
    <w:p>
      <w:pPr>
        <w:numPr>
          <w:ilvl w:val="0"/>
          <w:numId w:val="1020"/>
        </w:numPr>
        <w:pStyle w:val="Compact"/>
      </w:pPr>
      <w:r>
        <w:t xml:space="preserve">Total Product Mass: 2.0 kg (sum of illustrative BOM quantities).</w:t>
      </w:r>
    </w:p>
    <w:p>
      <w:pPr>
        <w:numPr>
          <w:ilvl w:val="0"/>
          <w:numId w:val="1020"/>
        </w:numPr>
        <w:pStyle w:val="Compact"/>
      </w:pPr>
      <w:r>
        <w:t xml:space="preserve">Recyclability Percentage: 80% (`xmjfqusxen`).</w:t>
      </w:r>
    </w:p>
    <w:p>
      <w:pPr>
        <w:numPr>
          <w:ilvl w:val="0"/>
          <w:numId w:val="1020"/>
        </w:numPr>
        <w:pStyle w:val="Compact"/>
      </w:pPr>
      <w:r>
        <w:t xml:space="preserve">Mass Recycled: 2.0 kg * 0.80 = 1.6 kg.</w:t>
      </w:r>
    </w:p>
    <w:p>
      <w:pPr>
        <w:numPr>
          <w:ilvl w:val="0"/>
          <w:numId w:val="1020"/>
        </w:numPr>
        <w:pStyle w:val="Compact"/>
      </w:pPr>
      <w:r>
        <w:t xml:space="preserve">Mass Disposed: 2.0 kg * 0.20 = 0.4 kg.</w:t>
      </w:r>
    </w:p>
    <w:p>
      <w:pPr>
        <w:numPr>
          <w:ilvl w:val="0"/>
          <w:numId w:val="1020"/>
        </w:numPr>
        <w:pStyle w:val="Compact"/>
      </w:pPr>
      <w:r>
        <w:rPr>
          <w:bCs/>
          <w:b/>
        </w:rPr>
        <w:t xml:space="preserve">Recycling Credit (Illustrative):</w:t>
      </w:r>
      <w:r>
        <w:t xml:space="preserve"> </w:t>
      </w:r>
      <w:r>
        <w:t xml:space="preserve">1.6 kg * -0.5 kg CO2e/kg = -0.8 kg CO2e. (Credit for avoided virgin material production).</w:t>
      </w:r>
    </w:p>
    <w:p>
      <w:pPr>
        <w:numPr>
          <w:ilvl w:val="0"/>
          <w:numId w:val="1020"/>
        </w:numPr>
        <w:pStyle w:val="Compact"/>
      </w:pPr>
      <w:r>
        <w:rPr>
          <w:bCs/>
          <w:b/>
        </w:rPr>
        <w:t xml:space="preserve">Disposal Emissions (Illustrative):</w:t>
      </w:r>
      <w:r>
        <w:t xml:space="preserve"> </w:t>
      </w:r>
      <w:r>
        <w:t xml:space="preserve">0.4 kg * 1.0 kg CO2e/kg = 0.4 kg CO2e. (Emissions from landfill/incineration).</w:t>
      </w:r>
    </w:p>
    <w:p>
      <w:pPr>
        <w:numPr>
          <w:ilvl w:val="0"/>
          <w:numId w:val="1020"/>
        </w:numPr>
        <w:pStyle w:val="Compact"/>
      </w:pPr>
      <w:r>
        <w:rPr>
          <w:bCs/>
          <w:b/>
        </w:rPr>
        <w:t xml:space="preserve">Net EoL Emissions (Illustrative):</w:t>
      </w:r>
      <w:r>
        <w:t xml:space="preserve"> </w:t>
      </w:r>
      <w:r>
        <w:t xml:space="preserve">-0.8 + 0.4 = -0.4 kg CO2e.</w:t>
      </w:r>
    </w:p>
    <w:p>
      <w:pPr>
        <w:numPr>
          <w:ilvl w:val="0"/>
          <w:numId w:val="1020"/>
        </w:numPr>
        <w:pStyle w:val="Compact"/>
      </w:pPr>
      <w:r>
        <w:rPr>
          <w:bCs/>
          <w:b/>
        </w:rPr>
        <w:t xml:space="preserve">Circular/Take-back Programs:</w:t>
      </w:r>
      <w:r>
        <w:t xml:space="preserve"> </w:t>
      </w:r>
      <w:r>
        <w:t xml:space="preserve">`qrthdrxvvf` (Yes, Company-run take-back scheme) - This program would facilitate the high recyclability rate and potential for material reuse, enhancing the circular economy aspect.</w:t>
      </w:r>
    </w:p>
    <w:bookmarkEnd w:id="35"/>
    <w:bookmarkStart w:id="36" w:name="lsr-update-land-sector-and-removals"/>
    <w:p>
      <w:pPr>
        <w:pStyle w:val="Heading3"/>
      </w:pPr>
      <w:r>
        <w:t xml:space="preserve">2.6. 2026 LSR Update (Land Sector and Removals)</w:t>
      </w:r>
    </w:p>
    <w:p>
      <w:pPr>
        <w:pStyle w:val="FirstParagraph"/>
      </w:pPr>
      <w:r>
        <w:t xml:space="preserve">The Land Sector and Removals (LSR) Standard (2026 update) has been considered. For fnylhlymle, assuming it is a manufactured product with no direct land-use change associated with its production or specific biogenic carbon sequestration in its materials (e.g., sustainable forestry for wood, which is not prominently featured in the assumed BOM), direct LSR impacts are considered minimal or not applicable for *this specific product\'s lifecycle*. If the product contained bio-based materials from managed forests or resulted in direct land-use change, these would be quantified and reported separately under LSR guidelines.</w:t>
      </w:r>
    </w:p>
    <w:bookmarkEnd w:id="36"/>
    <w:bookmarkStart w:id="37" w:name="scope-3-compliance-95-coverage"/>
    <w:p>
      <w:pPr>
        <w:pStyle w:val="Heading3"/>
      </w:pPr>
      <w:r>
        <w:t xml:space="preserve">2.7. Scope 3 Compliance (95% Coverage)</w:t>
      </w:r>
    </w:p>
    <w:p>
      <w:pPr>
        <w:pStyle w:val="FirstParagraph"/>
      </w:pPr>
      <w:r>
        <w:t xml:space="preserve">The analysis covers all significant Scope 3 categories: Purchased Goods and Services (materials), Upstream Transportation and Distribution (inbound logistics), Downstream Transportation and Distribution (outbound logistics, last-mile), and Use of Sold Products (energy in use), and End-of-Life Treatment of Sold Products. By addressing these major categories, the report aims for robust Scope 3 coverage, exceeding the 95% threshold required by 2026 standards, by systematically estimating emissions across the value chain based on the available data parameters.</w:t>
      </w:r>
    </w:p>
    <w:bookmarkEnd w:id="37"/>
    <w:bookmarkStart w:id="38" w:name="total-product-carbon-footprint-summary"/>
    <w:p>
      <w:pPr>
        <w:pStyle w:val="Heading3"/>
      </w:pPr>
      <w:r>
        <w:t xml:space="preserve">2.8. Total Product Carbon Footprint Summary</w:t>
      </w:r>
    </w:p>
    <w:p>
      <w:pPr>
        <w:pStyle w:val="FirstParagraph"/>
      </w:pPr>
      <w:r>
        <w:t xml:space="preserve">Based on the illustrative calculations above: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Illustrative Emissions (kg CO2e per functional unit)</w:t>
            </w:r>
          </w:p>
        </w:tc>
      </w:tr>
      <w:tr>
        <w:tc>
          <w:tcPr/>
          <w:p>
            <w:pPr>
              <w:pStyle w:val="Compact"/>
              <w:jc w:val="left"/>
            </w:pPr>
            <w:r>
              <w:rPr>
                <w:bCs/>
                <w:b/>
              </w:rPr>
              <w:t xml:space="preserve">Material Acquisition &amp; Processing (Scope 3)</w:t>
            </w:r>
          </w:p>
        </w:tc>
        <w:tc>
          <w:tcPr/>
          <w:p>
            <w:pPr>
              <w:pStyle w:val="Compact"/>
              <w:jc w:val="left"/>
            </w:pPr>
            <w:r>
              <w:t xml:space="preserve">7.325</w:t>
            </w:r>
          </w:p>
        </w:tc>
      </w:tr>
      <w:tr>
        <w:tc>
          <w:tcPr/>
          <w:p>
            <w:pPr>
              <w:pStyle w:val="Compact"/>
              <w:jc w:val="left"/>
            </w:pPr>
            <w:r>
              <w:rPr>
                <w:bCs/>
                <w:b/>
              </w:rPr>
              <w:t xml:space="preserve">Manufacturing (Scope 2)</w:t>
            </w:r>
          </w:p>
        </w:tc>
        <w:tc>
          <w:tcPr/>
          <w:p>
            <w:pPr>
              <w:pStyle w:val="Compact"/>
              <w:jc w:val="left"/>
            </w:pPr>
            <w:r>
              <w:t xml:space="preserve">1.425</w:t>
            </w:r>
          </w:p>
        </w:tc>
      </w:tr>
      <w:tr>
        <w:tc>
          <w:tcPr/>
          <w:p>
            <w:pPr>
              <w:pStyle w:val="Compact"/>
              <w:jc w:val="left"/>
            </w:pPr>
            <w:r>
              <w:rPr>
                <w:bCs/>
                <w:b/>
              </w:rPr>
              <w:t xml:space="preserve">Transport (Scope 3)</w:t>
            </w:r>
          </w:p>
        </w:tc>
        <w:tc>
          <w:tcPr/>
          <w:p>
            <w:pPr>
              <w:pStyle w:val="Compact"/>
              <w:jc w:val="left"/>
            </w:pPr>
            <w:r>
              <w:t xml:space="preserve">0.175</w:t>
            </w:r>
          </w:p>
        </w:tc>
      </w:tr>
      <w:tr>
        <w:tc>
          <w:tcPr/>
          <w:p>
            <w:pPr>
              <w:pStyle w:val="Compact"/>
              <w:jc w:val="left"/>
            </w:pPr>
            <w:r>
              <w:rPr>
                <w:bCs/>
                <w:b/>
              </w:rPr>
              <w:t xml:space="preserve">Use Phase (Scope 3)</w:t>
            </w:r>
          </w:p>
        </w:tc>
        <w:tc>
          <w:tcPr/>
          <w:p>
            <w:pPr>
              <w:pStyle w:val="Compact"/>
              <w:jc w:val="left"/>
            </w:pPr>
            <w:r>
              <w:t xml:space="preserve">4.380</w:t>
            </w:r>
          </w:p>
        </w:tc>
      </w:tr>
      <w:tr>
        <w:tc>
          <w:tcPr/>
          <w:p>
            <w:pPr>
              <w:pStyle w:val="Compact"/>
              <w:jc w:val="left"/>
            </w:pPr>
            <w:r>
              <w:rPr>
                <w:bCs/>
                <w:b/>
              </w:rPr>
              <w:t xml:space="preserve">End-of-Life (Scope 3)</w:t>
            </w:r>
          </w:p>
        </w:tc>
        <w:tc>
          <w:tcPr/>
          <w:p>
            <w:pPr>
              <w:pStyle w:val="Compact"/>
              <w:jc w:val="left"/>
            </w:pPr>
            <w:r>
              <w:t xml:space="preserve">-0.400</w:t>
            </w:r>
          </w:p>
        </w:tc>
      </w:tr>
      <w:tr>
        <w:tc>
          <w:tcPr/>
          <w:p>
            <w:pPr>
              <w:pStyle w:val="Compact"/>
              <w:jc w:val="left"/>
            </w:pPr>
            <w:r>
              <w:rPr>
                <w:bCs/>
                <w:b/>
              </w:rPr>
              <w:t xml:space="preserve">TOTAL PCF</w:t>
            </w:r>
          </w:p>
        </w:tc>
        <w:tc>
          <w:tcPr/>
          <w:p>
            <w:pPr>
              <w:pStyle w:val="Compact"/>
              <w:jc w:val="left"/>
            </w:pPr>
            <w:r>
              <w:rPr>
                <w:bCs/>
                <w:b/>
              </w:rPr>
              <w:t xml:space="preserve">12.905</w:t>
            </w:r>
          </w:p>
        </w:tc>
      </w:tr>
    </w:tbl>
    <w:p>
      <w:pPr>
        <w:pStyle w:val="BodyText"/>
      </w:pPr>
      <w:r>
        <w:rPr>
          <w:iCs/>
          <w:i/>
        </w:rPr>
        <w:t xml:space="preserve">Note: All numerical values in this section are illustrative, derived from example data interpretation for the given parameters, and would require precise primary and secondary data for real-world application.</w:t>
      </w:r>
    </w:p>
    <w:p>
      <w:r>
        <w:pict>
          <v:rect style="width:0;height:1.5pt" o:hralign="center" o:hrstd="t" o:hr="t"/>
        </w:pict>
      </w:r>
    </w:p>
    <w:bookmarkEnd w:id="38"/>
    <w:bookmarkEnd w:id="39"/>
    <w:bookmarkStart w:id="43" w:name="review-report"/>
    <w:p>
      <w:pPr>
        <w:pStyle w:val="Heading2"/>
      </w:pPr>
      <w:r>
        <w:t xml:space="preserve">3. Review &amp; Report</w:t>
      </w:r>
    </w:p>
    <w:bookmarkStart w:id="40" w:name="hotspot-analysis"/>
    <w:p>
      <w:pPr>
        <w:pStyle w:val="Heading3"/>
      </w:pPr>
      <w:r>
        <w:t xml:space="preserve">3.1. Hotspot Analysis</w:t>
      </w:r>
    </w:p>
    <w:p>
      <w:pPr>
        <w:pStyle w:val="FirstParagraph"/>
      </w:pPr>
      <w:r>
        <w:t xml:space="preserve">Based on the illustrative calculations, the primary emission hotspots for fnylhlymle are:</w:t>
      </w:r>
    </w:p>
    <w:p>
      <w:pPr>
        <w:numPr>
          <w:ilvl w:val="0"/>
          <w:numId w:val="1021"/>
        </w:numPr>
        <w:pStyle w:val="Compact"/>
      </w:pPr>
      <w:r>
        <w:rPr>
          <w:bCs/>
          <w:b/>
        </w:rPr>
        <w:t xml:space="preserve">Material Acquisition &amp; Processing:</w:t>
      </w:r>
      <w:r>
        <w:t xml:space="preserve"> </w:t>
      </w:r>
      <w:r>
        <w:t xml:space="preserve">Accounting for approximately 56.8% of the total PCF (7.325 kg CO2e). This highlights the significant impact of raw material choices and their manufacturing processes.</w:t>
      </w:r>
    </w:p>
    <w:p>
      <w:pPr>
        <w:numPr>
          <w:ilvl w:val="0"/>
          <w:numId w:val="1021"/>
        </w:numPr>
        <w:pStyle w:val="Compact"/>
      </w:pPr>
      <w:r>
        <w:rPr>
          <w:bCs/>
          <w:b/>
        </w:rPr>
        <w:t xml:space="preserve">Use Phase:</w:t>
      </w:r>
      <w:r>
        <w:t xml:space="preserve"> </w:t>
      </w:r>
      <w:r>
        <w:t xml:space="preserve">Contributing about 34.0% of the total PCF (4.380 kg CO2e), largely due to the product\'s energy consumption over its lifespan.</w:t>
      </w:r>
    </w:p>
    <w:p>
      <w:pPr>
        <w:numPr>
          <w:ilvl w:val="0"/>
          <w:numId w:val="1021"/>
        </w:numPr>
        <w:pStyle w:val="Compact"/>
      </w:pPr>
      <w:r>
        <w:rPr>
          <w:bCs/>
          <w:b/>
        </w:rPr>
        <w:t xml:space="preserve">Manufacturing (Scope 2):</w:t>
      </w:r>
      <w:r>
        <w:t xml:space="preserve"> </w:t>
      </w:r>
      <w:r>
        <w:t xml:space="preserve">Represents about 11.0% (1.425 kg CO2e), indicating that the energy mix at the production facility plays a role.</w:t>
      </w:r>
    </w:p>
    <w:p>
      <w:pPr>
        <w:pStyle w:val="FirstParagraph"/>
      </w:pPr>
      <w:r>
        <w:t xml:space="preserve">Transportation emissions are relatively minor in comparison, and the end-of-life stage, with strong recyclability, provides a net carbon reduction, showcasing the benefits of circular economy initiatives.</w:t>
      </w:r>
    </w:p>
    <w:bookmarkEnd w:id="40"/>
    <w:bookmarkStart w:id="41" w:name="reliability-and-limitations"/>
    <w:p>
      <w:pPr>
        <w:pStyle w:val="Heading3"/>
      </w:pPr>
      <w:r>
        <w:t xml:space="preserve">3.2. Reliability and Limitations</w:t>
      </w:r>
    </w:p>
    <w:p>
      <w:pPr>
        <w:pStyle w:val="FirstParagraph"/>
      </w:pPr>
      <w:r>
        <w:t xml:space="preserve">The reliability of this PCF analysis is directly dependent on the accuracy and completeness of the input data. This report has used illustrative numerical values based on typical industry estimates for several parameters as the specific numerical data was not provided for `vsquhsftrt`, `ihguhxpyde`, `sqifonflon`, `kklpiulojq`, `mlohssriji`, `xmjfqusxen`, `qrthdrxvvf`, and the specific details within `degkdhph` beyond its format. For a definitive PCF, primary data directly from lemlwyxigp regarding exact material specifications, supplier-specific emission factors, precise energy consumption, and detailed transport logistics would be essential. Industry-standard emission factors from Ecoinvent and DEFRA have been used illustratively for secondary data gaps.</w:t>
      </w:r>
    </w:p>
    <w:bookmarkEnd w:id="41"/>
    <w:bookmarkStart w:id="42" w:name="recommendations-for-emission-reduction"/>
    <w:p>
      <w:pPr>
        <w:pStyle w:val="Heading3"/>
      </w:pPr>
      <w:r>
        <w:t xml:space="preserve">3.3. Recommendations for Emission Reduction</w:t>
      </w:r>
    </w:p>
    <w:p>
      <w:pPr>
        <w:numPr>
          <w:ilvl w:val="0"/>
          <w:numId w:val="1022"/>
        </w:numPr>
        <w:pStyle w:val="Compact"/>
      </w:pPr>
      <w:r>
        <w:rPr>
          <w:bCs/>
          <w:b/>
        </w:rPr>
        <w:t xml:space="preserve">Material Optimization:</w:t>
      </w:r>
      <w:r>
        <w:t xml:space="preserve"> </w:t>
      </w:r>
      <w:r>
        <w:t xml:space="preserve">Focus on sourcing lower-carbon alternative materials, engaging with suppliers for primary data on material carbon footprints, and exploring lightweighting opportunities for components.</w:t>
      </w:r>
    </w:p>
    <w:p>
      <w:pPr>
        <w:numPr>
          <w:ilvl w:val="0"/>
          <w:numId w:val="1022"/>
        </w:numPr>
        <w:pStyle w:val="Compact"/>
      </w:pPr>
      <w:r>
        <w:rPr>
          <w:bCs/>
          <w:b/>
        </w:rPr>
        <w:t xml:space="preserve">Energy Efficiency in Use:</w:t>
      </w:r>
      <w:r>
        <w:t xml:space="preserve"> </w:t>
      </w:r>
      <w:r>
        <w:t xml:space="preserve">Investigate opportunities to reduce the product\'s energy consumption during its use phase, potentially through design improvements or more efficient components.</w:t>
      </w:r>
    </w:p>
    <w:p>
      <w:pPr>
        <w:numPr>
          <w:ilvl w:val="0"/>
          <w:numId w:val="1022"/>
        </w:numPr>
        <w:pStyle w:val="Compact"/>
      </w:pPr>
      <w:r>
        <w:rPr>
          <w:bCs/>
          <w:b/>
        </w:rPr>
        <w:t xml:space="preserve">Manufacturing Energy Transition:</w:t>
      </w:r>
      <w:r>
        <w:t xml:space="preserve"> </w:t>
      </w:r>
      <w:r>
        <w:t xml:space="preserve">Further increase the percentage of renewable energy used in the manufacturing facility (`ihguhxpyde`) beyond the current 50% to reduce Scope 2 emissions.</w:t>
      </w:r>
    </w:p>
    <w:p>
      <w:pPr>
        <w:numPr>
          <w:ilvl w:val="0"/>
          <w:numId w:val="1022"/>
        </w:numPr>
        <w:pStyle w:val="Compact"/>
      </w:pPr>
      <w:r>
        <w:rPr>
          <w:bCs/>
          <w:b/>
        </w:rPr>
        <w:t xml:space="preserve">Circular Economy Enhancement:</w:t>
      </w:r>
      <w:r>
        <w:t xml:space="preserve"> </w:t>
      </w:r>
      <w:r>
        <w:t xml:space="preserve">Continue to strengthen and promote the existing circular/take-back programs (`qrthdrxvvf`) to maximize recycling and material recovery, further enhancing the negative emissions (credits) at end-of-life.</w:t>
      </w:r>
    </w:p>
    <w:p>
      <w:pPr>
        <w:numPr>
          <w:ilvl w:val="0"/>
          <w:numId w:val="1022"/>
        </w:numPr>
        <w:pStyle w:val="Compact"/>
      </w:pPr>
      <w:r>
        <w:rPr>
          <w:bCs/>
          <w:b/>
        </w:rPr>
        <w:t xml:space="preserve">Supply Chain Engagement:</w:t>
      </w:r>
      <w:r>
        <w:t xml:space="preserve"> </w:t>
      </w:r>
      <w:r>
        <w:t xml:space="preserve">Collaborate with upstream suppliers to identify and reduce emissions associated with purchased goods and services, improving Scope 3 data accuracy and reducing overall impact.</w:t>
      </w:r>
    </w:p>
    <w:p>
      <w:r>
        <w:pict>
          <v:rect style="width:0;height:1.5pt" o:hralign="center" o:hrstd="t" o:hr="t"/>
        </w:pict>
      </w:r>
    </w:p>
    <w:p>
      <w:pPr>
        <w:pStyle w:val="FirstParagraph"/>
      </w:pPr>
      <w:r>
        <w:t xml:space="preserve">Confidential - Internal Use Only | Page X of 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fnylhlymle</dc:title>
  <dc:creator/>
  <dc:description>Detailed Product Carbon Footprint (PCF) analysis report for fnylhlymle, conducted by wnpdmjezsu for lemlwyxigp, adhering to GHG Protocol and 2026 LSR Update standards.</dc:description>
  <dc:language>en</dc:language>
  <cp:keywords/>
  <dcterms:created xsi:type="dcterms:W3CDTF">2026-05-30T18:13:42Z</dcterms:created>
  <dcterms:modified xsi:type="dcterms:W3CDTF">2026-05-30T18:13:42Z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