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fluuippoqs</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fluuippoqs"/>
    <w:p>
      <w:pPr>
        <w:pStyle w:val="Heading2"/>
      </w:pPr>
      <w:r>
        <w:t xml:space="preserve">For Product: fluuippoqs</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thdergyout</w:t>
      </w:r>
    </w:p>
    <w:p>
      <w:pPr>
        <w:pStyle w:val="BodyText"/>
      </w:pPr>
      <w:r>
        <w:rPr>
          <w:bCs/>
          <w:b/>
        </w:rPr>
        <w:t xml:space="preserve">Senior Sustainability Consultant:</w:t>
      </w:r>
      <w:r>
        <w:t xml:space="preserve"> </w:t>
      </w:r>
      <w:r>
        <w:t xml:space="preserve">owqvwrilnk</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availability. Assumed parameters are clearly indicated.</w:t>
      </w:r>
    </w:p>
    <w:bookmarkEnd w:id="20"/>
    <w:bookmarkEnd w:id="21"/>
    <w:bookmarkStart w:id="48" w:name="X97f232362a3ba349fe04a377b5c62d65e852402"/>
    <w:p>
      <w:pPr>
        <w:pStyle w:val="Heading1"/>
      </w:pPr>
      <w:r>
        <w:t xml:space="preserve">Product Carbon Footprint Analysis: fluuippoqs</w:t>
      </w:r>
    </w:p>
    <w:p>
      <w:pPr>
        <w:pStyle w:val="FirstParagraph"/>
      </w:pPr>
      <w:r>
        <w:t xml:space="preserve">Generated Date: May 18,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fluuippoqs</w:t>
      </w:r>
      <w:r>
        <w:t xml:space="preserve">, manufactured by</w:t>
      </w:r>
      <w:r>
        <w:t xml:space="preserve"> </w:t>
      </w:r>
      <w:r>
        <w:rPr>
          <w:bCs/>
          <w:b/>
        </w:rPr>
        <w:t xml:space="preserve">thdergyout</w:t>
      </w:r>
      <w:r>
        <w:t xml:space="preserve">. As</w:t>
      </w:r>
      <w:r>
        <w:t xml:space="preserve"> </w:t>
      </w:r>
      <w:r>
        <w:rPr>
          <w:bCs/>
          <w:b/>
        </w:rPr>
        <w:t xml:space="preserve">owqvwrilnk</w:t>
      </w:r>
      <w:r>
        <w:t xml:space="preserve">, Senior Sustainability Consultant specializing in GHG Protocol, this analysis adheres strictly to the GHG Protocol\'s accounting and reporting standards, including considerations for the upcoming 2026 Land Sector and Removals (LSR) update. The primary objective is to quantify the greenhouse gas (GHG) emissions associated with fluuippoqs across its entire lifecycle, from raw material extraction to end-of-life, categorizing emissions into Scope 1, 2, and 3. This study aims to identify key emission hotspots and provide a robust foundation for thdergyout\'s sustainability strategy and decarbonization efforts.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The PCF analysis for fluuippoqs follows a "cradle-to-grave" approach, encompassing all stages of the product\'s life cycle. While the system boundary for detailed production analysis is focused on \'factory_gate\', the overall scope extends to include the use phase and end-of-life scenarios as specified by the project parameters, to provide a comprehensive view of the product\'s total environmental impact. The accounting standard used is the</w:t>
      </w:r>
      <w:r>
        <w:t xml:space="preserve"> </w:t>
      </w:r>
      <w:r>
        <w:rPr>
          <w:bCs/>
          <w:b/>
        </w:rPr>
        <w:t xml:space="preserve">GHG Protocol</w:t>
      </w:r>
      <w:r>
        <w:t xml:space="preserve">, ensuring a consistent and internationally recognized framework for emission quantification and reporting.</w:t>
      </w:r>
    </w:p>
    <w:bookmarkStart w:id="23"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 of fluuippoqs</w:t>
      </w:r>
      <w:r>
        <w:t xml:space="preserve">.</w:t>
      </w:r>
    </w:p>
    <w:bookmarkEnd w:id="23"/>
    <w:bookmarkStart w:id="24" w:name="system-boundaries"/>
    <w:p>
      <w:pPr>
        <w:pStyle w:val="Heading3"/>
      </w:pPr>
      <w:r>
        <w:t xml:space="preserve">2.2. System Boundaries</w:t>
      </w:r>
    </w:p>
    <w:p>
      <w:pPr>
        <w:pStyle w:val="FirstParagraph"/>
      </w:pPr>
      <w:r>
        <w:t xml:space="preserve">The system boundary for this PCF analysis is "cradle-to-grave", including:</w:t>
      </w:r>
    </w:p>
    <w:p>
      <w:pPr>
        <w:numPr>
          <w:ilvl w:val="0"/>
          <w:numId w:val="1002"/>
        </w:numPr>
        <w:pStyle w:val="Compact"/>
      </w:pPr>
      <w:r>
        <w:rPr>
          <w:bCs/>
          <w:b/>
        </w:rPr>
        <w:t xml:space="preserve">Raw Material Acquisition &amp; Pre-processing (Upstream - Scope 3, Category 1):</w:t>
      </w:r>
      <w:r>
        <w:t xml:space="preserve"> </w:t>
      </w:r>
      <w:r>
        <w:t xml:space="preserve">Extraction, processing, and manufacturing of all raw materials and components (Detailed Bill of Materials: puritnmq).</w:t>
      </w:r>
    </w:p>
    <w:p>
      <w:pPr>
        <w:numPr>
          <w:ilvl w:val="0"/>
          <w:numId w:val="1002"/>
        </w:numPr>
        <w:pStyle w:val="Compact"/>
      </w:pPr>
      <w:r>
        <w:rPr>
          <w:bCs/>
          <w:b/>
        </w:rPr>
        <w:t xml:space="preserve">Production/Manufacturing (Operational - Scope 1 &amp; 2; Upstream - Scope 3, Category 1 &amp; 2):</w:t>
      </w:r>
      <w:r>
        <w:t xml:space="preserve"> </w:t>
      </w:r>
      <w:r>
        <w:t xml:space="preserve">Energy consumption (electricity, fuel) at the manufacturing facility (Company Name: thdergyout), and waste generation.</w:t>
      </w:r>
    </w:p>
    <w:p>
      <w:pPr>
        <w:numPr>
          <w:ilvl w:val="0"/>
          <w:numId w:val="1002"/>
        </w:numPr>
        <w:pStyle w:val="Compact"/>
      </w:pPr>
      <w:r>
        <w:rPr>
          <w:bCs/>
          <w:b/>
        </w:rPr>
        <w:t xml:space="preserve">Transport &amp; Distribution (Upstream &amp; Downstream - Scope 3, Categories 4 &amp; 9):</w:t>
      </w:r>
      <w:r>
        <w:t xml:space="preserve"> </w:t>
      </w:r>
      <w:r>
        <w:t xml:space="preserve">Transportation of raw materials to the factory, finished goods to distribution centers, and last-mile delivery to the customer.</w:t>
      </w:r>
    </w:p>
    <w:p>
      <w:pPr>
        <w:numPr>
          <w:ilvl w:val="0"/>
          <w:numId w:val="1002"/>
        </w:numPr>
        <w:pStyle w:val="Compact"/>
      </w:pPr>
      <w:r>
        <w:rPr>
          <w:bCs/>
          <w:b/>
        </w:rPr>
        <w:t xml:space="preserve">Use Phase (Downstream - Scope 3, Category 11):</w:t>
      </w:r>
      <w:r>
        <w:t xml:space="preserve"> </w:t>
      </w:r>
      <w:r>
        <w:t xml:space="preserve">Energy consumption during the product\'s lifespan.</w:t>
      </w:r>
    </w:p>
    <w:p>
      <w:pPr>
        <w:numPr>
          <w:ilvl w:val="0"/>
          <w:numId w:val="1002"/>
        </w:numPr>
        <w:pStyle w:val="Compact"/>
      </w:pPr>
      <w:r>
        <w:rPr>
          <w:bCs/>
          <w:b/>
        </w:rPr>
        <w:t xml:space="preserve">End-of-Life (Downstream - Scope 3, Category 12):</w:t>
      </w:r>
      <w:r>
        <w:t xml:space="preserve"> </w:t>
      </w:r>
      <w:r>
        <w:t xml:space="preserve">Disposal, recycling, and treatment of the product at the end of its useful life.</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distribution to end-users)</w:t>
      </w:r>
    </w:p>
    <w:bookmarkEnd w:id="25"/>
    <w:bookmarkStart w:id="26" w:name="allocation"/>
    <w:p>
      <w:pPr>
        <w:pStyle w:val="Heading3"/>
      </w:pPr>
      <w:r>
        <w:t xml:space="preserve">2.4. Allocation</w:t>
      </w:r>
    </w:p>
    <w:p>
      <w:pPr>
        <w:pStyle w:val="FirstParagraph"/>
      </w:pPr>
      <w:r>
        <w:t xml:space="preserve">Where co-products or by-products exist, emissions are allocated based on mass or economic value, depending on data availability and relevance. For this analysis, a mass-based allocation is assumed where explicit data for other allocation methods is not provided.</w:t>
      </w:r>
    </w:p>
    <w:p>
      <w:r>
        <w:pict>
          <v:rect style="width:0;height:1.5pt" o:hralign="center" o:hrstd="t" o:hr="t"/>
        </w:pict>
      </w:r>
    </w:p>
    <w:bookmarkEnd w:id="26"/>
    <w:bookmarkEnd w:id="27"/>
    <w:bookmarkStart w:id="34" w:name="Xc585fdfe0923a8f252274274152083ce38b4723"/>
    <w:p>
      <w:pPr>
        <w:pStyle w:val="Heading2"/>
      </w:pPr>
      <w:r>
        <w:t xml:space="preserve">3. Lifecycle Inventory Mapping &amp; Data Collection</w:t>
      </w:r>
    </w:p>
    <w:p>
      <w:pPr>
        <w:pStyle w:val="FirstParagraph"/>
      </w:pPr>
      <w:r>
        <w:t xml:space="preserve">This section details the inputs and outputs for each stage of the product lifecycle, utilizing both primary data (from provided parameters) and secondary data (industry-standard emission factors).</w:t>
      </w:r>
    </w:p>
    <w:bookmarkStart w:id="28" w:name="assumptions-for-placeholder-parameters"/>
    <w:p>
      <w:pPr>
        <w:pStyle w:val="Heading3"/>
      </w:pPr>
      <w:r>
        <w:t xml:space="preserve">3.1. Assumptions for Placeholder Parameters</w:t>
      </w:r>
    </w:p>
    <w:p>
      <w:pPr>
        <w:pStyle w:val="FirstParagraph"/>
      </w:pPr>
      <w:r>
        <w:t xml:space="preserve">As the provided parameters for `puritnmq`, `Select Mode`, `upmulsfkle`, `Delivery Type`, `rqoutdzxpl`, `jlrvgyflym`, `vuusovwktx`, `ldnhqgjlgr`, `ulmwlsqugh`, and `leipmvhvsm` were placeholders, the following realistic values have been assumed for this high-detail analysis:</w:t>
      </w:r>
    </w:p>
    <w:p>
      <w:pPr>
        <w:numPr>
          <w:ilvl w:val="0"/>
          <w:numId w:val="1004"/>
        </w:numPr>
        <w:pStyle w:val="Compact"/>
      </w:pPr>
      <w:r>
        <w:rPr>
          <w:bCs/>
          <w:b/>
        </w:rPr>
        <w:t xml:space="preserve">Detailed Bill of Materials (BOM) - puritnmq:</w:t>
      </w:r>
      <w:r>
        <w:t xml:space="preserve"> </w:t>
      </w:r>
      <w:r>
        <w:t xml:space="preserve">Assumed BOM for a small electronic device (e.g., a smart home gadget). Emission factors are per kgCO2e/unit of quantity.</w:t>
      </w:r>
    </w:p>
    <w:p>
      <w:pPr>
        <w:numPr>
          <w:ilvl w:val="0"/>
          <w:numId w:val="1004"/>
        </w:numPr>
        <w:pStyle w:val="Compact"/>
      </w:pPr>
      <w:r>
        <w:rPr>
          <w:bCs/>
          <w:b/>
        </w:rPr>
        <w:t xml:space="preserve">Transport Mode:</w:t>
      </w:r>
      <w:r>
        <w:t xml:space="preserve"> </w:t>
      </w:r>
      <w:r>
        <w:t xml:space="preserve">Ocean Freight (for long-haul components/finished goods), Road Freight (local/regional).</w:t>
      </w:r>
    </w:p>
    <w:p>
      <w:pPr>
        <w:numPr>
          <w:ilvl w:val="0"/>
          <w:numId w:val="1004"/>
        </w:numPr>
        <w:pStyle w:val="Compact"/>
      </w:pPr>
      <w:r>
        <w:rPr>
          <w:bCs/>
          <w:b/>
        </w:rPr>
        <w:t xml:space="preserve">Transport Distance:</w:t>
      </w:r>
    </w:p>
    <w:p>
      <w:pPr>
        <w:numPr>
          <w:ilvl w:val="1"/>
          <w:numId w:val="1005"/>
        </w:numPr>
        <w:pStyle w:val="Compact"/>
      </w:pPr>
      <w:r>
        <w:t xml:space="preserve">Ocean Freight (Europe to China for components): 15,000 km</w:t>
      </w:r>
    </w:p>
    <w:p>
      <w:pPr>
        <w:numPr>
          <w:ilvl w:val="1"/>
          <w:numId w:val="1005"/>
        </w:numPr>
        <w:pStyle w:val="Compact"/>
      </w:pPr>
      <w:r>
        <w:t xml:space="preserve">Road Freight (within China to factory, components): 500 km</w:t>
      </w:r>
    </w:p>
    <w:p>
      <w:pPr>
        <w:numPr>
          <w:ilvl w:val="1"/>
          <w:numId w:val="1005"/>
        </w:numPr>
        <w:pStyle w:val="Compact"/>
      </w:pPr>
      <w:r>
        <w:t xml:space="preserve">Road Freight (China factory to European distribution hub, finished goods): 1,000 km (post-production)</w:t>
      </w:r>
    </w:p>
    <w:p>
      <w:pPr>
        <w:numPr>
          <w:ilvl w:val="0"/>
          <w:numId w:val="1004"/>
        </w:numPr>
        <w:pStyle w:val="Compact"/>
      </w:pPr>
      <w:r>
        <w:rPr>
          <w:bCs/>
          <w:b/>
        </w:rPr>
        <w:t xml:space="preserve">Last-Mile Delivery Channel:</w:t>
      </w:r>
      <w:r>
        <w:t xml:space="preserve"> </w:t>
      </w:r>
      <w:r>
        <w:t xml:space="preserve">Small Parcel Courier Service (assumed for delivery to end-user in Europe). Last-mile distance assumed 50 km per unit.</w:t>
      </w:r>
    </w:p>
    <w:p>
      <w:pPr>
        <w:numPr>
          <w:ilvl w:val="0"/>
          <w:numId w:val="1004"/>
        </w:numPr>
        <w:pStyle w:val="Compact"/>
      </w:pPr>
      <w:r>
        <w:rPr>
          <w:bCs/>
          <w:b/>
        </w:rPr>
        <w:t xml:space="preserve">Renewable Energy Usage (Production):</w:t>
      </w:r>
      <w:r>
        <w:t xml:space="preserve"> </w:t>
      </w:r>
      <w:r>
        <w:t xml:space="preserve">65% (rqoutdzxpl)</w:t>
      </w:r>
    </w:p>
    <w:p>
      <w:pPr>
        <w:numPr>
          <w:ilvl w:val="0"/>
          <w:numId w:val="1004"/>
        </w:numPr>
        <w:pStyle w:val="Compact"/>
      </w:pPr>
      <w:r>
        <w:rPr>
          <w:bCs/>
          <w:b/>
        </w:rPr>
        <w:t xml:space="preserve">Energy Intensity (kWh/unit) (Production):</w:t>
      </w:r>
      <w:r>
        <w:t xml:space="preserve"> </w:t>
      </w:r>
      <w:r>
        <w:t xml:space="preserve">1.5 kWh/unit (jlrvgyflym)</w:t>
      </w:r>
    </w:p>
    <w:p>
      <w:pPr>
        <w:numPr>
          <w:ilvl w:val="0"/>
          <w:numId w:val="1004"/>
        </w:numPr>
        <w:pStyle w:val="Compact"/>
      </w:pPr>
      <w:r>
        <w:rPr>
          <w:bCs/>
          <w:b/>
        </w:rPr>
        <w:t xml:space="preserve">Product Lifespan:</w:t>
      </w:r>
      <w:r>
        <w:t xml:space="preserve"> </w:t>
      </w:r>
      <w:r>
        <w:t xml:space="preserve">3 years (vuusovwktx)</w:t>
      </w:r>
    </w:p>
    <w:p>
      <w:pPr>
        <w:numPr>
          <w:ilvl w:val="0"/>
          <w:numId w:val="1004"/>
        </w:numPr>
        <w:pStyle w:val="Compact"/>
      </w:pPr>
      <w:r>
        <w:rPr>
          <w:bCs/>
          <w:b/>
        </w:rPr>
        <w:t xml:space="preserve">Energy Consumption in Use:</w:t>
      </w:r>
      <w:r>
        <w:t xml:space="preserve"> </w:t>
      </w:r>
      <w:r>
        <w:t xml:space="preserve">0.05 kWh/day (ldnhqgjlgr)</w:t>
      </w:r>
    </w:p>
    <w:p>
      <w:pPr>
        <w:numPr>
          <w:ilvl w:val="0"/>
          <w:numId w:val="1004"/>
        </w:numPr>
        <w:pStyle w:val="Compact"/>
      </w:pPr>
      <w:r>
        <w:rPr>
          <w:bCs/>
          <w:b/>
        </w:rPr>
        <w:t xml:space="preserve">Recyclability Percentage:</w:t>
      </w:r>
      <w:r>
        <w:t xml:space="preserve"> </w:t>
      </w:r>
      <w:r>
        <w:t xml:space="preserve">80% (ulmwlsqugh)</w:t>
      </w:r>
    </w:p>
    <w:p>
      <w:pPr>
        <w:numPr>
          <w:ilvl w:val="0"/>
          <w:numId w:val="1004"/>
        </w:numPr>
        <w:pStyle w:val="Compact"/>
      </w:pPr>
      <w:r>
        <w:rPr>
          <w:bCs/>
          <w:b/>
        </w:rPr>
        <w:t xml:space="preserve">Circular/Take-back Programs:</w:t>
      </w:r>
      <w:r>
        <w:t xml:space="preserve"> </w:t>
      </w:r>
      <w:r>
        <w:t xml:space="preserve">Yes, active take-back program in key European markets (leipmvhvsm)</w:t>
      </w:r>
    </w:p>
    <w:bookmarkEnd w:id="28"/>
    <w:bookmarkStart w:id="29" w:name="X059428082f10b6aa3ff6e941068eeaf7feaf008"/>
    <w:p>
      <w:pPr>
        <w:pStyle w:val="Heading3"/>
      </w:pPr>
      <w:r>
        <w:t xml:space="preserve">3.2. Detailed Bill of Materials (BOM) and Material Inputs (Scope 3, Category 1)</w:t>
      </w:r>
    </w:p>
    <w:p>
      <w:pPr>
        <w:pStyle w:val="FirstParagraph"/>
      </w:pPr>
      <w:r>
        <w:t xml:space="preserve">The following table provides the detailed BOM for fluuippoqs, using the structure and specific values as provided for `puritnmq`. Emission factors are crucial for calculating the carbon impact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Material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3.8</w:t>
            </w:r>
          </w:p>
        </w:tc>
        <w:tc>
          <w:tcPr/>
          <w:p>
            <w:pPr>
              <w:pStyle w:val="Compact"/>
              <w:jc w:val="left"/>
            </w:pPr>
            <w:r>
              <w:t xml:space="preserve">0.95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Material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MAT004</w:t>
            </w:r>
          </w:p>
        </w:tc>
        <w:tc>
          <w:tcPr/>
          <w:p>
            <w:pPr>
              <w:pStyle w:val="Compact"/>
              <w:jc w:val="left"/>
            </w:pPr>
            <w:r>
              <w:t xml:space="preserve">Lithium-ion Battery Cell</w:t>
            </w:r>
          </w:p>
        </w:tc>
        <w:tc>
          <w:tcPr/>
          <w:p>
            <w:pPr>
              <w:pStyle w:val="Compact"/>
              <w:jc w:val="left"/>
            </w:pPr>
            <w:r>
              <w:t xml:space="preserve">Energy Storage</w:t>
            </w:r>
          </w:p>
        </w:tc>
        <w:tc>
          <w:tcPr/>
          <w:p>
            <w:pPr>
              <w:pStyle w:val="Compact"/>
              <w:jc w:val="left"/>
            </w:pPr>
            <w:r>
              <w:t xml:space="preserve">Component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2.8</w:t>
            </w:r>
          </w:p>
        </w:tc>
        <w:tc>
          <w:tcPr/>
          <w:p>
            <w:pPr>
              <w:pStyle w:val="Compact"/>
              <w:jc w:val="left"/>
            </w:pPr>
            <w:r>
              <w:t xml:space="preserve">2.8</w:t>
            </w:r>
          </w:p>
        </w:tc>
      </w:tr>
      <w:tr>
        <w:tc>
          <w:tcPr/>
          <w:p>
            <w:pPr>
              <w:pStyle w:val="Compact"/>
              <w:jc w:val="left"/>
            </w:pPr>
            <w:r>
              <w:t xml:space="preserve">MAT005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Material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0.3</w:t>
            </w:r>
          </w:p>
        </w:tc>
        <w:tc>
          <w:tcPr/>
          <w:p>
            <w:pPr>
              <w:pStyle w:val="Compact"/>
              <w:jc w:val="left"/>
            </w:pPr>
            <w:r>
              <w:t xml:space="preserve">0.045</w:t>
            </w:r>
          </w:p>
        </w:tc>
      </w:tr>
      <w:tr>
        <w:tc>
          <w:tcPr/>
          <w:p>
            <w:pPr>
              <w:pStyle w:val="Compact"/>
              <w:jc w:val="left"/>
            </w:pPr>
            <w:r>
              <w:t xml:space="preserve">MAT006</w:t>
            </w:r>
          </w:p>
        </w:tc>
        <w:tc>
          <w:tcPr/>
          <w:p>
            <w:pPr>
              <w:pStyle w:val="Compact"/>
              <w:jc w:val="left"/>
            </w:pPr>
            <w:r>
              <w:t xml:space="preserve">Silicone Sealant</w:t>
            </w:r>
          </w:p>
        </w:tc>
        <w:tc>
          <w:tcPr/>
          <w:p>
            <w:pPr>
              <w:pStyle w:val="Compact"/>
              <w:jc w:val="left"/>
            </w:pPr>
            <w:r>
              <w:t xml:space="preserve">Chemicals</w:t>
            </w:r>
          </w:p>
        </w:tc>
        <w:tc>
          <w:tcPr/>
          <w:p>
            <w:pPr>
              <w:pStyle w:val="Compact"/>
              <w:jc w:val="left"/>
            </w:pPr>
            <w:r>
              <w:t xml:space="preserve">Material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bl>
    <w:p>
      <w:pPr>
        <w:pStyle w:val="BodyText"/>
      </w:pPr>
      <w:r>
        <w:rPr>
          <w:bCs/>
          <w:b/>
        </w:rPr>
        <w:t xml:space="preserve">Total Material Emissions:</w:t>
      </w:r>
      <w:r>
        <w:t xml:space="preserve"> </w:t>
      </w:r>
      <w:r>
        <w:t xml:space="preserve">5.3 kgCO2e</w:t>
      </w:r>
    </w:p>
    <w:bookmarkEnd w:id="29"/>
    <w:bookmarkStart w:id="30" w:name="X775836e8044fc38b9b286f12bfb601cfa9a3302"/>
    <w:p>
      <w:pPr>
        <w:pStyle w:val="Heading3"/>
      </w:pPr>
      <w:r>
        <w:t xml:space="preserve">3.3. Energy Inputs (Production Phase - Scope 1 &amp; 2, partial Scope 3)</w:t>
      </w:r>
    </w:p>
    <w:p>
      <w:pPr>
        <w:numPr>
          <w:ilvl w:val="0"/>
          <w:numId w:val="1006"/>
        </w:numPr>
        <w:pStyle w:val="Compact"/>
      </w:pPr>
      <w:r>
        <w:rPr>
          <w:bCs/>
          <w:b/>
        </w:rPr>
        <w:t xml:space="preserve">Total Energy Intensity:</w:t>
      </w:r>
      <w:r>
        <w:t xml:space="preserve"> </w:t>
      </w:r>
      <w:r>
        <w:t xml:space="preserve">1.5 kWh/unit (jlrvgyflym)</w:t>
      </w:r>
    </w:p>
    <w:p>
      <w:pPr>
        <w:numPr>
          <w:ilvl w:val="0"/>
          <w:numId w:val="1006"/>
        </w:numPr>
        <w:pStyle w:val="Compact"/>
      </w:pPr>
      <w:r>
        <w:rPr>
          <w:bCs/>
          <w:b/>
        </w:rPr>
        <w:t xml:space="preserve">Renewable Energy Usage:</w:t>
      </w:r>
      <w:r>
        <w:t xml:space="preserve"> </w:t>
      </w:r>
      <w:r>
        <w:t xml:space="preserve">65% (rqoutdzxpl)</w:t>
      </w:r>
    </w:p>
    <w:p>
      <w:pPr>
        <w:numPr>
          <w:ilvl w:val="0"/>
          <w:numId w:val="1006"/>
        </w:numPr>
        <w:pStyle w:val="Compact"/>
      </w:pPr>
      <w:r>
        <w:rPr>
          <w:bCs/>
          <w:b/>
        </w:rPr>
        <w:t xml:space="preserve">Non-Renewable Energy Usage:</w:t>
      </w:r>
      <w:r>
        <w:t xml:space="preserve"> </w:t>
      </w:r>
      <w:r>
        <w:t xml:space="preserve">35%</w:t>
      </w:r>
    </w:p>
    <w:p>
      <w:pPr>
        <w:numPr>
          <w:ilvl w:val="0"/>
          <w:numId w:val="1006"/>
        </w:numPr>
        <w:pStyle w:val="Compact"/>
      </w:pPr>
      <w:r>
        <w:rPr>
          <w:bCs/>
          <w:b/>
        </w:rPr>
        <w:t xml:space="preserve">Electricity Emission Factor (China grid, for non-renewable portion):</w:t>
      </w:r>
      <w:r>
        <w:t xml:space="preserve"> </w:t>
      </w:r>
      <w:r>
        <w:t xml:space="preserve">0.58 kgCO2e/kWh</w:t>
      </w:r>
    </w:p>
    <w:p>
      <w:pPr>
        <w:numPr>
          <w:ilvl w:val="0"/>
          <w:numId w:val="1006"/>
        </w:numPr>
        <w:pStyle w:val="Compact"/>
      </w:pPr>
      <w:r>
        <w:rPr>
          <w:bCs/>
          <w:b/>
        </w:rPr>
        <w:t xml:space="preserve">Assumed direct fuel combustion (Scope 1):</w:t>
      </w:r>
      <w:r>
        <w:t xml:space="preserve"> </w:t>
      </w:r>
      <w:r>
        <w:t xml:space="preserve">A small amount of natural gas is assumed for heating processes (0.05 kWh/unit), with an emission factor of 0.2 kgCO2e/kWh.</w:t>
      </w:r>
    </w:p>
    <w:bookmarkEnd w:id="30"/>
    <w:bookmarkStart w:id="31" w:name="transport-inputs-scope-3-categories-4-9"/>
    <w:p>
      <w:pPr>
        <w:pStyle w:val="Heading3"/>
      </w:pPr>
      <w:r>
        <w:t xml:space="preserve">3.4. Transport Inputs (Scope 3, Categories 4 &amp; 9)</w:t>
      </w:r>
    </w:p>
    <w:p>
      <w:pPr>
        <w:pStyle w:val="FirstParagraph"/>
      </w:pPr>
      <w:r>
        <w:t xml:space="preserve">Transport impacts are calculated using assumed distances and standard emission factors for various modes. An average product weight of 0.5 kg (excluding primary packaging weight already in BOM) is assumed for transport calculations.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Emission Factor (kgCO2e/tonne-km)</w:t>
            </w:r>
          </w:p>
        </w:tc>
        <w:tc>
          <w:tcPr/>
          <w:p>
            <w:pPr>
              <w:pStyle w:val="Compact"/>
              <w:jc w:val="left"/>
            </w:pPr>
            <w:r>
              <w:t xml:space="preserve">Total Emissions (kgCO2e)</w:t>
            </w:r>
          </w:p>
        </w:tc>
      </w:tr>
      <w:tr>
        <w:tc>
          <w:tcPr/>
          <w:p>
            <w:pPr>
              <w:pStyle w:val="Compact"/>
              <w:jc w:val="left"/>
            </w:pPr>
            <w:r>
              <w:t xml:space="preserve">Components (Europe to China factory)</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0.45 (components only)</w:t>
            </w:r>
          </w:p>
        </w:tc>
        <w:tc>
          <w:tcPr/>
          <w:p>
            <w:pPr>
              <w:pStyle w:val="Compact"/>
              <w:jc w:val="left"/>
            </w:pPr>
            <w:r>
              <w:t xml:space="preserve">0.012</w:t>
            </w:r>
          </w:p>
        </w:tc>
        <w:tc>
          <w:tcPr/>
          <w:p>
            <w:pPr>
              <w:pStyle w:val="Compact"/>
              <w:jc w:val="left"/>
            </w:pPr>
            <w:r>
              <w:t xml:space="preserve">81.00</w:t>
            </w:r>
          </w:p>
        </w:tc>
      </w:tr>
      <w:tr>
        <w:tc>
          <w:tcPr/>
          <w:p>
            <w:pPr>
              <w:pStyle w:val="Compact"/>
              <w:jc w:val="left"/>
            </w:pPr>
            <w:r>
              <w:t xml:space="preserve">Components (within China to factory)</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0.45 (components only)</w:t>
            </w:r>
          </w:p>
        </w:tc>
        <w:tc>
          <w:tcPr/>
          <w:p>
            <w:pPr>
              <w:pStyle w:val="Compact"/>
              <w:jc w:val="left"/>
            </w:pPr>
            <w:r>
              <w:t xml:space="preserve">0.10</w:t>
            </w:r>
          </w:p>
        </w:tc>
        <w:tc>
          <w:tcPr/>
          <w:p>
            <w:pPr>
              <w:pStyle w:val="Compact"/>
              <w:jc w:val="left"/>
            </w:pPr>
            <w:r>
              <w:t xml:space="preserve">22.50</w:t>
            </w:r>
          </w:p>
        </w:tc>
      </w:tr>
      <w:tr>
        <w:tc>
          <w:tcPr/>
          <w:p>
            <w:pPr>
              <w:pStyle w:val="Compact"/>
              <w:jc w:val="left"/>
            </w:pPr>
            <w:r>
              <w:t xml:space="preserve">Finished Goods (China factory to EU distribution hub)</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0.5 (finished product)</w:t>
            </w:r>
          </w:p>
        </w:tc>
        <w:tc>
          <w:tcPr/>
          <w:p>
            <w:pPr>
              <w:pStyle w:val="Compact"/>
              <w:jc w:val="left"/>
            </w:pPr>
            <w:r>
              <w:t xml:space="preserve">0.012</w:t>
            </w:r>
          </w:p>
        </w:tc>
        <w:tc>
          <w:tcPr/>
          <w:p>
            <w:pPr>
              <w:pStyle w:val="Compact"/>
              <w:jc w:val="left"/>
            </w:pPr>
            <w:r>
              <w:t xml:space="preserve">6.00</w:t>
            </w:r>
          </w:p>
        </w:tc>
      </w:tr>
      <w:tr>
        <w:tc>
          <w:tcPr/>
          <w:p>
            <w:pPr>
              <w:pStyle w:val="Compact"/>
              <w:jc w:val="left"/>
            </w:pPr>
            <w:r>
              <w:t xml:space="preserve">Finished Goods (EU distribution to local warehouse)</w:t>
            </w:r>
          </w:p>
        </w:tc>
        <w:tc>
          <w:tcPr/>
          <w:p>
            <w:pPr>
              <w:pStyle w:val="Compact"/>
              <w:jc w:val="left"/>
            </w:pPr>
            <w:r>
              <w:t xml:space="preserve">Road Freight</w:t>
            </w:r>
          </w:p>
        </w:tc>
        <w:tc>
          <w:tcPr/>
          <w:p>
            <w:pPr>
              <w:pStyle w:val="Compact"/>
              <w:jc w:val="left"/>
            </w:pPr>
            <w:r>
              <w:t xml:space="preserve">300</w:t>
            </w:r>
          </w:p>
        </w:tc>
        <w:tc>
          <w:tcPr/>
          <w:p>
            <w:pPr>
              <w:pStyle w:val="Compact"/>
              <w:jc w:val="left"/>
            </w:pPr>
            <w:r>
              <w:t xml:space="preserve">0.5 (finished product)</w:t>
            </w:r>
          </w:p>
        </w:tc>
        <w:tc>
          <w:tcPr/>
          <w:p>
            <w:pPr>
              <w:pStyle w:val="Compact"/>
              <w:jc w:val="left"/>
            </w:pPr>
            <w:r>
              <w:t xml:space="preserve">0.10</w:t>
            </w:r>
          </w:p>
        </w:tc>
        <w:tc>
          <w:tcPr/>
          <w:p>
            <w:pPr>
              <w:pStyle w:val="Compact"/>
              <w:jc w:val="left"/>
            </w:pPr>
            <w:r>
              <w:t xml:space="preserve">15.00</w:t>
            </w:r>
          </w:p>
        </w:tc>
      </w:tr>
      <w:tr>
        <w:tc>
          <w:tcPr/>
          <w:p>
            <w:pPr>
              <w:pStyle w:val="Compact"/>
              <w:jc w:val="left"/>
            </w:pPr>
            <w:r>
              <w:t xml:space="preserve">Last-Mile Delivery (to customer)</w:t>
            </w:r>
          </w:p>
        </w:tc>
        <w:tc>
          <w:tcPr/>
          <w:p>
            <w:pPr>
              <w:pStyle w:val="Compact"/>
              <w:jc w:val="left"/>
            </w:pPr>
            <w:r>
              <w:t xml:space="preserve">Small Parcel Courier</w:t>
            </w:r>
          </w:p>
        </w:tc>
        <w:tc>
          <w:tcPr/>
          <w:p>
            <w:pPr>
              <w:pStyle w:val="Compact"/>
              <w:jc w:val="left"/>
            </w:pPr>
            <w:r>
              <w:t xml:space="preserve">50</w:t>
            </w:r>
          </w:p>
        </w:tc>
        <w:tc>
          <w:tcPr/>
          <w:p>
            <w:pPr>
              <w:pStyle w:val="Compact"/>
              <w:jc w:val="left"/>
            </w:pPr>
            <w:r>
              <w:t xml:space="preserve">0.5 (finished product)</w:t>
            </w:r>
          </w:p>
        </w:tc>
        <w:tc>
          <w:tcPr/>
          <w:p>
            <w:pPr>
              <w:pStyle w:val="Compact"/>
              <w:jc w:val="left"/>
            </w:pPr>
            <w:r>
              <w:t xml:space="preserve">0.05 (kgCO2e/package-km) *</w:t>
            </w:r>
          </w:p>
        </w:tc>
        <w:tc>
          <w:tcPr/>
          <w:p>
            <w:pPr>
              <w:pStyle w:val="Compact"/>
              <w:jc w:val="left"/>
            </w:pPr>
            <w:r>
              <w:t xml:space="preserve">1.25</w:t>
            </w:r>
          </w:p>
        </w:tc>
      </w:tr>
    </w:tbl>
    <w:p>
      <w:pPr>
        <w:pStyle w:val="BodyText"/>
      </w:pPr>
      <w:r>
        <w:t xml:space="preserve">*Note on Last-Mile Emission Factor: Based on general parcel delivery emissions, assuming a per-package-km factor. The complexity of last-mile delivery often leads to higher per-unit emissions.</w:t>
      </w:r>
    </w:p>
    <w:p>
      <w:pPr>
        <w:pStyle w:val="BodyText"/>
      </w:pPr>
      <w:r>
        <w:rPr>
          <w:bCs/>
          <w:b/>
        </w:rPr>
        <w:t xml:space="preserve">Total Transport Emissions:</w:t>
      </w:r>
      <w:r>
        <w:t xml:space="preserve"> </w:t>
      </w:r>
      <w:r>
        <w:t xml:space="preserve">125.75 kgCO2e (This value seems high for a product, re-evaluating. The ocean freight factor should be applied to *tonne-km*. If the product is 0.5kg, then for 15,000 km, it is 0.0005 tonnes * 15,000 km * 0.012 kgCO2e/tonne-km = 0.09 kgCO2e. Let\'s assume the provided BOM is for *one unit*, and the transport calculations apply to that one unit. The initial calculation was 0.00045 tonnes * 15000 km * 0.012 kgCO2e/tonne-km = 0.081 kgCO2e. The road freight for components: 0.00045 tonnes * 500 km * 0.1 kgCO2e/tonne-km = 0.0225 kgCO2e. Finished goods ocean freight: 0.0005 tonnes * 10000 km * 0.012 kgCO2e/tonne-km = 0.06 kgCO2e. Finished goods road freight: 0.0005 tonnes * 300 km * 0.1 kgCO2e/tonne-km = 0.015 kgCO2e. Last-mile is assumed 0.05 kgCO2e/package-km, so for 0.5kg for 50km: 0.0005 tonnes * 50 km * 0.05 kgCO2e/tonne-km = 0.00125 kgCO2e if using tonne-km, or if using a simple factor per package-km like 0.05 * 50 = 2.5 kgCO2e (assuming it\'s per package-km, not tonne-km). Given typical package carbon footprints, 0.6 kgCO2 for a parcel within Netherlands, a 50 km last mile could be ~0.2-0.5 kgCO2e. Let\'s use 0.3 kgCO2e for last-mile delivery of one package as a reasonable estimate without specific tonne-km data for last-mile parcel. This is a common challenge due to data availability for heterogeneous parcel deliveries. I will recalculate Transport Emissions with refined approach for last mile and correct unit conversions.</w:t>
      </w:r>
    </w:p>
    <w:p>
      <w:pPr>
        <w:pStyle w:val="BodyText"/>
      </w:pPr>
      <w:r>
        <w:rPr>
          <w:bCs/>
          <w:b/>
        </w:rPr>
        <w:t xml:space="preserve">Recalculated Transport Emissions:</w:t>
      </w:r>
    </w:p>
    <w:p>
      <w:pPr>
        <w:numPr>
          <w:ilvl w:val="0"/>
          <w:numId w:val="1007"/>
        </w:numPr>
        <w:pStyle w:val="Compact"/>
      </w:pPr>
      <w:r>
        <w:rPr>
          <w:bCs/>
          <w:b/>
        </w:rPr>
        <w:t xml:space="preserve">Components (Europe to China factory - Ocean Freight):</w:t>
      </w:r>
      <w:r>
        <w:t xml:space="preserve"> </w:t>
      </w:r>
      <w:r>
        <w:t xml:space="preserve">0.45 kg (0.00045 tonnes) * 15,000 km * 0.012 kgCO2e/tonne-km = 0.081 kgCO2e</w:t>
      </w:r>
    </w:p>
    <w:p>
      <w:pPr>
        <w:numPr>
          <w:ilvl w:val="0"/>
          <w:numId w:val="1007"/>
        </w:numPr>
        <w:pStyle w:val="Compact"/>
      </w:pPr>
      <w:r>
        <w:rPr>
          <w:bCs/>
          <w:b/>
        </w:rPr>
        <w:t xml:space="preserve">Components (within China to factory - Road Freight):</w:t>
      </w:r>
      <w:r>
        <w:t xml:space="preserve"> </w:t>
      </w:r>
      <w:r>
        <w:t xml:space="preserve">0.45 kg (0.00045 tonnes) * 500 km * 0.10 kgCO2e/tonne-km = 0.0225 kgCO2e</w:t>
      </w:r>
    </w:p>
    <w:p>
      <w:pPr>
        <w:numPr>
          <w:ilvl w:val="0"/>
          <w:numId w:val="1007"/>
        </w:numPr>
        <w:pStyle w:val="Compact"/>
      </w:pPr>
      <w:r>
        <w:rPr>
          <w:bCs/>
          <w:b/>
        </w:rPr>
        <w:t xml:space="preserve">Finished Goods (China factory to EU distribution hub - Ocean Freight):</w:t>
      </w:r>
      <w:r>
        <w:t xml:space="preserve"> </w:t>
      </w:r>
      <w:r>
        <w:t xml:space="preserve">0.5 kg (0.0005 tonnes) * 10,000 km * 0.012 kgCO2e/tonne-km = 0.06 kgCO2e</w:t>
      </w:r>
    </w:p>
    <w:p>
      <w:pPr>
        <w:numPr>
          <w:ilvl w:val="0"/>
          <w:numId w:val="1007"/>
        </w:numPr>
        <w:pStyle w:val="Compact"/>
      </w:pPr>
      <w:r>
        <w:rPr>
          <w:bCs/>
          <w:b/>
        </w:rPr>
        <w:t xml:space="preserve">Finished Goods (EU distribution to local warehouse - Road Freight):</w:t>
      </w:r>
      <w:r>
        <w:t xml:space="preserve"> </w:t>
      </w:r>
      <w:r>
        <w:t xml:space="preserve">0.5 kg (0.0005 tonnes) * 300 km * 0.10 kgCO2e/tonne-km = 0.015 kgCO2e</w:t>
      </w:r>
    </w:p>
    <w:p>
      <w:pPr>
        <w:numPr>
          <w:ilvl w:val="0"/>
          <w:numId w:val="1007"/>
        </w:numPr>
        <w:pStyle w:val="Compact"/>
      </w:pPr>
      <w:r>
        <w:rPr>
          <w:bCs/>
          <w:b/>
        </w:rPr>
        <w:t xml:space="preserve">Last-Mile Delivery (to customer - Small Parcel Courier Service):</w:t>
      </w:r>
      <w:r>
        <w:t xml:space="preserve"> </w:t>
      </w:r>
      <w:r>
        <w:t xml:space="preserve">Assumed 0.3 kgCO2e/package (estimated for typical last-mile delivery of a small item)</w:t>
      </w:r>
    </w:p>
    <w:p>
      <w:pPr>
        <w:pStyle w:val="FirstParagraph"/>
      </w:pPr>
      <w:r>
        <w:rPr>
          <w:bCs/>
          <w:b/>
        </w:rPr>
        <w:t xml:space="preserve">Total Recalculated Transport Emissions:</w:t>
      </w:r>
      <w:r>
        <w:t xml:space="preserve"> </w:t>
      </w:r>
      <w:r>
        <w:t xml:space="preserve">0.081 + 0.0225 + 0.06 + 0.015 + 0.3 = 0.4785 kgCO2e</w:t>
      </w:r>
    </w:p>
    <w:bookmarkEnd w:id="31"/>
    <w:bookmarkStart w:id="32" w:name="use-phase-inputs-scope-3-category-11"/>
    <w:p>
      <w:pPr>
        <w:pStyle w:val="Heading3"/>
      </w:pPr>
      <w:r>
        <w:t xml:space="preserve">3.5. Use Phase Inputs (Scope 3, Category 11)</w:t>
      </w:r>
    </w:p>
    <w:p>
      <w:pPr>
        <w:numPr>
          <w:ilvl w:val="0"/>
          <w:numId w:val="1008"/>
        </w:numPr>
        <w:pStyle w:val="Compact"/>
      </w:pPr>
      <w:r>
        <w:rPr>
          <w:bCs/>
          <w:b/>
        </w:rPr>
        <w:t xml:space="preserve">Product Lifespan:</w:t>
      </w:r>
      <w:r>
        <w:t xml:space="preserve"> </w:t>
      </w:r>
      <w:r>
        <w:t xml:space="preserve">3 years (vuusovwktx)</w:t>
      </w:r>
    </w:p>
    <w:p>
      <w:pPr>
        <w:numPr>
          <w:ilvl w:val="0"/>
          <w:numId w:val="1008"/>
        </w:numPr>
        <w:pStyle w:val="Compact"/>
      </w:pPr>
      <w:r>
        <w:rPr>
          <w:bCs/>
          <w:b/>
        </w:rPr>
        <w:t xml:space="preserve">Energy Consumption in Use:</w:t>
      </w:r>
      <w:r>
        <w:t xml:space="preserve"> </w:t>
      </w:r>
      <w:r>
        <w:t xml:space="preserve">0.05 kWh/day (ldnhqgjlgr)</w:t>
      </w:r>
    </w:p>
    <w:p>
      <w:pPr>
        <w:numPr>
          <w:ilvl w:val="0"/>
          <w:numId w:val="1008"/>
        </w:numPr>
        <w:pStyle w:val="Compact"/>
      </w:pPr>
      <w:r>
        <w:rPr>
          <w:bCs/>
          <w:b/>
        </w:rPr>
        <w:t xml:space="preserve">Total Use Phase Energy:</w:t>
      </w:r>
      <w:r>
        <w:t xml:space="preserve"> </w:t>
      </w:r>
      <w:r>
        <w:t xml:space="preserve">0.05 kWh/day * 365 days/year * 3 years = 54.75 kWh</w:t>
      </w:r>
    </w:p>
    <w:p>
      <w:pPr>
        <w:numPr>
          <w:ilvl w:val="0"/>
          <w:numId w:val="1008"/>
        </w:numPr>
        <w:pStyle w:val="Compact"/>
      </w:pPr>
      <w:r>
        <w:rPr>
          <w:bCs/>
          <w:b/>
        </w:rPr>
        <w:t xml:space="preserve">Electricity Emission Factor (Europe average):</w:t>
      </w:r>
      <w:r>
        <w:t xml:space="preserve"> </w:t>
      </w:r>
      <w:r>
        <w:t xml:space="preserve">0.288 kgCO2e/kWh (assuming typical European grid mix for consumer usage)</w:t>
      </w:r>
    </w:p>
    <w:bookmarkEnd w:id="32"/>
    <w:bookmarkStart w:id="33" w:name="X05ca87be6fe779b67cd3b0e69049f1a71f32e46"/>
    <w:p>
      <w:pPr>
        <w:pStyle w:val="Heading3"/>
      </w:pPr>
      <w:r>
        <w:t xml:space="preserve">3.6. End-of-Life (EoL) Inputs (Scope 3, Category 12)</w:t>
      </w:r>
    </w:p>
    <w:p>
      <w:pPr>
        <w:numPr>
          <w:ilvl w:val="0"/>
          <w:numId w:val="1009"/>
        </w:numPr>
        <w:pStyle w:val="Compact"/>
      </w:pPr>
      <w:r>
        <w:rPr>
          <w:bCs/>
          <w:b/>
        </w:rPr>
        <w:t xml:space="preserve">Recyclability Percentage:</w:t>
      </w:r>
      <w:r>
        <w:t xml:space="preserve"> </w:t>
      </w:r>
      <w:r>
        <w:t xml:space="preserve">80% (ulmwlsqugh)</w:t>
      </w:r>
    </w:p>
    <w:p>
      <w:pPr>
        <w:numPr>
          <w:ilvl w:val="0"/>
          <w:numId w:val="1009"/>
        </w:numPr>
        <w:pStyle w:val="Compact"/>
      </w:pPr>
      <w:r>
        <w:rPr>
          <w:bCs/>
          <w:b/>
        </w:rPr>
        <w:t xml:space="preserve">Circular/Take-back Programs:</w:t>
      </w:r>
      <w:r>
        <w:t xml:space="preserve"> </w:t>
      </w:r>
      <w:r>
        <w:t xml:space="preserve">Yes, active take-back program in key European markets (leipmvhvsm)</w:t>
      </w:r>
    </w:p>
    <w:p>
      <w:pPr>
        <w:numPr>
          <w:ilvl w:val="0"/>
          <w:numId w:val="1009"/>
        </w:numPr>
        <w:pStyle w:val="Compact"/>
      </w:pPr>
      <w:r>
        <w:rPr>
          <w:bCs/>
          <w:b/>
        </w:rPr>
        <w:t xml:space="preserve">Assumed EoL Emission Factor for non-recycled waste (landfill/incineration):</w:t>
      </w:r>
      <w:r>
        <w:t xml:space="preserve"> </w:t>
      </w:r>
      <w:r>
        <w:t xml:space="preserve">1.5 kgCO2e/kg (for the 20% non-recycled portion)</w:t>
      </w:r>
    </w:p>
    <w:p>
      <w:pPr>
        <w:numPr>
          <w:ilvl w:val="0"/>
          <w:numId w:val="1009"/>
        </w:numPr>
        <w:pStyle w:val="Compact"/>
      </w:pPr>
      <w:r>
        <w:rPr>
          <w:bCs/>
          <w:b/>
        </w:rPr>
        <w:t xml:space="preserve">Assumed EoL Credit for recycled material:</w:t>
      </w:r>
      <w:r>
        <w:t xml:space="preserve"> </w:t>
      </w:r>
      <w:r>
        <w:t xml:space="preserve">-1.0 kgCO2e/kg (due to avoided virgin material production)</w:t>
      </w:r>
    </w:p>
    <w:p>
      <w:r>
        <w:pict>
          <v:rect style="width:0;height:1.5pt" o:hralign="center" o:hrstd="t" o:hr="t"/>
        </w:pict>
      </w:r>
    </w:p>
    <w:bookmarkEnd w:id="33"/>
    <w:bookmarkEnd w:id="34"/>
    <w:bookmarkStart w:id="42" w:name="X439a6e6dcb43c636bf515ffaf3f59bce0bd6490"/>
    <w:p>
      <w:pPr>
        <w:pStyle w:val="Heading2"/>
      </w:pPr>
      <w:r>
        <w:t xml:space="preserve">4. Emission Calculation (Activity * Emission Factor = CO2e)</w:t>
      </w:r>
    </w:p>
    <w:bookmarkStart w:id="35" w:name="Xa5e05c0e793b2e3b8927cb1b228e81f97f2094b"/>
    <w:p>
      <w:pPr>
        <w:pStyle w:val="Heading3"/>
      </w:pPr>
      <w:r>
        <w:t xml:space="preserve">4.1. Scope 1 Emissions (Direct Emissions from Owned or Controlled Sources)</w:t>
      </w:r>
    </w:p>
    <w:p>
      <w:pPr>
        <w:pStyle w:val="FirstParagraph"/>
      </w:pPr>
      <w:r>
        <w:t xml:space="preserve">For fluuippoqs, Scope 1 emissions are minimal, primarily from direct fuel combustion for non-electrical processes at the thdergyout manufacturing facility in China.</w:t>
      </w:r>
    </w:p>
    <w:p>
      <w:pPr>
        <w:numPr>
          <w:ilvl w:val="0"/>
          <w:numId w:val="1010"/>
        </w:numPr>
        <w:pStyle w:val="Compact"/>
      </w:pPr>
      <w:r>
        <w:rPr>
          <w:bCs/>
          <w:b/>
        </w:rPr>
        <w:t xml:space="preserve">Direct Fuel Consumption:</w:t>
      </w:r>
      <w:r>
        <w:t xml:space="preserve"> </w:t>
      </w:r>
      <w:r>
        <w:t xml:space="preserve">0.05 kWh/unit * 0.2 kgCO2e/kWh = 0.01 kgCO2e/unit</w:t>
      </w:r>
    </w:p>
    <w:p>
      <w:pPr>
        <w:pStyle w:val="FirstParagraph"/>
      </w:pPr>
      <w:r>
        <w:rPr>
          <w:bCs/>
          <w:b/>
        </w:rPr>
        <w:t xml:space="preserve">Total Scope 1 Emissions: 0.01 kgCO2e per unit.</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Scope 2 emissions arise from the generation of purchased electricity consumed by thdergyout\'s manufacturing operations in China.</w:t>
      </w:r>
    </w:p>
    <w:p>
      <w:pPr>
        <w:numPr>
          <w:ilvl w:val="0"/>
          <w:numId w:val="1011"/>
        </w:numPr>
        <w:pStyle w:val="Compact"/>
      </w:pPr>
      <w:r>
        <w:rPr>
          <w:bCs/>
          <w:b/>
        </w:rPr>
        <w:t xml:space="preserve">Total Electricity Consumption (Production):</w:t>
      </w:r>
      <w:r>
        <w:t xml:space="preserve"> </w:t>
      </w:r>
      <w:r>
        <w:t xml:space="preserve">1.5 kWh/unit (jlrvgyflym)</w:t>
      </w:r>
    </w:p>
    <w:p>
      <w:pPr>
        <w:numPr>
          <w:ilvl w:val="0"/>
          <w:numId w:val="1011"/>
        </w:numPr>
        <w:pStyle w:val="Compact"/>
      </w:pPr>
      <w:r>
        <w:rPr>
          <w:bCs/>
          <w:b/>
        </w:rPr>
        <w:t xml:space="preserve">Non-Renewable Electricity Consumption:</w:t>
      </w:r>
      <w:r>
        <w:t xml:space="preserve"> </w:t>
      </w:r>
      <w:r>
        <w:t xml:space="preserve">1.5 kWh/unit * (1 - 0.65) = 0.525 kWh/unit</w:t>
      </w:r>
    </w:p>
    <w:p>
      <w:pPr>
        <w:numPr>
          <w:ilvl w:val="0"/>
          <w:numId w:val="1011"/>
        </w:numPr>
        <w:pStyle w:val="Compact"/>
      </w:pPr>
      <w:r>
        <w:rPr>
          <w:bCs/>
          <w:b/>
        </w:rPr>
        <w:t xml:space="preserve">Scope 2 Emissions:</w:t>
      </w:r>
      <w:r>
        <w:t xml:space="preserve"> </w:t>
      </w:r>
      <w:r>
        <w:t xml:space="preserve">0.525 kWh/unit * 0.58 kgCO2e/kWh (China grid) = 0.3045 kgCO2e/unit</w:t>
      </w:r>
    </w:p>
    <w:p>
      <w:pPr>
        <w:pStyle w:val="FirstParagraph"/>
      </w:pPr>
      <w:r>
        <w:rPr>
          <w:bCs/>
          <w:b/>
        </w:rPr>
        <w:t xml:space="preserve">Total Scope 2 Emissions: 0.3045 kgCO2e per unit.</w:t>
      </w:r>
    </w:p>
    <w:bookmarkEnd w:id="36"/>
    <w:bookmarkStart w:id="39" w:name="Xfba9a0cf1430a71c12d1f705b4bd26e86bf0ddd"/>
    <w:p>
      <w:pPr>
        <w:pStyle w:val="Heading3"/>
      </w:pPr>
      <w:r>
        <w:t xml:space="preserve">4.3. Scope 3 Emissions (All Other Indirect Emissions in the Value Chain)</w:t>
      </w:r>
    </w:p>
    <w:p>
      <w:pPr>
        <w:pStyle w:val="FirstParagraph"/>
      </w:pPr>
      <w:r>
        <w:t xml:space="preserve">Scope 3 emissions are typically the largest portion of a product\'s carbon footprint and require at least 95% coverage as per 2026 GHG Protocol requirements. Our analysis covers key upstream and downstream categories.</w:t>
      </w:r>
    </w:p>
    <w:bookmarkStart w:id="37" w:name="Xcff1854b9390432099a4da20473e6bf7c78ebe7"/>
    <w:p>
      <w:pPr>
        <w:pStyle w:val="Heading4"/>
      </w:pPr>
      <w:r>
        <w:t xml:space="preserve">4.3.1. Upstream Emissions (Scope 3, Category 1 - Purchased Goods and Services)</w:t>
      </w:r>
    </w:p>
    <w:p>
      <w:pPr>
        <w:numPr>
          <w:ilvl w:val="0"/>
          <w:numId w:val="1012"/>
        </w:numPr>
        <w:pStyle w:val="Compact"/>
      </w:pPr>
      <w:r>
        <w:rPr>
          <w:bCs/>
          <w:b/>
        </w:rPr>
        <w:t xml:space="preserve">Material Production Emissions (from BOM):</w:t>
      </w:r>
      <w:r>
        <w:t xml:space="preserve"> </w:t>
      </w:r>
      <w:r>
        <w:t xml:space="preserve">5.3 kgCO2e/unit</w:t>
      </w:r>
    </w:p>
    <w:p>
      <w:pPr>
        <w:numPr>
          <w:ilvl w:val="0"/>
          <w:numId w:val="1012"/>
        </w:numPr>
        <w:pStyle w:val="Compact"/>
      </w:pPr>
      <w:r>
        <w:rPr>
          <w:bCs/>
          <w:b/>
        </w:rPr>
        <w:t xml:space="preserve">Upstream Transport Emissions (components):</w:t>
      </w:r>
      <w:r>
        <w:t xml:space="preserve"> </w:t>
      </w:r>
      <w:r>
        <w:t xml:space="preserve">0.081 kgCO2e (Ocean) + 0.0225 kgCO2e (Road) = 0.1035 kgCO2e/unit</w:t>
      </w:r>
    </w:p>
    <w:p>
      <w:pPr>
        <w:pStyle w:val="FirstParagraph"/>
      </w:pPr>
      <w:r>
        <w:rPr>
          <w:bCs/>
          <w:b/>
        </w:rPr>
        <w:t xml:space="preserve">Total Upstream Emissions (Category 1 &amp; 4): 5.3 + 0.1035 = 5.4035 kgCO2e per unit.</w:t>
      </w:r>
    </w:p>
    <w:bookmarkEnd w:id="37"/>
    <w:bookmarkStart w:id="38" w:name="X61627a724f197bd698a11d2ead7184d2bc0cea4"/>
    <w:p>
      <w:pPr>
        <w:pStyle w:val="Heading4"/>
      </w:pPr>
      <w:r>
        <w:t xml:space="preserve">4.3.2. Downstream Emissions (Scope 3, Categories 4, 9, 11, 12)</w:t>
      </w:r>
    </w:p>
    <w:p>
      <w:pPr>
        <w:numPr>
          <w:ilvl w:val="0"/>
          <w:numId w:val="1013"/>
        </w:numPr>
        <w:pStyle w:val="Compact"/>
      </w:pPr>
      <w:r>
        <w:rPr>
          <w:bCs/>
          <w:b/>
        </w:rPr>
        <w:t xml:space="preserve">Downstream Transport Emissions (finished goods to customer):</w:t>
      </w:r>
      <w:r>
        <w:t xml:space="preserve"> </w:t>
      </w:r>
      <w:r>
        <w:t xml:space="preserve">0.06 kgCO2e (Ocean) + 0.015 kgCO2e (Road) + 0.3 kgCO2e (Last-Mile) = 0.375 kgCO2e/unit</w:t>
      </w:r>
    </w:p>
    <w:p>
      <w:pPr>
        <w:numPr>
          <w:ilvl w:val="0"/>
          <w:numId w:val="1013"/>
        </w:numPr>
        <w:pStyle w:val="Compact"/>
      </w:pPr>
      <w:r>
        <w:rPr>
          <w:bCs/>
          <w:b/>
        </w:rPr>
        <w:t xml:space="preserve">Use Phase Emissions:</w:t>
      </w:r>
      <w:r>
        <w:t xml:space="preserve"> </w:t>
      </w:r>
      <w:r>
        <w:t xml:space="preserve">54.75 kWh * 0.288 kgCO2e/kWh (Europe grid) = 15.768 kgCO2e/unit</w:t>
      </w:r>
    </w:p>
    <w:p>
      <w:pPr>
        <w:numPr>
          <w:ilvl w:val="0"/>
          <w:numId w:val="1013"/>
        </w:numPr>
        <w:pStyle w:val="Compact"/>
      </w:pPr>
      <w:r>
        <w:rPr>
          <w:bCs/>
          <w:b/>
        </w:rPr>
        <w:t xml:space="preserve">End-of-Life Emissions:</w:t>
      </w:r>
    </w:p>
    <w:p>
      <w:pPr>
        <w:numPr>
          <w:ilvl w:val="1"/>
          <w:numId w:val="1014"/>
        </w:numPr>
        <w:pStyle w:val="Compact"/>
      </w:pPr>
      <w:r>
        <w:t xml:space="preserve">Product weight: Sum of BOM quantities = 0.25+0.05+1 (unit has weight, assume 0.1kg for PCB)+1 (battery weight, assume 0.05kg)+0.15+0.01 = approx 0.5kg for the physical product. Assuming 0.5 kg for the product, 0.15 kg for packaging. Total weight at EoL for calculation: 0.5kg.</w:t>
      </w:r>
    </w:p>
    <w:p>
      <w:pPr>
        <w:numPr>
          <w:ilvl w:val="1"/>
          <w:numId w:val="1014"/>
        </w:numPr>
        <w:pStyle w:val="Compact"/>
      </w:pPr>
      <w:r>
        <w:t xml:space="preserve">Non-recycled portion: 0.5 kg * (1 - 0.80) = 0.1 kg</w:t>
      </w:r>
    </w:p>
    <w:p>
      <w:pPr>
        <w:numPr>
          <w:ilvl w:val="1"/>
          <w:numId w:val="1014"/>
        </w:numPr>
        <w:pStyle w:val="Compact"/>
      </w:pPr>
      <w:r>
        <w:t xml:space="preserve">Emissions from non-recycled: 0.1 kg * 1.5 kgCO2e/kg = 0.15 kgCO2e</w:t>
      </w:r>
    </w:p>
    <w:p>
      <w:pPr>
        <w:numPr>
          <w:ilvl w:val="1"/>
          <w:numId w:val="1014"/>
        </w:numPr>
        <w:pStyle w:val="Compact"/>
      </w:pPr>
      <w:r>
        <w:t xml:space="preserve">Recycled portion: 0.5 kg * 0.80 = 0.4 kg</w:t>
      </w:r>
    </w:p>
    <w:p>
      <w:pPr>
        <w:numPr>
          <w:ilvl w:val="1"/>
          <w:numId w:val="1014"/>
        </w:numPr>
        <w:pStyle w:val="Compact"/>
      </w:pPr>
      <w:r>
        <w:t xml:space="preserve">Credits from recycling: 0.4 kg * -1.0 kgCO2e/kg = -0.4 kgCO2e</w:t>
      </w:r>
    </w:p>
    <w:p>
      <w:pPr>
        <w:numPr>
          <w:ilvl w:val="1"/>
          <w:numId w:val="1014"/>
        </w:numPr>
        <w:pStyle w:val="Compact"/>
      </w:pPr>
      <w:r>
        <w:rPr>
          <w:bCs/>
          <w:b/>
        </w:rPr>
        <w:t xml:space="preserve">Net EoL Emissions:</w:t>
      </w:r>
      <w:r>
        <w:t xml:space="preserve"> </w:t>
      </w:r>
      <w:r>
        <w:t xml:space="preserve">0.15 kgCO2e - 0.4 kgCO2e = -0.25 kgCO2e/unit (a net carbon saving due to high recyclability and circular programs)</w:t>
      </w:r>
    </w:p>
    <w:p>
      <w:pPr>
        <w:pStyle w:val="FirstParagraph"/>
      </w:pPr>
      <w:r>
        <w:rPr>
          <w:bCs/>
          <w:b/>
        </w:rPr>
        <w:t xml:space="preserve">Total Downstream Emissions (Category 4, 9, 11, 12): 0.375 + 15.768 - 0.25 = 15.893 kgCO2e per unit.</w:t>
      </w:r>
    </w:p>
    <w:bookmarkEnd w:id="38"/>
    <w:bookmarkEnd w:id="39"/>
    <w:bookmarkStart w:id="40" w:name="Xf2c61ae266871df6ec3e5b7ea0d8cbb8da5b1fe"/>
    <w:p>
      <w:pPr>
        <w:pStyle w:val="Heading3"/>
      </w:pPr>
      <w:r>
        <w:t xml:space="preserve">4.4. GHG Protocol 2026 LSR Update Considerations</w:t>
      </w:r>
    </w:p>
    <w:p>
      <w:pPr>
        <w:pStyle w:val="FirstParagraph"/>
      </w:pPr>
      <w:r>
        <w:t xml:space="preserve">The Land Sector and Removals (LSR) Standard, released on January 30, 2026, and taking effect on January 1, 2027, provides crucial guidance for accounting for land use and carbon removals. While specific land-use data related to the raw materials for fluuippoqs was not available for direct quantification within this report,</w:t>
      </w:r>
      <w:r>
        <w:t xml:space="preserve"> </w:t>
      </w:r>
      <w:r>
        <w:rPr>
          <w:bCs/>
          <w:b/>
        </w:rPr>
        <w:t xml:space="preserve">thdergyout</w:t>
      </w:r>
      <w:r>
        <w:t xml:space="preserve"> </w:t>
      </w:r>
      <w:r>
        <w:t xml:space="preserve">is committed to integrating the LSR Standard into future PCF analyses as it becomes effective and relevant data becomes available. This will ensure comprehensive reporting of land management, land use change, biogenic products, and technological CO₂ removals across the value chain.</w:t>
      </w:r>
    </w:p>
    <w:bookmarkEnd w:id="40"/>
    <w:bookmarkStart w:id="41" w:name="summary-of-emissions-by-scope"/>
    <w:p>
      <w:pPr>
        <w:pStyle w:val="Heading3"/>
      </w:pPr>
      <w:r>
        <w:t xml:space="preserve">4.5. Summary of Emissions by Scope</w:t>
      </w:r>
    </w:p>
    <w:p>
      <w:pPr>
        <w:pStyle w:val="FirstParagraph"/>
      </w:pPr>
      <w:r>
        <w:t xml:space="preserve">The following table summarizes the calculated emissions for one functional unit of fluuippoqs: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Coverage Status</w:t>
            </w:r>
          </w:p>
        </w:tc>
      </w:tr>
      <w:tr>
        <w:tc>
          <w:tcPr/>
          <w:p>
            <w:pPr>
              <w:pStyle w:val="Compact"/>
              <w:jc w:val="left"/>
            </w:pPr>
            <w:r>
              <w:t xml:space="preserve">Scope 1</w:t>
            </w:r>
          </w:p>
        </w:tc>
        <w:tc>
          <w:tcPr/>
          <w:p>
            <w:pPr>
              <w:pStyle w:val="Compact"/>
              <w:jc w:val="left"/>
            </w:pPr>
            <w:r>
              <w:t xml:space="preserve">Direct Emissions (e.g., owned facility fuel combustion)</w:t>
            </w:r>
          </w:p>
        </w:tc>
        <w:tc>
          <w:tcPr/>
          <w:p>
            <w:pPr>
              <w:pStyle w:val="Compact"/>
              <w:jc w:val="left"/>
            </w:pPr>
            <w:r>
              <w:t xml:space="preserve">0.01</w:t>
            </w:r>
          </w:p>
        </w:tc>
        <w:tc>
          <w:tcPr/>
          <w:p>
            <w:pPr>
              <w:pStyle w:val="Compact"/>
              <w:jc w:val="left"/>
            </w:pPr>
            <w:r>
              <w:t xml:space="preserve">Covered</w:t>
            </w:r>
          </w:p>
        </w:tc>
      </w:tr>
      <w:tr>
        <w:tc>
          <w:tcPr/>
          <w:p>
            <w:pPr>
              <w:pStyle w:val="Compact"/>
              <w:jc w:val="left"/>
            </w:pPr>
            <w:r>
              <w:t xml:space="preserve">Scope 2</w:t>
            </w:r>
          </w:p>
        </w:tc>
        <w:tc>
          <w:tcPr/>
          <w:p>
            <w:pPr>
              <w:pStyle w:val="Compact"/>
              <w:jc w:val="left"/>
            </w:pPr>
            <w:r>
              <w:t xml:space="preserve">Purchased Electricity (location-based)</w:t>
            </w:r>
          </w:p>
        </w:tc>
        <w:tc>
          <w:tcPr/>
          <w:p>
            <w:pPr>
              <w:pStyle w:val="Compact"/>
              <w:jc w:val="left"/>
            </w:pPr>
            <w:r>
              <w:t xml:space="preserve">0.3045</w:t>
            </w:r>
          </w:p>
        </w:tc>
        <w:tc>
          <w:tcPr/>
          <w:p>
            <w:pPr>
              <w:pStyle w:val="Compact"/>
              <w:jc w:val="left"/>
            </w:pPr>
            <w:r>
              <w:t xml:space="preserve">Covered</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5.3</w:t>
            </w:r>
          </w:p>
        </w:tc>
        <w:tc>
          <w:tcPr/>
          <w:p>
            <w:pPr>
              <w:pStyle w:val="Compact"/>
              <w:jc w:val="left"/>
            </w:pPr>
            <w:r>
              <w:t xml:space="preserve">Covered</w:t>
            </w:r>
          </w:p>
        </w:tc>
      </w:tr>
      <w:tr>
        <w:tc>
          <w:tcPr>
            <w:gridSpan w:val="1"/>
            <w:vMerge w:val="continue"/>
          </w:tcPr>
          <w:p>
            <w:pPr/>
          </w:p>
        </w:tc>
        <w:tc>
          <w:tcPr/>
          <w:p>
            <w:pPr>
              <w:pStyle w:val="Compact"/>
              <w:jc w:val="left"/>
            </w:pPr>
            <w:r>
              <w:t xml:space="preserve">Category 4: Upstream Transportation &amp; Distribution (Components)</w:t>
            </w:r>
          </w:p>
        </w:tc>
        <w:tc>
          <w:tcPr/>
          <w:p>
            <w:pPr>
              <w:pStyle w:val="Compact"/>
              <w:jc w:val="left"/>
            </w:pPr>
            <w:r>
              <w:t xml:space="preserve">0.1035</w:t>
            </w:r>
          </w:p>
        </w:tc>
        <w:tc>
          <w:tcPr/>
          <w:p>
            <w:pPr>
              <w:pStyle w:val="Compact"/>
              <w:jc w:val="left"/>
            </w:pPr>
            <w:r>
              <w:t xml:space="preserve">Covered</w:t>
            </w:r>
          </w:p>
        </w:tc>
      </w:tr>
      <w:tr>
        <w:tc>
          <w:tcPr>
            <w:gridSpan w:val="1"/>
            <w:vMerge w:val="continue"/>
          </w:tcPr>
          <w:p>
            <w:pPr/>
          </w:p>
        </w:tc>
        <w:tc>
          <w:tcPr/>
          <w:p>
            <w:pPr>
              <w:pStyle w:val="Compact"/>
              <w:jc w:val="left"/>
            </w:pPr>
            <w:r>
              <w:t xml:space="preserve">Category 9: Downstream Transportation &amp; Distribution (Finished Goods)</w:t>
            </w:r>
          </w:p>
        </w:tc>
        <w:tc>
          <w:tcPr/>
          <w:p>
            <w:pPr>
              <w:pStyle w:val="Compact"/>
              <w:jc w:val="left"/>
            </w:pPr>
            <w:r>
              <w:t xml:space="preserve">0.375</w:t>
            </w:r>
          </w:p>
        </w:tc>
        <w:tc>
          <w:tcPr/>
          <w:p>
            <w:pPr>
              <w:pStyle w:val="Compact"/>
              <w:jc w:val="left"/>
            </w:pPr>
            <w:r>
              <w:t xml:space="preserve">Covered</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15.768</w:t>
            </w:r>
          </w:p>
        </w:tc>
        <w:tc>
          <w:tcPr/>
          <w:p>
            <w:pPr>
              <w:pStyle w:val="Compact"/>
              <w:jc w:val="left"/>
            </w:pPr>
            <w:r>
              <w:t xml:space="preserve">Covered</w:t>
            </w:r>
          </w:p>
        </w:tc>
      </w:tr>
      <w:tr>
        <w:tc>
          <w:tcPr/>
          <w:p>
            <w:pPr>
              <w:pStyle w:val="Compact"/>
              <w:jc w:val="left"/>
            </w:pPr>
            <w:r>
              <w:t xml:space="preserve">Scope 3 (cont.)</w:t>
            </w:r>
          </w:p>
        </w:tc>
        <w:tc>
          <w:tcPr/>
          <w:p>
            <w:pPr>
              <w:pStyle w:val="Compact"/>
              <w:jc w:val="left"/>
            </w:pPr>
            <w:r>
              <w:t xml:space="preserve">Category 12: End-of-Life Treatment of Sold Products</w:t>
            </w:r>
          </w:p>
        </w:tc>
        <w:tc>
          <w:tcPr/>
          <w:p>
            <w:pPr>
              <w:pStyle w:val="Compact"/>
              <w:jc w:val="left"/>
            </w:pPr>
            <w:r>
              <w:t xml:space="preserve">-0.25</w:t>
            </w:r>
          </w:p>
        </w:tc>
        <w:tc>
          <w:tcPr/>
          <w:p>
            <w:pPr>
              <w:pStyle w:val="Compact"/>
              <w:jc w:val="left"/>
            </w:pPr>
            <w:r>
              <w:t xml:space="preserve">Covered</w:t>
            </w:r>
          </w:p>
        </w:tc>
      </w:tr>
      <w:tr>
        <w:tc>
          <w:tcPr>
            <w:gridSpan w:val="2"/>
          </w:tcPr>
          <w:p>
            <w:pPr>
              <w:pStyle w:val="Compact"/>
              <w:jc w:val="left"/>
            </w:pPr>
            <w:r>
              <w:rPr>
                <w:bCs/>
                <w:b/>
              </w:rPr>
              <w:t xml:space="preserve">Total Scope 3 Emissions</w:t>
            </w:r>
          </w:p>
        </w:tc>
        <w:tc>
          <w:tcPr/>
          <w:p>
            <w:pPr>
              <w:pStyle w:val="Compact"/>
              <w:jc w:val="left"/>
            </w:pPr>
            <w:r>
              <w:rPr>
                <w:bCs/>
                <w:b/>
              </w:rPr>
              <w:t xml:space="preserve">21.2965</w:t>
            </w:r>
          </w:p>
        </w:tc>
        <w:tc>
          <w:tcPr/>
          <w:p>
            <w:pPr>
              <w:pStyle w:val="Compact"/>
              <w:jc w:val="left"/>
            </w:pPr>
            <w:r>
              <w:rPr>
                <w:bCs/>
                <w:b/>
              </w:rPr>
              <w:t xml:space="preserve">&gt;95% Coverage</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21.611 kgCO2e per unit</w:t>
            </w:r>
          </w:p>
        </w:tc>
        <w:tc>
          <w:tcPr/>
          <w:p>
            <w:pPr>
              <w:pStyle w:val="Compact"/>
            </w:pPr>
          </w:p>
        </w:tc>
      </w:tr>
    </w:tbl>
    <w:p>
      <w:pPr>
        <w:pStyle w:val="BodyText"/>
      </w:pPr>
      <w:r>
        <w:rPr>
          <w:bCs/>
          <w:b/>
        </w:rPr>
        <w:t xml:space="preserve">Overall Scope 3 Coverage:</w:t>
      </w:r>
      <w:r>
        <w:t xml:space="preserve"> </w:t>
      </w:r>
      <w:r>
        <w:t xml:space="preserve">The detailed breakdown demonstrates strong coverage of significant Scope 3 categories, achieving the required &gt;95% coverage for 2026 requirements, as the sum of covered categories (21.2965 kgCO2e) is the vast majority of the total PCF.</w:t>
      </w:r>
    </w:p>
    <w:p>
      <w:r>
        <w:pict>
          <v:rect style="width:0;height:1.5pt" o:hralign="center" o:hrstd="t" o:hr="t"/>
        </w:pict>
      </w:r>
    </w:p>
    <w:bookmarkEnd w:id="41"/>
    <w:bookmarkEnd w:id="42"/>
    <w:bookmarkStart w:id="47" w:name="review-report"/>
    <w:p>
      <w:pPr>
        <w:pStyle w:val="Heading2"/>
      </w:pPr>
      <w:r>
        <w:t xml:space="preserve">5. Review &amp; Report</w:t>
      </w:r>
    </w:p>
    <w:bookmarkStart w:id="43" w:name="hotspots-identification"/>
    <w:p>
      <w:pPr>
        <w:pStyle w:val="Heading3"/>
      </w:pPr>
      <w:r>
        <w:t xml:space="preserve">5.1. Hotspots Identification</w:t>
      </w:r>
    </w:p>
    <w:p>
      <w:pPr>
        <w:pStyle w:val="FirstParagraph"/>
      </w:pPr>
      <w:r>
        <w:t xml:space="preserve">Based on the calculations, the primary emission hotspots for fluuippoqs are:</w:t>
      </w:r>
    </w:p>
    <w:p>
      <w:pPr>
        <w:numPr>
          <w:ilvl w:val="0"/>
          <w:numId w:val="1015"/>
        </w:numPr>
        <w:pStyle w:val="Compact"/>
      </w:pPr>
      <w:r>
        <w:rPr>
          <w:bCs/>
          <w:b/>
        </w:rPr>
        <w:t xml:space="preserve">Use Phase (15.768 kgCO2e):</w:t>
      </w:r>
      <w:r>
        <w:t xml:space="preserve"> </w:t>
      </w:r>
      <w:r>
        <w:t xml:space="preserve">This constitutes the largest portion of the PCF, highlighting the energy consumption during the product\'s 3-year lifespan as a critical area for reduction.</w:t>
      </w:r>
    </w:p>
    <w:p>
      <w:pPr>
        <w:numPr>
          <w:ilvl w:val="0"/>
          <w:numId w:val="1015"/>
        </w:numPr>
        <w:pStyle w:val="Compact"/>
      </w:pPr>
      <w:r>
        <w:rPr>
          <w:bCs/>
          <w:b/>
        </w:rPr>
        <w:t xml:space="preserve">Material Production (5.3 kgCO2e):</w:t>
      </w:r>
      <w:r>
        <w:t xml:space="preserve"> </w:t>
      </w:r>
      <w:r>
        <w:t xml:space="preserve">The production of raw materials, particularly the battery cell (2.8 kgCO2e) and PCB (1.2 kgCO2e), are significant contributors, indicating opportunities for material optimization and sourcing of lower-carbon alternatives.</w:t>
      </w:r>
    </w:p>
    <w:p>
      <w:pPr>
        <w:numPr>
          <w:ilvl w:val="0"/>
          <w:numId w:val="1015"/>
        </w:numPr>
        <w:pStyle w:val="Compact"/>
      </w:pPr>
      <w:r>
        <w:rPr>
          <w:bCs/>
          <w:b/>
        </w:rPr>
        <w:t xml:space="preserve">Production Energy (Scope 2, 0.3045 kgCO2e):</w:t>
      </w:r>
      <w:r>
        <w:t xml:space="preserve"> </w:t>
      </w:r>
      <w:r>
        <w:t xml:space="preserve">While thdergyout utilizes 65% renewable energy, the remaining non-renewable portion of electricity in China still contributes, suggesting further decarbonization of purchased electricity could yield benefits.</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the adherence to GHG Protocol standards and the use of specific provided data for BOM and energy. However, certain limitations exist:</w:t>
      </w:r>
    </w:p>
    <w:p>
      <w:pPr>
        <w:numPr>
          <w:ilvl w:val="0"/>
          <w:numId w:val="1016"/>
        </w:numPr>
        <w:pStyle w:val="Compact"/>
      </w:pPr>
      <w:r>
        <w:rPr>
          <w:bCs/>
          <w:b/>
        </w:rPr>
        <w:t xml:space="preserve">Assumed Parameters:</w:t>
      </w:r>
      <w:r>
        <w:t xml:space="preserve"> </w:t>
      </w:r>
      <w:r>
        <w:t xml:space="preserve">Several parameters were assumed due to placeholder inputs. While efforts were made to use realistic industry averages and credible emission factors, actual values could differ.</w:t>
      </w:r>
    </w:p>
    <w:p>
      <w:pPr>
        <w:numPr>
          <w:ilvl w:val="0"/>
          <w:numId w:val="1016"/>
        </w:numPr>
        <w:pStyle w:val="Compact"/>
      </w:pPr>
      <w:r>
        <w:rPr>
          <w:bCs/>
          <w:b/>
        </w:rPr>
        <w:t xml:space="preserve">Generic Emission Factors:</w:t>
      </w:r>
      <w:r>
        <w:t xml:space="preserve"> </w:t>
      </w:r>
      <w:r>
        <w:t xml:space="preserve">For transport and average grid electricity, generic industry-standard emission factors were used (e.g., from BEIS, IEA, EEA). More specific, supplier-specific data would enhance accuracy.</w:t>
      </w:r>
    </w:p>
    <w:p>
      <w:pPr>
        <w:numPr>
          <w:ilvl w:val="0"/>
          <w:numId w:val="1016"/>
        </w:numPr>
        <w:pStyle w:val="Compact"/>
      </w:pPr>
      <w:r>
        <w:rPr>
          <w:bCs/>
          <w:b/>
        </w:rPr>
        <w:t xml:space="preserve">LSR Standard:</w:t>
      </w:r>
      <w:r>
        <w:t xml:space="preserve"> </w:t>
      </w:r>
      <w:r>
        <w:t xml:space="preserve">While the 2026 LSR Standard is acknowledged, full implementation of its detailed accounting for land sector emissions and removals will be possible once specific data becomes available for thdergyout\'s raw material supply chain.</w:t>
      </w:r>
    </w:p>
    <w:bookmarkEnd w:id="44"/>
    <w:bookmarkStart w:id="46" w:name="recommendations-for-reduction"/>
    <w:p>
      <w:pPr>
        <w:pStyle w:val="Heading3"/>
      </w:pPr>
      <w:r>
        <w:t xml:space="preserve">5.3. Recommendations for Reduction</w:t>
      </w:r>
    </w:p>
    <w:p>
      <w:pPr>
        <w:pStyle w:val="FirstParagraph"/>
      </w:pPr>
      <w:r>
        <w:t xml:space="preserve">To reduce the product carbon footprint of fluuippoqs,</w:t>
      </w:r>
      <w:r>
        <w:t xml:space="preserve"> </w:t>
      </w:r>
      <w:r>
        <w:rPr>
          <w:bCs/>
          <w:b/>
        </w:rPr>
        <w:t xml:space="preserve">thdergyout</w:t>
      </w:r>
      <w:r>
        <w:t xml:space="preserve"> </w:t>
      </w:r>
      <w:r>
        <w:t xml:space="preserve">should focus on:</w:t>
      </w:r>
    </w:p>
    <w:p>
      <w:pPr>
        <w:numPr>
          <w:ilvl w:val="0"/>
          <w:numId w:val="1017"/>
        </w:numPr>
        <w:pStyle w:val="Compact"/>
      </w:pPr>
      <w:r>
        <w:rPr>
          <w:bCs/>
          <w:b/>
        </w:rPr>
        <w:t xml:space="preserve">Energy Efficiency in Use Phase:</w:t>
      </w:r>
      <w:r>
        <w:t xml:space="preserve"> </w:t>
      </w:r>
      <w:r>
        <w:t xml:space="preserve">Investigate technologies and design improvements to significantly reduce the product\'s energy consumption during its lifespan. This is the largest hotspot.</w:t>
      </w:r>
    </w:p>
    <w:p>
      <w:pPr>
        <w:numPr>
          <w:ilvl w:val="0"/>
          <w:numId w:val="1017"/>
        </w:numPr>
        <w:pStyle w:val="Compact"/>
      </w:pPr>
      <w:r>
        <w:rPr>
          <w:bCs/>
          <w:b/>
        </w:rPr>
        <w:t xml:space="preserve">Sustainable Material Sourcing:</w:t>
      </w:r>
      <w:r>
        <w:t xml:space="preserve"> </w:t>
      </w:r>
      <w:r>
        <w:t xml:space="preserve">Explore alternative, lower-carbon materials for the battery and PCB, and investigate suppliers with verifiable low-carbon production processes.</w:t>
      </w:r>
    </w:p>
    <w:p>
      <w:pPr>
        <w:numPr>
          <w:ilvl w:val="0"/>
          <w:numId w:val="1017"/>
        </w:numPr>
        <w:pStyle w:val="Compact"/>
      </w:pPr>
      <w:r>
        <w:rPr>
          <w:bCs/>
          <w:b/>
        </w:rPr>
        <w:t xml:space="preserve">Renewable Energy Expansion:</w:t>
      </w:r>
      <w:r>
        <w:t xml:space="preserve"> </w:t>
      </w:r>
      <w:r>
        <w:t xml:space="preserve">Continue to increase the percentage of renewable energy used in manufacturing operations in China, potentially through on-site generation or certified renewable energy purchases.</w:t>
      </w:r>
    </w:p>
    <w:p>
      <w:pPr>
        <w:numPr>
          <w:ilvl w:val="0"/>
          <w:numId w:val="1017"/>
        </w:numPr>
        <w:pStyle w:val="Compact"/>
      </w:pPr>
      <w:r>
        <w:rPr>
          <w:bCs/>
          <w:b/>
        </w:rPr>
        <w:t xml:space="preserve">Supply Chain Engagement:</w:t>
      </w:r>
      <w:r>
        <w:t xml:space="preserve"> </w:t>
      </w:r>
      <w:r>
        <w:t xml:space="preserve">Work with upstream suppliers (materials, components) to gather primary data on their emissions and encourage their decarbonization efforts.</w:t>
      </w:r>
    </w:p>
    <w:p>
      <w:pPr>
        <w:numPr>
          <w:ilvl w:val="0"/>
          <w:numId w:val="1017"/>
        </w:numPr>
        <w:pStyle w:val="Compact"/>
      </w:pPr>
      <w:r>
        <w:rPr>
          <w:bCs/>
          <w:b/>
        </w:rPr>
        <w:t xml:space="preserve">End-of-Life Optimization:</w:t>
      </w:r>
      <w:r>
        <w:t xml:space="preserve"> </w:t>
      </w:r>
      <w:r>
        <w:t xml:space="preserve">Maintain and expand the existing circular/take-back programs, and explore innovative recycling technologies to further minimize the environmental impact of non-recyclable components.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fluuippoqs</dc:title>
  <dc:creator/>
  <dc:description>High-detail Product Carbon Footprint (PCF) analysis report for fluuippoqs, conducted by owqvwrilnk, Senior Sustainability Consultant at thdergyout, adhering to GHG Protocol standards and 2026 LSR updates.</dc:description>
  <dc:language>en</dc:language>
  <cp:keywords/>
  <dcterms:created xsi:type="dcterms:W3CDTF">2026-05-30T10:33:14Z</dcterms:created>
  <dcterms:modified xsi:type="dcterms:W3CDTF">2026-05-30T10:33:14Z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