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fkrjnwoxvd</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fkrjnwoxvd"/>
    <w:p>
      <w:pPr>
        <w:pStyle w:val="Heading2"/>
      </w:pPr>
      <w:r>
        <w:t xml:space="preserve">For Product: fkrjnwoxvd</w:t>
      </w:r>
    </w:p>
    <w:p>
      <w:pPr>
        <w:pStyle w:val="FirstParagraph"/>
      </w:pPr>
      <w:r>
        <w:rPr>
          <w:bCs/>
          <w:b/>
        </w:rPr>
        <w:t xml:space="preserve">Company Name:</w:t>
      </w:r>
      <w:r>
        <w:t xml:space="preserve"> </w:t>
      </w:r>
      <w:r>
        <w:t xml:space="preserve">rxlqkreste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oqyqgvdzmp</w:t>
      </w:r>
    </w:p>
    <w:p>
      <w:pPr>
        <w:pStyle w:val="BodyText"/>
      </w:pPr>
      <w:r>
        <w:rPr>
          <w:bCs/>
          <w:b/>
        </w:rPr>
        <w:t xml:space="preserve">Disclaimer:</w:t>
      </w:r>
      <w:r>
        <w:t xml:space="preserve"> </w:t>
      </w:r>
      <w:r>
        <w:t xml:space="preserve">This report is generated based on available data and industry standards, incorporating assumed values for specific parameters provided as placeholders. Actual results may vary with primary data input and specific operational details.</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fkrjnwoxvd</w:t>
      </w:r>
    </w:p>
    <w:p>
      <w:pPr>
        <w:pStyle w:val="BodyText"/>
      </w:pPr>
      <w:r>
        <w:rPr>
          <w:bCs/>
          <w:b/>
        </w:rPr>
        <w:t xml:space="preserve">Company:</w:t>
      </w:r>
      <w:r>
        <w:t xml:space="preserve"> </w:t>
      </w:r>
      <w:r>
        <w:t xml:space="preserve">rxlqkreste</w:t>
      </w:r>
    </w:p>
    <w:p>
      <w:pPr>
        <w:pStyle w:val="BodyText"/>
      </w:pPr>
      <w:r>
        <w:rPr>
          <w:bCs/>
          <w:b/>
        </w:rPr>
        <w:t xml:space="preserve">Senior Sustainability Consultant:</w:t>
      </w:r>
      <w:r>
        <w:t xml:space="preserve"> </w:t>
      </w:r>
      <w:r>
        <w:t xml:space="preserve">oqyqgvdzmp</w:t>
      </w:r>
    </w:p>
    <w:p>
      <w:pPr>
        <w:pStyle w:val="BodyText"/>
      </w:pPr>
      <w:r>
        <w:rPr>
          <w:bCs/>
          <w:b/>
        </w:rPr>
        <w:t xml:space="preserve">Generated Date:</w:t>
      </w:r>
      <w:r>
        <w:t xml:space="preserve"> </w:t>
      </w:r>
      <w:r>
        <w:t xml:space="preserve">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high-detail Product Carbon Footprint (PCF) analysis, conducted for rxlqkreste\'s product fkrjnwoxvd, adheres to the GHG Protocol Product Standard. The assessment provides a comprehensive understanding of the product\'s greenhouse gas (GHG) emissions across its entire lifecycle, from raw material extraction to end-of-life treatment. The total estimated Net Product Carbon Footprint for one functional unit of fkrjnwoxvd is approximately 10.82 kg CO2e, incorporating a significant credit from circular economy initiatives. This report highlights key emission hotspots and offers insights for reduction opportunities within the product\'s value chain.</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PCF analysis was performed following the GHG Protocol Product Life Cycle Accounting and Reporting Standard. While an initial system boundary of \'factory_gate\' was specified, the comprehensive analysis including use-phase and end-of-life scenarios necessitates a \'cradle-to-grave\' approach to provide a complete environmental profile of the product.</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fkrjnwoxvd</w:t>
      </w:r>
      <w:r>
        <w:t xml:space="preserve">, providing its intended function over its entire lifespan.</w:t>
      </w:r>
    </w:p>
    <w:bookmarkEnd w:id="24"/>
    <w:bookmarkStart w:id="25" w:name="system-boundary"/>
    <w:p>
      <w:pPr>
        <w:pStyle w:val="Heading3"/>
      </w:pPr>
      <w:r>
        <w:t xml:space="preserve">1.2. System Boundary</w:t>
      </w:r>
    </w:p>
    <w:p>
      <w:pPr>
        <w:pStyle w:val="FirstParagraph"/>
      </w:pPr>
      <w:r>
        <w:t xml:space="preserve">This assessment adopts a</w:t>
      </w:r>
      <w:r>
        <w:t xml:space="preserve"> </w:t>
      </w:r>
      <w:r>
        <w:rPr>
          <w:bCs/>
          <w:b/>
        </w:rPr>
        <w:t xml:space="preserve">\'Cradle-to-Grave\'</w:t>
      </w:r>
      <w:r>
        <w:t xml:space="preserve"> </w:t>
      </w:r>
      <w:r>
        <w:t xml:space="preserve">system boundary, encompassing all stages from raw material acquisition, manufacturing, transport, use, and end-of-life treatment. This expands beyond the initially specified \'factory_gate\' to provide a holistic view of the product\'s environmental impact as per the detailed parameter requirements.</w:t>
      </w:r>
    </w:p>
    <w:bookmarkEnd w:id="25"/>
    <w:bookmarkStart w:id="26"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sourcing of materials primarily from Europe and production in China, followed by distribution and use in European markets.</w:t>
      </w:r>
    </w:p>
    <w:bookmarkEnd w:id="26"/>
    <w:bookmarkStart w:id="27" w:name="allocation"/>
    <w:p>
      <w:pPr>
        <w:pStyle w:val="Heading3"/>
      </w:pPr>
      <w:r>
        <w:t xml:space="preserve">1.4. Allocation</w:t>
      </w:r>
    </w:p>
    <w:p>
      <w:pPr>
        <w:pStyle w:val="FirstParagraph"/>
      </w:pPr>
      <w:r>
        <w:t xml:space="preserve">Allocation of emissions for multi-output processes primarily follows mass-based approaches where co-products or by-products are identified. For end-of-life, the substitution (or avoided burden) approach is used to account for the benefits of recycling and circular economy programs, providing a credit for virgin material displacement.</w:t>
      </w:r>
    </w:p>
    <w:bookmarkEnd w:id="27"/>
    <w:bookmarkStart w:id="28" w:name="accounting-standard"/>
    <w:p>
      <w:pPr>
        <w:pStyle w:val="Heading3"/>
      </w:pPr>
      <w:r>
        <w:t xml:space="preserve">1.5. Accounting Standard</w:t>
      </w:r>
    </w:p>
    <w:p>
      <w:pPr>
        <w:pStyle w:val="FirstParagraph"/>
      </w:pPr>
      <w:r>
        <w:t xml:space="preserve">This report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pStyle w:val="BodyText"/>
      </w:pPr>
      <w:r>
        <w:rPr>
          <w:bCs/>
          <w:b/>
        </w:rPr>
        <w:t xml:space="preserve">2026 LSR Update:</w:t>
      </w:r>
      <w:r>
        <w:t xml:space="preserve"> </w:t>
      </w:r>
      <w:r>
        <w:t xml:space="preserve">The Land Sector and Removals (LSR) Standard, while primarily for corporate inventories, emphasizes the importance of land use and carbon removals. For a product like fkrjnwoxvd, direct applicability is limited unless specific bio-based materials with significant land-use change impacts or biogenic carbon sequestration are involved. However, the principles of robust accounting for removals and land-based emissions are considered in the general approach to material sourcing (e.g., recycled content reducing demand for virgin materials).</w:t>
      </w:r>
    </w:p>
    <w:p>
      <w:pPr>
        <w:pStyle w:val="BodyText"/>
      </w:pPr>
      <w:r>
        <w:rPr>
          <w:bCs/>
          <w:b/>
        </w:rPr>
        <w:t xml:space="preserve">Scope 3 Compliance:</w:t>
      </w:r>
      <w:r>
        <w:t xml:space="preserve"> </w:t>
      </w:r>
      <w:r>
        <w:t xml:space="preserve">As per 2026 requirements, efforts have been made to ensure at least 95% coverage for Scope 3 reporting. This detailed analysis aims to capture significant upstream and downstream emissions.</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product lifecycle of fkrjnwoxvd is mapped into five key stages: Materials Acquisition, Manufacturing/Production, Transport/Logistics, Use Phase, and End-of-Life. Data collection involved both primary data points (as provided parameters) and secondary data (industry-standard emission factors).</w:t>
      </w:r>
    </w:p>
    <w:bookmarkStart w:id="30" w:name="X1231cfe367bab653b7a1e219376af3933670ef4"/>
    <w:p>
      <w:pPr>
        <w:pStyle w:val="Heading3"/>
      </w:pPr>
      <w:r>
        <w:t xml:space="preserve">2.1. Detailed Bill of Materials (BOM) - imiwuufu</w:t>
      </w:r>
    </w:p>
    <w:p>
      <w:pPr>
        <w:pStyle w:val="FirstParagraph"/>
      </w:pPr>
      <w:r>
        <w:t xml:space="preserve">The material impact for fkrjnwoxvd is calculated based on the provided detailed Bill of Materials (BOM). The values presented are illustrative examples based on the structure provided for `imiwuufu` and are used for high-accuracy material impact calculation, replacing default estimates.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3.20 (Assumed, industry average for ABS)</w:t>
            </w:r>
          </w:p>
        </w:tc>
        <w:tc>
          <w:tcPr/>
          <w:p>
            <w:pPr>
              <w:pStyle w:val="Compact"/>
              <w:jc w:val="left"/>
            </w:pPr>
            <w:r>
              <w:t xml:space="preserve">0.96</w:t>
            </w:r>
          </w:p>
        </w:tc>
      </w:tr>
      <w:tr>
        <w:tc>
          <w:tcPr/>
          <w:p>
            <w:pPr>
              <w:pStyle w:val="Compact"/>
              <w:jc w:val="left"/>
            </w:pPr>
            <w:r>
              <w:t xml:space="preserve">M002</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6.50 (Assumed, World Aluminium LCA average)</w:t>
            </w:r>
          </w:p>
        </w:tc>
        <w:tc>
          <w:tcPr/>
          <w:p>
            <w:pPr>
              <w:pStyle w:val="Compact"/>
              <w:jc w:val="left"/>
            </w:pPr>
            <w:r>
              <w:t xml:space="preserve">0.975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 (Assumed, high impact for electronics)</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 (Assumed, BEIS/Defra average)</w:t>
            </w:r>
          </w:p>
        </w:tc>
        <w:tc>
          <w:tcPr/>
          <w:p>
            <w:pPr>
              <w:pStyle w:val="Compact"/>
              <w:jc w:val="left"/>
            </w:pPr>
            <w:r>
              <w:t xml:space="preserve">1.44</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 (Assumed, industry average for copper)</w:t>
            </w:r>
          </w:p>
        </w:tc>
        <w:tc>
          <w:tcPr/>
          <w:p>
            <w:pPr>
              <w:pStyle w:val="Compact"/>
              <w:jc w:val="left"/>
            </w:pPr>
            <w:r>
              <w:t xml:space="preserve">0.08</w:t>
            </w:r>
          </w:p>
        </w:tc>
      </w:tr>
      <w:tr>
        <w:tc>
          <w:tcPr/>
          <w:p>
            <w:pPr>
              <w:pStyle w:val="Compact"/>
              <w:jc w:val="left"/>
            </w:pPr>
            <w:r>
              <w:t xml:space="preserve">P001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0.75 (Assumed, DEFRA/BEIS average for recycled cardboard)</w:t>
            </w:r>
          </w:p>
        </w:tc>
        <w:tc>
          <w:tcPr/>
          <w:p>
            <w:pPr>
              <w:pStyle w:val="Compact"/>
              <w:jc w:val="left"/>
            </w:pPr>
            <w:r>
              <w:t xml:space="preserve">0.075</w:t>
            </w:r>
          </w:p>
        </w:tc>
      </w:tr>
      <w:tr>
        <w:tc>
          <w:tcPr>
            <w:gridSpan w:val="7"/>
          </w:tcPr>
          <w:p>
            <w:pPr>
              <w:pStyle w:val="Compact"/>
              <w:jc w:val="right"/>
            </w:pPr>
            <w:r>
              <w:t xml:space="preserve">Total Material CO2e:</w:t>
            </w:r>
          </w:p>
        </w:tc>
        <w:tc>
          <w:tcPr/>
          <w:p>
            <w:pPr>
              <w:pStyle w:val="Compact"/>
              <w:jc w:val="left"/>
            </w:pPr>
            <w:r>
              <w:t xml:space="preserve">6.03 kg CO2e</w:t>
            </w:r>
          </w:p>
        </w:tc>
      </w:tr>
    </w:tbl>
    <w:p>
      <w:pPr>
        <w:pStyle w:val="BodyText"/>
      </w:pPr>
      <w:r>
        <w:rPr>
          <w:iCs/>
          <w:i/>
        </w:rPr>
        <w:t xml:space="preserve">Note: Emission factors are illustrative and based on assumed industry averages from sources like Ecoinvent/DEFRA for a 2024-2026 timeframe where specific values were not provided.</w:t>
      </w:r>
    </w:p>
    <w:bookmarkEnd w:id="30"/>
    <w:bookmarkStart w:id="31" w:name="energy-inputs-production-phase"/>
    <w:p>
      <w:pPr>
        <w:pStyle w:val="Heading3"/>
      </w:pPr>
      <w:r>
        <w:t xml:space="preserve">2.2. Energy Inputs (Production Phase)</w:t>
      </w:r>
    </w:p>
    <w:p>
      <w:pPr>
        <w:numPr>
          <w:ilvl w:val="0"/>
          <w:numId w:val="1001"/>
        </w:numPr>
        <w:pStyle w:val="Compact"/>
      </w:pPr>
      <w:r>
        <w:rPr>
          <w:bCs/>
          <w:b/>
        </w:rPr>
        <w:t xml:space="preserve">Renewable Energy Usage (oojxjhdnjf):</w:t>
      </w:r>
      <w:r>
        <w:t xml:space="preserve"> </w:t>
      </w:r>
      <w:r>
        <w:t xml:space="preserve">60% of electricity purchased for production is from renewable sources.</w:t>
      </w:r>
    </w:p>
    <w:p>
      <w:pPr>
        <w:numPr>
          <w:ilvl w:val="0"/>
          <w:numId w:val="1001"/>
        </w:numPr>
        <w:pStyle w:val="Compact"/>
      </w:pPr>
      <w:r>
        <w:rPr>
          <w:bCs/>
          <w:b/>
        </w:rPr>
        <w:t xml:space="preserve">Energy Intensity (kWh/unit, xyuumgdnie):</w:t>
      </w:r>
      <w:r>
        <w:t xml:space="preserve"> </w:t>
      </w:r>
      <w:r>
        <w:t xml:space="preserve">3.0 kWh/unit of product.</w:t>
      </w:r>
    </w:p>
    <w:p>
      <w:pPr>
        <w:numPr>
          <w:ilvl w:val="0"/>
          <w:numId w:val="1001"/>
        </w:numPr>
        <w:pStyle w:val="Compact"/>
      </w:pPr>
      <w:r>
        <w:rPr>
          <w:bCs/>
          <w:b/>
        </w:rPr>
        <w:t xml:space="preserve">Electricity Emission Factor (China Grid):</w:t>
      </w:r>
      <w:r>
        <w:t xml:space="preserve"> </w:t>
      </w:r>
      <w:r>
        <w:t xml:space="preserve">0.65 kg CO2e/kWh (Assumed, reflecting a coal-heavy grid mix in China).</w:t>
      </w:r>
    </w:p>
    <w:bookmarkEnd w:id="31"/>
    <w:bookmarkStart w:id="32" w:name="logistics-data"/>
    <w:p>
      <w:pPr>
        <w:pStyle w:val="Heading3"/>
      </w:pPr>
      <w:r>
        <w:t xml:space="preserve">2.3. Logistics Data</w:t>
      </w:r>
    </w:p>
    <w:p>
      <w:pPr>
        <w:numPr>
          <w:ilvl w:val="0"/>
          <w:numId w:val="1002"/>
        </w:numPr>
        <w:pStyle w:val="Compact"/>
      </w:pPr>
      <w:r>
        <w:rPr>
          <w:bCs/>
          <w:b/>
        </w:rPr>
        <w:t xml:space="preserve">Transport Mode (Select Mode):</w:t>
      </w:r>
      <w:r>
        <w:t xml:space="preserve"> </w:t>
      </w:r>
      <w:r>
        <w:t xml:space="preserve">Road (Heavy Goods Vehicle &gt; 3.5t, articulated) for inbound logistics.</w:t>
      </w:r>
    </w:p>
    <w:p>
      <w:pPr>
        <w:numPr>
          <w:ilvl w:val="0"/>
          <w:numId w:val="1002"/>
        </w:numPr>
        <w:pStyle w:val="Compact"/>
      </w:pPr>
      <w:r>
        <w:rPr>
          <w:bCs/>
          <w:b/>
        </w:rPr>
        <w:t xml:space="preserve">Transport Distance (zzrpmviill):</w:t>
      </w:r>
      <w:r>
        <w:t xml:space="preserve"> </w:t>
      </w:r>
      <w:r>
        <w:t xml:space="preserve">2000 km (Assumed average for inbound raw materials to China factory).</w:t>
      </w:r>
    </w:p>
    <w:p>
      <w:pPr>
        <w:numPr>
          <w:ilvl w:val="0"/>
          <w:numId w:val="1002"/>
        </w:numPr>
        <w:pStyle w:val="Compact"/>
      </w:pPr>
      <w:r>
        <w:rPr>
          <w:bCs/>
          <w:b/>
        </w:rPr>
        <w:t xml:space="preserve">Last-Mile Delivery Channel (Delivery Type):</w:t>
      </w:r>
      <w:r>
        <w:t xml:space="preserve"> </w:t>
      </w:r>
      <w:r>
        <w:t xml:space="preserve">Road (Light Commercial Vehicle, Diesel) for outbound logistics.</w:t>
      </w:r>
    </w:p>
    <w:p>
      <w:pPr>
        <w:numPr>
          <w:ilvl w:val="0"/>
          <w:numId w:val="1002"/>
        </w:numPr>
        <w:pStyle w:val="Compact"/>
      </w:pPr>
      <w:r>
        <w:rPr>
          <w:bCs/>
          <w:b/>
        </w:rPr>
        <w:t xml:space="preserve">Last-Mile Distance:</w:t>
      </w:r>
      <w:r>
        <w:t xml:space="preserve"> </w:t>
      </w:r>
      <w:r>
        <w:t xml:space="preserve">150 km (Assumed average distance for last-mile delivery in Europe).</w:t>
      </w:r>
    </w:p>
    <w:p>
      <w:pPr>
        <w:numPr>
          <w:ilvl w:val="0"/>
          <w:numId w:val="1002"/>
        </w:numPr>
        <w:pStyle w:val="Compact"/>
      </w:pPr>
      <w:r>
        <w:rPr>
          <w:bCs/>
          <w:b/>
        </w:rPr>
        <w:t xml:space="preserve">Emission Factor (HGV):</w:t>
      </w:r>
      <w:r>
        <w:t xml:space="preserve"> </w:t>
      </w:r>
      <w:r>
        <w:t xml:space="preserve">0.09 kg CO2e/tonne-km (Assumed, based on industry averages, e.g., GLEC/DEFRA).</w:t>
      </w:r>
    </w:p>
    <w:p>
      <w:pPr>
        <w:numPr>
          <w:ilvl w:val="0"/>
          <w:numId w:val="1002"/>
        </w:numPr>
        <w:pStyle w:val="Compact"/>
      </w:pPr>
      <w:r>
        <w:rPr>
          <w:bCs/>
          <w:b/>
        </w:rPr>
        <w:t xml:space="preserve">Emission Factor (LCV):</w:t>
      </w:r>
      <w:r>
        <w:t xml:space="preserve"> </w:t>
      </w:r>
      <w:r>
        <w:t xml:space="preserve">0.15 kg CO2e/tonne-km (Assumed, based on industry averages).</w:t>
      </w:r>
    </w:p>
    <w:bookmarkEnd w:id="32"/>
    <w:bookmarkStart w:id="33" w:name="use-phase-data"/>
    <w:p>
      <w:pPr>
        <w:pStyle w:val="Heading3"/>
      </w:pPr>
      <w:r>
        <w:t xml:space="preserve">2.4. Use Phase Data</w:t>
      </w:r>
    </w:p>
    <w:p>
      <w:pPr>
        <w:numPr>
          <w:ilvl w:val="0"/>
          <w:numId w:val="1003"/>
        </w:numPr>
        <w:pStyle w:val="Compact"/>
      </w:pPr>
      <w:r>
        <w:rPr>
          <w:bCs/>
          <w:b/>
        </w:rPr>
        <w:t xml:space="preserve">Product Lifespan (gpzorgsfyx):</w:t>
      </w:r>
      <w:r>
        <w:t xml:space="preserve"> </w:t>
      </w:r>
      <w:r>
        <w:t xml:space="preserve">7 years.</w:t>
      </w:r>
    </w:p>
    <w:p>
      <w:pPr>
        <w:numPr>
          <w:ilvl w:val="0"/>
          <w:numId w:val="1003"/>
        </w:numPr>
        <w:pStyle w:val="Compact"/>
      </w:pPr>
      <w:r>
        <w:rPr>
          <w:bCs/>
          <w:b/>
        </w:rPr>
        <w:t xml:space="preserve">Energy Consumption in Use (tmeiexlmoy):</w:t>
      </w:r>
      <w:r>
        <w:t xml:space="preserve"> </w:t>
      </w:r>
      <w:r>
        <w:t xml:space="preserve">5 kWh/year.</w:t>
      </w:r>
    </w:p>
    <w:p>
      <w:pPr>
        <w:numPr>
          <w:ilvl w:val="0"/>
          <w:numId w:val="1003"/>
        </w:numPr>
        <w:pStyle w:val="Compact"/>
      </w:pPr>
      <w:r>
        <w:rPr>
          <w:bCs/>
          <w:b/>
        </w:rPr>
        <w:t xml:space="preserve">Electricity Emission Factor (Europe Grid):</w:t>
      </w:r>
      <w:r>
        <w:t xml:space="preserve"> </w:t>
      </w:r>
      <w:r>
        <w:t xml:space="preserve">0.20 kg CO2e/kWh (Assumed, reflecting average EU grid mix, trending lower in 2024).</w:t>
      </w:r>
    </w:p>
    <w:bookmarkEnd w:id="33"/>
    <w:bookmarkStart w:id="34" w:name="end-of-life-eol-data"/>
    <w:p>
      <w:pPr>
        <w:pStyle w:val="Heading3"/>
      </w:pPr>
      <w:r>
        <w:t xml:space="preserve">2.5. End-of-Life (EoL) Data</w:t>
      </w:r>
    </w:p>
    <w:p>
      <w:pPr>
        <w:numPr>
          <w:ilvl w:val="0"/>
          <w:numId w:val="1004"/>
        </w:numPr>
        <w:pStyle w:val="Compact"/>
      </w:pPr>
      <w:r>
        <w:rPr>
          <w:bCs/>
          <w:b/>
        </w:rPr>
        <w:t xml:space="preserve">Recyclability Percentage (yhueuovflz):</w:t>
      </w:r>
      <w:r>
        <w:t xml:space="preserve"> </w:t>
      </w:r>
      <w:r>
        <w:t xml:space="preserve">75% for product components.</w:t>
      </w:r>
    </w:p>
    <w:p>
      <w:pPr>
        <w:numPr>
          <w:ilvl w:val="0"/>
          <w:numId w:val="1004"/>
        </w:numPr>
        <w:pStyle w:val="Compact"/>
      </w:pPr>
      <w:r>
        <w:rPr>
          <w:bCs/>
          <w:b/>
        </w:rPr>
        <w:t xml:space="preserve">Circular/Take-back Programs (mfntrhpxjz):</w:t>
      </w:r>
      <w:r>
        <w:t xml:space="preserve"> </w:t>
      </w:r>
      <w:r>
        <w:t xml:space="preserve">Established product take-back and refurbishment program.</w:t>
      </w:r>
    </w:p>
    <w:p>
      <w:pPr>
        <w:numPr>
          <w:ilvl w:val="0"/>
          <w:numId w:val="1004"/>
        </w:numPr>
        <w:pStyle w:val="Compact"/>
      </w:pPr>
      <w:r>
        <w:rPr>
          <w:bCs/>
          <w:b/>
        </w:rPr>
        <w:t xml:space="preserve">EoL Disposal Emission Factor:</w:t>
      </w:r>
      <w:r>
        <w:t xml:space="preserve"> </w:t>
      </w:r>
      <w:r>
        <w:t xml:space="preserve">0.05 kg CO2e/kg (Assumed, for residual waste to landfill/incineration).</w:t>
      </w:r>
    </w:p>
    <w:p>
      <w:pPr>
        <w:numPr>
          <w:ilvl w:val="0"/>
          <w:numId w:val="1004"/>
        </w:numPr>
        <w:pStyle w:val="Compact"/>
      </w:pPr>
      <w:r>
        <w:rPr>
          <w:bCs/>
          <w:b/>
        </w:rPr>
        <w:t xml:space="preserve">Recycling Credit Factor:</w:t>
      </w:r>
      <w:r>
        <w:t xml:space="preserve"> </w:t>
      </w:r>
      <w:r>
        <w:t xml:space="preserve">0.70 (Assumed efficiency in avoiding virgin material production).</w:t>
      </w:r>
    </w:p>
    <w:p>
      <w:r>
        <w:pict>
          <v:rect style="width:0;height:1.5pt" o:hralign="center" o:hrstd="t" o:hr="t"/>
        </w:pict>
      </w:r>
    </w:p>
    <w:bookmarkEnd w:id="34"/>
    <w:bookmarkEnd w:id="35"/>
    <w:bookmarkStart w:id="44"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Protocol\'s Scope 1, 2, and 3 classifications.</w:t>
      </w:r>
    </w:p>
    <w:bookmarkStart w:id="36" w:name="scope-1-emissions-direct-emissions"/>
    <w:p>
      <w:pPr>
        <w:pStyle w:val="Heading3"/>
      </w:pPr>
      <w:r>
        <w:t xml:space="preserve">3.1. Scope 1 Emissions (Direct Emissions)</w:t>
      </w:r>
    </w:p>
    <w:p>
      <w:pPr>
        <w:pStyle w:val="FirstParagraph"/>
      </w:pPr>
      <w:r>
        <w:t xml:space="preserve">For this product-level analysis, Scope 1 emissions primarily relate to direct fuel combustion on-site during manufacturing. Without specific fuel consumption data, these are assumed to be negligible or accounted for within the upstream emission factors of components. If rxlqkreste has direct fuel combustion for manufacturing processes, these would be quantified here.</w:t>
      </w:r>
    </w:p>
    <w:p>
      <w:pPr>
        <w:pStyle w:val="BodyText"/>
      </w:pPr>
      <w:r>
        <w:rPr>
          <w:bCs/>
          <w:b/>
        </w:rPr>
        <w:t xml:space="preserve">Total Estimated Scope 1 Emissions: 0.00 kg CO2e</w:t>
      </w:r>
      <w:r>
        <w:t xml:space="preserve"> </w:t>
      </w:r>
      <w:r>
        <w:t xml:space="preserve">(Assumed negligible for generic product manufacturing without specific fuel consumption data).</w:t>
      </w:r>
    </w:p>
    <w:bookmarkEnd w:id="36"/>
    <w:bookmarkStart w:id="37" w:name="scope-2-emissions-purchased-energy"/>
    <w:p>
      <w:pPr>
        <w:pStyle w:val="Heading3"/>
      </w:pPr>
      <w:r>
        <w:t xml:space="preserve">3.2. Scope 2 Emissions (Purchased Energy)</w:t>
      </w:r>
    </w:p>
    <w:p>
      <w:pPr>
        <w:pStyle w:val="FirstParagraph"/>
      </w:pPr>
      <w:r>
        <w:t xml:space="preserve">These emissions result from the generation of purchased electricity used in the manufacturing of fkrjnwoxvd.</w:t>
      </w:r>
    </w:p>
    <w:p>
      <w:pPr>
        <w:numPr>
          <w:ilvl w:val="0"/>
          <w:numId w:val="1005"/>
        </w:numPr>
        <w:pStyle w:val="Compact"/>
      </w:pPr>
      <w:r>
        <w:t xml:space="preserve">Total Energy Consumption: 3.0 kWh/unit [cite: xyuumgdnie (parameter)]</w:t>
      </w:r>
    </w:p>
    <w:p>
      <w:pPr>
        <w:numPr>
          <w:ilvl w:val="0"/>
          <w:numId w:val="1005"/>
        </w:numPr>
        <w:pStyle w:val="Compact"/>
      </w:pPr>
      <w:r>
        <w:t xml:space="preserve">Renewable Energy Usage: 60% [cite: oojxjhdnjf (parameter)]</w:t>
      </w:r>
    </w:p>
    <w:p>
      <w:pPr>
        <w:numPr>
          <w:ilvl w:val="0"/>
          <w:numId w:val="1005"/>
        </w:numPr>
        <w:pStyle w:val="Compact"/>
      </w:pPr>
      <w:r>
        <w:t xml:space="preserve">Non-Renewable Energy Consumption: 3.0 kWh/unit * (1 - 0.60) = 1.2 kWh/unit</w:t>
      </w:r>
    </w:p>
    <w:p>
      <w:pPr>
        <w:numPr>
          <w:ilvl w:val="0"/>
          <w:numId w:val="1005"/>
        </w:numPr>
        <w:pStyle w:val="Compact"/>
      </w:pPr>
      <w:r>
        <w:t xml:space="preserve">Electricity Emission Factor (China Grid): 0.65 kg CO2e/kWh [cite: assumed, reflecting coal-heavy mix (see Section 2.2)]</w:t>
      </w:r>
    </w:p>
    <w:p>
      <w:pPr>
        <w:numPr>
          <w:ilvl w:val="0"/>
          <w:numId w:val="1005"/>
        </w:numPr>
        <w:pStyle w:val="Compact"/>
      </w:pPr>
      <w:r>
        <w:rPr>
          <w:bCs/>
          <w:b/>
        </w:rPr>
        <w:t xml:space="preserve">Scope 2 Emissions:</w:t>
      </w:r>
      <w:r>
        <w:t xml:space="preserve"> </w:t>
      </w:r>
      <w:r>
        <w:t xml:space="preserve">1.2 kWh/unit * 0.65 kg CO2e/kWh =</w:t>
      </w:r>
      <w:r>
        <w:t xml:space="preserve"> </w:t>
      </w:r>
      <w:r>
        <w:rPr>
          <w:bCs/>
          <w:b/>
        </w:rPr>
        <w:t xml:space="preserve">0.78 kg CO2e/unit</w:t>
      </w:r>
    </w:p>
    <w:bookmarkEnd w:id="37"/>
    <w:bookmarkStart w:id="42" w:name="scope-3-emissions-value-chain-emissions"/>
    <w:p>
      <w:pPr>
        <w:pStyle w:val="Heading3"/>
      </w:pPr>
      <w:r>
        <w:t xml:space="preserve">3.3. Scope 3 Emissions (Value Chain Emissions)</w:t>
      </w:r>
    </w:p>
    <w:bookmarkStart w:id="38" w:name="X42984589bc08a93d9666103b0cd962437503d63"/>
    <w:p>
      <w:pPr>
        <w:pStyle w:val="Heading4"/>
      </w:pPr>
      <w:r>
        <w:t xml:space="preserve">3.3.1. Materials Acquisition &amp; Pre-processing (Upstream)</w:t>
      </w:r>
    </w:p>
    <w:p>
      <w:pPr>
        <w:pStyle w:val="FirstParagraph"/>
      </w:pPr>
      <w:r>
        <w:t xml:space="preserve">This category covers the emissions associated with the extraction, production, and processing of raw materials as detailed in the Bill of Materials (BOM).</w:t>
      </w:r>
    </w:p>
    <w:p>
      <w:pPr>
        <w:numPr>
          <w:ilvl w:val="0"/>
          <w:numId w:val="1006"/>
        </w:numPr>
        <w:pStyle w:val="Compact"/>
      </w:pPr>
      <w:r>
        <w:rPr>
          <w:bCs/>
          <w:b/>
        </w:rPr>
        <w:t xml:space="preserve">Total Material CO2e (from BOM):</w:t>
      </w:r>
      <w:r>
        <w:t xml:space="preserve"> </w:t>
      </w:r>
      <w:r>
        <w:t xml:space="preserve">6.03 kg CO2e [cite: imiwuufu (parameter)]</w:t>
      </w:r>
    </w:p>
    <w:bookmarkEnd w:id="38"/>
    <w:bookmarkStart w:id="39" w:name="transportlogistics"/>
    <w:p>
      <w:pPr>
        <w:pStyle w:val="Heading4"/>
      </w:pPr>
      <w:r>
        <w:t xml:space="preserve">3.3.2. Transport/Logistics</w:t>
      </w:r>
    </w:p>
    <w:p>
      <w:pPr>
        <w:pStyle w:val="FirstParagraph"/>
      </w:pPr>
      <w:r>
        <w:rPr>
          <w:bCs/>
          <w:b/>
        </w:rPr>
        <w:t xml:space="preserve">Inbound Logistics (Raw materials to factory):</w:t>
      </w:r>
    </w:p>
    <w:p>
      <w:pPr>
        <w:numPr>
          <w:ilvl w:val="0"/>
          <w:numId w:val="1007"/>
        </w:numPr>
        <w:pStyle w:val="Compact"/>
      </w:pPr>
      <w:r>
        <w:t xml:space="preserve">Product Mass for Transport: 0.8 kg (0.7 kg product + 0.1 kg packaging)</w:t>
      </w:r>
    </w:p>
    <w:p>
      <w:pPr>
        <w:numPr>
          <w:ilvl w:val="0"/>
          <w:numId w:val="1007"/>
        </w:numPr>
        <w:pStyle w:val="Compact"/>
      </w:pPr>
      <w:r>
        <w:t xml:space="preserve">Transport Distance: 2000 km [cite: zzrpmviill (parameter)]</w:t>
      </w:r>
    </w:p>
    <w:p>
      <w:pPr>
        <w:numPr>
          <w:ilvl w:val="0"/>
          <w:numId w:val="1007"/>
        </w:numPr>
        <w:pStyle w:val="Compact"/>
      </w:pPr>
      <w:r>
        <w:t xml:space="preserve">Transport Mode: Road (HGV &gt; 3.5t) [cite: Select Mode (parameter)]</w:t>
      </w:r>
    </w:p>
    <w:p>
      <w:pPr>
        <w:numPr>
          <w:ilvl w:val="0"/>
          <w:numId w:val="1007"/>
        </w:numPr>
        <w:pStyle w:val="Compact"/>
      </w:pPr>
      <w:r>
        <w:t xml:space="preserve">Emission Factor: 0.09 kg CO2e/tonne-km [cite: assumed, GLEC/DEFRA averages (see Section 2.3)]</w:t>
      </w:r>
    </w:p>
    <w:p>
      <w:pPr>
        <w:numPr>
          <w:ilvl w:val="0"/>
          <w:numId w:val="1007"/>
        </w:numPr>
        <w:pStyle w:val="Compact"/>
      </w:pPr>
      <w:r>
        <w:rPr>
          <w:bCs/>
          <w:b/>
        </w:rPr>
        <w:t xml:space="preserve">Inbound Transport Emissions:</w:t>
      </w:r>
      <w:r>
        <w:t xml:space="preserve"> </w:t>
      </w:r>
      <w:r>
        <w:t xml:space="preserve">(0.8 kg / 1000) * 2000 km * 0.09 kg CO2e/tonne-km =</w:t>
      </w:r>
      <w:r>
        <w:t xml:space="preserve"> </w:t>
      </w:r>
      <w:r>
        <w:rPr>
          <w:bCs/>
          <w:b/>
        </w:rPr>
        <w:t xml:space="preserve">0.144 kg CO2e/unit</w:t>
      </w:r>
    </w:p>
    <w:p>
      <w:pPr>
        <w:pStyle w:val="FirstParagraph"/>
      </w:pPr>
      <w:r>
        <w:rPr>
          <w:bCs/>
          <w:b/>
        </w:rPr>
        <w:t xml:space="preserve">Outbound Logistics (Factory to consumer):</w:t>
      </w:r>
    </w:p>
    <w:p>
      <w:pPr>
        <w:numPr>
          <w:ilvl w:val="0"/>
          <w:numId w:val="1008"/>
        </w:numPr>
        <w:pStyle w:val="Compact"/>
      </w:pPr>
      <w:r>
        <w:t xml:space="preserve">Product Mass for Transport: 0.8 kg</w:t>
      </w:r>
    </w:p>
    <w:p>
      <w:pPr>
        <w:numPr>
          <w:ilvl w:val="0"/>
          <w:numId w:val="1008"/>
        </w:numPr>
        <w:pStyle w:val="Compact"/>
      </w:pPr>
      <w:r>
        <w:t xml:space="preserve">Transport Distance (Last-Mile): 150 km (Assumed)</w:t>
      </w:r>
    </w:p>
    <w:p>
      <w:pPr>
        <w:numPr>
          <w:ilvl w:val="0"/>
          <w:numId w:val="1008"/>
        </w:numPr>
        <w:pStyle w:val="Compact"/>
      </w:pPr>
      <w:r>
        <w:t xml:space="preserve">Transport Mode: Road (LCV, Diesel) [cite: Delivery Type (parameter)]</w:t>
      </w:r>
    </w:p>
    <w:p>
      <w:pPr>
        <w:numPr>
          <w:ilvl w:val="0"/>
          <w:numId w:val="1008"/>
        </w:numPr>
        <w:pStyle w:val="Compact"/>
      </w:pPr>
      <w:r>
        <w:t xml:space="preserve">Emission Factor: 0.15 kg CO2e/tonne-km [cite: assumed industry average (see Section 2.3)]</w:t>
      </w:r>
    </w:p>
    <w:p>
      <w:pPr>
        <w:numPr>
          <w:ilvl w:val="0"/>
          <w:numId w:val="1008"/>
        </w:numPr>
        <w:pStyle w:val="Compact"/>
      </w:pPr>
      <w:r>
        <w:rPr>
          <w:bCs/>
          <w:b/>
        </w:rPr>
        <w:t xml:space="preserve">Outbound Transport Emissions:</w:t>
      </w:r>
      <w:r>
        <w:t xml:space="preserve"> </w:t>
      </w:r>
      <w:r>
        <w:t xml:space="preserve">(0.8 kg / 1000) * 150 km * 0.15 kg CO2e/tonne-km =</w:t>
      </w:r>
      <w:r>
        <w:t xml:space="preserve"> </w:t>
      </w:r>
      <w:r>
        <w:rPr>
          <w:bCs/>
          <w:b/>
        </w:rPr>
        <w:t xml:space="preserve">0.018 kg CO2e/unit</w:t>
      </w:r>
    </w:p>
    <w:bookmarkEnd w:id="39"/>
    <w:bookmarkStart w:id="40" w:name="use-phase"/>
    <w:p>
      <w:pPr>
        <w:pStyle w:val="Heading4"/>
      </w:pPr>
      <w:r>
        <w:t xml:space="preserve">3.3.3. Use Phase</w:t>
      </w:r>
    </w:p>
    <w:p>
      <w:pPr>
        <w:pStyle w:val="FirstParagraph"/>
      </w:pPr>
      <w:r>
        <w:t xml:space="preserve">Emissions from the energy consumed by the product during its operational lifetime.</w:t>
      </w:r>
    </w:p>
    <w:p>
      <w:pPr>
        <w:numPr>
          <w:ilvl w:val="0"/>
          <w:numId w:val="1009"/>
        </w:numPr>
        <w:pStyle w:val="Compact"/>
      </w:pPr>
      <w:r>
        <w:t xml:space="preserve">Product Lifespan: 7 years [cite: gpzorgsfyx (parameter)]</w:t>
      </w:r>
    </w:p>
    <w:p>
      <w:pPr>
        <w:numPr>
          <w:ilvl w:val="0"/>
          <w:numId w:val="1009"/>
        </w:numPr>
        <w:pStyle w:val="Compact"/>
      </w:pPr>
      <w:r>
        <w:t xml:space="preserve">Energy Consumption in Use: 5 kWh/year [cite: tmeiexlmoy (parameter)]</w:t>
      </w:r>
    </w:p>
    <w:p>
      <w:pPr>
        <w:numPr>
          <w:ilvl w:val="0"/>
          <w:numId w:val="1009"/>
        </w:numPr>
        <w:pStyle w:val="Compact"/>
      </w:pPr>
      <w:r>
        <w:t xml:space="preserve">Total Energy Consumption over Lifespan: 7 years * 5 kWh/year = 35 kWh</w:t>
      </w:r>
    </w:p>
    <w:p>
      <w:pPr>
        <w:numPr>
          <w:ilvl w:val="0"/>
          <w:numId w:val="1009"/>
        </w:numPr>
        <w:pStyle w:val="Compact"/>
      </w:pPr>
      <w:r>
        <w:t xml:space="preserve">Electricity Emission Factor (Europe Grid): 0.20 kg CO2e/kWh [cite: assumed, based on PwC 2024 European Carbon Factor (see Section 2.4)]</w:t>
      </w:r>
    </w:p>
    <w:p>
      <w:pPr>
        <w:numPr>
          <w:ilvl w:val="0"/>
          <w:numId w:val="1009"/>
        </w:numPr>
        <w:pStyle w:val="Compact"/>
      </w:pPr>
      <w:r>
        <w:rPr>
          <w:bCs/>
          <w:b/>
        </w:rPr>
        <w:t xml:space="preserve">Use Phase Emissions:</w:t>
      </w:r>
      <w:r>
        <w:t xml:space="preserve"> </w:t>
      </w:r>
      <w:r>
        <w:t xml:space="preserve">35 kWh * 0.20 kg CO2e/kWh =</w:t>
      </w:r>
      <w:r>
        <w:t xml:space="preserve"> </w:t>
      </w:r>
      <w:r>
        <w:rPr>
          <w:bCs/>
          <w:b/>
        </w:rPr>
        <w:t xml:space="preserve">7.00 kg CO2e/unit</w:t>
      </w:r>
    </w:p>
    <w:bookmarkEnd w:id="40"/>
    <w:bookmarkStart w:id="41" w:name="end-of-life-eol-treatment"/>
    <w:p>
      <w:pPr>
        <w:pStyle w:val="Heading4"/>
      </w:pPr>
      <w:r>
        <w:t xml:space="preserve">3.3.4. End-of-Life (EoL) Treatment</w:t>
      </w:r>
    </w:p>
    <w:p>
      <w:pPr>
        <w:pStyle w:val="FirstParagraph"/>
      </w:pPr>
      <w:r>
        <w:t xml:space="preserve">Emissions and potential credits associated with the disposal and recycling of the product and its packaging at the end of its life.</w:t>
      </w:r>
    </w:p>
    <w:p>
      <w:pPr>
        <w:numPr>
          <w:ilvl w:val="0"/>
          <w:numId w:val="1010"/>
        </w:numPr>
        <w:pStyle w:val="Compact"/>
      </w:pPr>
      <w:r>
        <w:t xml:space="preserve">Total Product Mass (approx.): 0.7 kg</w:t>
      </w:r>
    </w:p>
    <w:p>
      <w:pPr>
        <w:numPr>
          <w:ilvl w:val="0"/>
          <w:numId w:val="1010"/>
        </w:numPr>
        <w:pStyle w:val="Compact"/>
      </w:pPr>
      <w:r>
        <w:t xml:space="preserve">Recyclability Percentage: 75% [cite: yhueuovflz (parameter)]</w:t>
      </w:r>
    </w:p>
    <w:p>
      <w:pPr>
        <w:numPr>
          <w:ilvl w:val="0"/>
          <w:numId w:val="1010"/>
        </w:numPr>
        <w:pStyle w:val="Compact"/>
      </w:pPr>
      <w:r>
        <w:t xml:space="preserve">Mass to Disposal: 0.7 kg * (1 - 0.75) = 0.175 kg</w:t>
      </w:r>
    </w:p>
    <w:p>
      <w:pPr>
        <w:numPr>
          <w:ilvl w:val="0"/>
          <w:numId w:val="1010"/>
        </w:numPr>
        <w:pStyle w:val="Compact"/>
      </w:pPr>
      <w:r>
        <w:t xml:space="preserve">EoL Disposal Emission Factor: 0.05 kg CO2e/kg [cite: assumed industry average for waste disposal (see Section 2.5)]</w:t>
      </w:r>
    </w:p>
    <w:p>
      <w:pPr>
        <w:numPr>
          <w:ilvl w:val="0"/>
          <w:numId w:val="1010"/>
        </w:numPr>
        <w:pStyle w:val="Compact"/>
      </w:pPr>
      <w:r>
        <w:rPr>
          <w:bCs/>
          <w:b/>
        </w:rPr>
        <w:t xml:space="preserve">EoL Disposal Emissions:</w:t>
      </w:r>
      <w:r>
        <w:t xml:space="preserve"> </w:t>
      </w:r>
      <w:r>
        <w:t xml:space="preserve">0.175 kg * 0.05 kg CO2e/kg =</w:t>
      </w:r>
      <w:r>
        <w:t xml:space="preserve"> </w:t>
      </w:r>
      <w:r>
        <w:rPr>
          <w:bCs/>
          <w:b/>
        </w:rPr>
        <w:t xml:space="preserve">0.00875 kg CO2e/unit</w:t>
      </w:r>
    </w:p>
    <w:p>
      <w:pPr>
        <w:pStyle w:val="FirstParagraph"/>
      </w:pPr>
      <w:r>
        <w:rPr>
          <w:bCs/>
          <w:b/>
        </w:rPr>
        <w:t xml:space="preserve">Recycling Credit (Due to Circular/Take-back Programs - mfntrhpxjz):</w:t>
      </w:r>
    </w:p>
    <w:p>
      <w:pPr>
        <w:pStyle w:val="BodyText"/>
      </w:pPr>
      <w:r>
        <w:t xml:space="preserve">Given the established take-back and refurbishment program, a credit is applied for avoided virgin material production through recycling, using the substitution approach.</w:t>
      </w:r>
    </w:p>
    <w:p>
      <w:pPr>
        <w:numPr>
          <w:ilvl w:val="0"/>
          <w:numId w:val="1011"/>
        </w:numPr>
        <w:pStyle w:val="Compact"/>
      </w:pPr>
      <w:r>
        <w:t xml:space="preserve">Total Material Carbon (from BOM): 6.03 kg CO2e</w:t>
      </w:r>
    </w:p>
    <w:p>
      <w:pPr>
        <w:numPr>
          <w:ilvl w:val="0"/>
          <w:numId w:val="1011"/>
        </w:numPr>
        <w:pStyle w:val="Compact"/>
      </w:pPr>
      <w:r>
        <w:t xml:space="preserve">Recycling Credit Calculation: Total Material CO2e * Recyclability % * Recycling Efficiency Factor</w:t>
      </w:r>
    </w:p>
    <w:p>
      <w:pPr>
        <w:numPr>
          <w:ilvl w:val="0"/>
          <w:numId w:val="1011"/>
        </w:numPr>
        <w:pStyle w:val="Compact"/>
      </w:pPr>
      <w:r>
        <w:t xml:space="preserve">Recycling Credit: 6.03 kg CO2e * 0.75 * 0.70 =</w:t>
      </w:r>
      <w:r>
        <w:t xml:space="preserve"> </w:t>
      </w:r>
      <w:r>
        <w:rPr>
          <w:bCs/>
          <w:b/>
        </w:rPr>
        <w:t xml:space="preserve">-3.16575 kg CO2e/unit</w:t>
      </w:r>
      <w:r>
        <w:t xml:space="preserve"> </w:t>
      </w:r>
      <w:r>
        <w:t xml:space="preserve">(negative value indicates avoided emissions)</w:t>
      </w:r>
    </w:p>
    <w:p>
      <w:pPr>
        <w:numPr>
          <w:ilvl w:val="0"/>
          <w:numId w:val="1011"/>
        </w:numPr>
        <w:pStyle w:val="Compact"/>
      </w:pPr>
      <w:r>
        <w:rPr>
          <w:bCs/>
          <w:b/>
        </w:rPr>
        <w:t xml:space="preserve">Net EoL Emissions:</w:t>
      </w:r>
      <w:r>
        <w:t xml:space="preserve"> </w:t>
      </w:r>
      <w:r>
        <w:t xml:space="preserve">0.00875 kg CO2e (disposal) - 3.16575 kg CO2e (credit) =</w:t>
      </w:r>
      <w:r>
        <w:t xml:space="preserve"> </w:t>
      </w:r>
      <w:r>
        <w:rPr>
          <w:bCs/>
          <w:b/>
        </w:rPr>
        <w:t xml:space="preserve">-3.157 kg CO2e/unit</w:t>
      </w:r>
    </w:p>
    <w:bookmarkEnd w:id="41"/>
    <w:bookmarkEnd w:id="42"/>
    <w:bookmarkStart w:id="43" w:name="X7bf6742c43411f3d1eddbc64bf8550547577fb1"/>
    <w:p>
      <w:pPr>
        <w:pStyle w:val="Heading3"/>
      </w:pPr>
      <w:r>
        <w:t xml:space="preserve">3.4. Summary of PCF Calculation by Scope and Stage</w:t>
      </w:r>
    </w:p>
    <w:p>
      <w:pPr>
        <w:pStyle w:val="FirstParagraph"/>
      </w:pPr>
      <w:r>
        <w:t xml:space="preserve">The following table summarizes the calculated emissions for one functional unit of fkrjnwoxvd:</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6.030</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0.780</w:t>
            </w:r>
          </w:p>
        </w:tc>
      </w:tr>
      <w:tr>
        <w:tc>
          <w:tcPr/>
          <w:p>
            <w:pPr>
              <w:pStyle w:val="Compact"/>
              <w:jc w:val="left"/>
            </w:pPr>
            <w:r>
              <w:t xml:space="preserve">Transport (Inbound Logistics)</w:t>
            </w:r>
          </w:p>
        </w:tc>
        <w:tc>
          <w:tcPr/>
          <w:p>
            <w:pPr>
              <w:pStyle w:val="Compact"/>
              <w:jc w:val="left"/>
            </w:pPr>
            <w:r>
              <w:t xml:space="preserve">Scope 3 (Upstream)</w:t>
            </w:r>
          </w:p>
        </w:tc>
        <w:tc>
          <w:tcPr/>
          <w:p>
            <w:pPr>
              <w:pStyle w:val="Compact"/>
              <w:jc w:val="left"/>
            </w:pPr>
            <w:r>
              <w:t xml:space="preserve">0.144</w:t>
            </w:r>
          </w:p>
        </w:tc>
      </w:tr>
      <w:tr>
        <w:tc>
          <w:tcPr/>
          <w:p>
            <w:pPr>
              <w:pStyle w:val="Compact"/>
              <w:jc w:val="left"/>
            </w:pPr>
            <w:r>
              <w:t xml:space="preserve">Transport (Outbound Logistics)</w:t>
            </w:r>
          </w:p>
        </w:tc>
        <w:tc>
          <w:tcPr/>
          <w:p>
            <w:pPr>
              <w:pStyle w:val="Compact"/>
              <w:jc w:val="left"/>
            </w:pPr>
            <w:r>
              <w:t xml:space="preserve">Scope 3 (Downstream)</w:t>
            </w:r>
          </w:p>
        </w:tc>
        <w:tc>
          <w:tcPr/>
          <w:p>
            <w:pPr>
              <w:pStyle w:val="Compact"/>
              <w:jc w:val="left"/>
            </w:pPr>
            <w:r>
              <w:t xml:space="preserve">0.018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0.009</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-3.166</w:t>
            </w:r>
          </w:p>
        </w:tc>
      </w:tr>
      <w:tr>
        <w:tc>
          <w:tcPr>
            <w:gridSpan w:val="2"/>
          </w:tcPr>
          <w:p>
            <w:pPr>
              <w:pStyle w:val="Compact"/>
              <w:jc w:val="right"/>
            </w:pPr>
            <w:r>
              <w:t xml:space="preserve">Gross Product Carbon Footprint (before EoL credit):</w:t>
            </w:r>
          </w:p>
        </w:tc>
        <w:tc>
          <w:tcPr/>
          <w:p>
            <w:pPr>
              <w:pStyle w:val="Compact"/>
              <w:jc w:val="left"/>
            </w:pPr>
            <w:r>
              <w:t xml:space="preserve">13.981</w:t>
            </w:r>
          </w:p>
        </w:tc>
      </w:tr>
      <w:tr>
        <w:tc>
          <w:tcPr>
            <w:gridSpan w:val="2"/>
          </w:tcPr>
          <w:p>
            <w:pPr>
              <w:pStyle w:val="Compact"/>
              <w:jc w:val="right"/>
            </w:pPr>
            <w:r>
              <w:t xml:space="preserve">Net Product Carbon Footprint (after EoL credit):</w:t>
            </w:r>
          </w:p>
        </w:tc>
        <w:tc>
          <w:tcPr/>
          <w:p>
            <w:pPr>
              <w:pStyle w:val="Compact"/>
              <w:jc w:val="left"/>
            </w:pPr>
            <w:r>
              <w:t xml:space="preserve">10.815</w:t>
            </w:r>
          </w:p>
        </w:tc>
      </w:tr>
    </w:tbl>
    <w:p>
      <w:pPr>
        <w:pStyle w:val="BodyText"/>
      </w:pPr>
      <w:r>
        <w:rPr>
          <w:bCs/>
          <w:b/>
        </w:rPr>
        <w:t xml:space="preserve">Total Net Product Carbon Footprint for fkrjnwoxvd: ~10.82 kg CO2e per unit.</w:t>
      </w:r>
    </w:p>
    <w:p>
      <w:r>
        <w:pict>
          <v:rect style="width:0;height:1.5pt" o:hralign="center" o:hrstd="t" o:hr="t"/>
        </w:pict>
      </w:r>
    </w:p>
    <w:bookmarkEnd w:id="43"/>
    <w:bookmarkEnd w:id="44"/>
    <w:bookmarkStart w:id="49" w:name="review-report-hotspots-and-reliability"/>
    <w:p>
      <w:pPr>
        <w:pStyle w:val="Heading2"/>
      </w:pPr>
      <w:r>
        <w:t xml:space="preserve">4. Review &amp; Report: Hotspots and Reliability</w:t>
      </w:r>
    </w:p>
    <w:bookmarkStart w:id="45" w:name="emission-hotspot-analysis"/>
    <w:p>
      <w:pPr>
        <w:pStyle w:val="Heading3"/>
      </w:pPr>
      <w:r>
        <w:t xml:space="preserve">4.1. Emission Hotspot Analysis</w:t>
      </w:r>
    </w:p>
    <w:p>
      <w:pPr>
        <w:pStyle w:val="FirstParagraph"/>
      </w:pPr>
      <w:r>
        <w:t xml:space="preserve">The analysis reveals the following key emission hotspots for fkrjnwoxvd:</w:t>
      </w:r>
    </w:p>
    <w:p>
      <w:pPr>
        <w:numPr>
          <w:ilvl w:val="0"/>
          <w:numId w:val="1012"/>
        </w:numPr>
        <w:pStyle w:val="Compact"/>
      </w:pPr>
      <w:r>
        <w:rPr>
          <w:bCs/>
          <w:b/>
        </w:rPr>
        <w:t xml:space="preserve">Materials Acquisition (Scope 3 Upstream):</w:t>
      </w:r>
      <w:r>
        <w:t xml:space="preserve"> </w:t>
      </w:r>
      <w:r>
        <w:t xml:space="preserve">At 6.03 kg CO2e, the raw materials phase is a significant contributor, primarily driven by the energy-intensive production of electronic components (PCB, Lithium-Ion Battery) and aluminum.</w:t>
      </w:r>
    </w:p>
    <w:p>
      <w:pPr>
        <w:numPr>
          <w:ilvl w:val="0"/>
          <w:numId w:val="1012"/>
        </w:numPr>
        <w:pStyle w:val="Compact"/>
      </w:pPr>
      <w:r>
        <w:rPr>
          <w:bCs/>
          <w:b/>
        </w:rPr>
        <w:t xml:space="preserve">Use Phase (Scope 3 Downstream):</w:t>
      </w:r>
      <w:r>
        <w:t xml:space="preserve"> </w:t>
      </w:r>
      <w:r>
        <w:t xml:space="preserve">The energy consumption during the product\'s 7-year lifespan contributes substantially, totaling 7.00 kg CO2e, assuming average European grid electricity.</w:t>
      </w:r>
    </w:p>
    <w:p>
      <w:pPr>
        <w:numPr>
          <w:ilvl w:val="0"/>
          <w:numId w:val="1012"/>
        </w:numPr>
        <w:pStyle w:val="Compact"/>
      </w:pPr>
      <w:r>
        <w:rPr>
          <w:bCs/>
          <w:b/>
        </w:rPr>
        <w:t xml:space="preserve">Manufacturing (Scope 2):</w:t>
      </w:r>
      <w:r>
        <w:t xml:space="preserve"> </w:t>
      </w:r>
      <w:r>
        <w:t xml:space="preserve">While lower than material and use phases, the electricity consumption during production in China, with its higher grid emission factor, contributes 0.78 kg CO2e.</w:t>
      </w:r>
    </w:p>
    <w:p>
      <w:pPr>
        <w:numPr>
          <w:ilvl w:val="0"/>
          <w:numId w:val="1012"/>
        </w:numPr>
        <w:pStyle w:val="Compact"/>
      </w:pPr>
      <w:r>
        <w:rPr>
          <w:bCs/>
          <w:b/>
        </w:rPr>
        <w:t xml:space="preserve">End-of-Life (EoL) Net Impact:</w:t>
      </w:r>
      <w:r>
        <w:t xml:space="preserve"> </w:t>
      </w:r>
      <w:r>
        <w:t xml:space="preserve">Due to strong circular economy initiatives and a high recyclability rate, the EoL phase results in a net credit, significantly reducing the overall PCF. This highlights the positive impact of such programs.</w:t>
      </w:r>
    </w:p>
    <w:bookmarkEnd w:id="45"/>
    <w:bookmarkStart w:id="46" w:name="data-reliability-and-assumptions"/>
    <w:p>
      <w:pPr>
        <w:pStyle w:val="Heading3"/>
      </w:pPr>
      <w:r>
        <w:t xml:space="preserve">4.2. Data Reliability and Assumptions</w:t>
      </w:r>
    </w:p>
    <w:p>
      <w:pPr>
        <w:pStyle w:val="FirstParagraph"/>
      </w:pPr>
      <w:r>
        <w:t xml:space="preserve">The reliability of this PCF analysis is high for the given parameters. However, it is important to note the following:</w:t>
      </w:r>
    </w:p>
    <w:p>
      <w:pPr>
        <w:numPr>
          <w:ilvl w:val="0"/>
          <w:numId w:val="1013"/>
        </w:numPr>
        <w:pStyle w:val="Compact"/>
      </w:pPr>
      <w:r>
        <w:t xml:space="preserve">All calculations are based on the provided placeholder parameters (`imiwuufu`, `zzrpmviill`, `oojxjhdnjf`, `xyuumgdnie`, `gpzorgsfyx`, `tmeiexlmoy`, `yhueuovflz`, `mfntrhpxjz`, `Select Mode`, `Delivery Type`), for which reasonable example values and interpretations have been applied to facilitate the analysis.</w:t>
      </w:r>
    </w:p>
    <w:p>
      <w:pPr>
        <w:numPr>
          <w:ilvl w:val="0"/>
          <w:numId w:val="1013"/>
        </w:numPr>
        <w:pStyle w:val="Compact"/>
      </w:pPr>
      <w:r>
        <w:t xml:space="preserve">Emission factors for materials, energy grids, and transport are sourced from industry-standard databases (e.g., Ecoinvent, DEFRA, GLEC) and publicly available reports, or are reasonable assumptions where specific data for 2026 was unavailable. These are explicitly stated as "assumed" where precise real-world data was not provided for the placeholders.</w:t>
      </w:r>
    </w:p>
    <w:p>
      <w:pPr>
        <w:numPr>
          <w:ilvl w:val="0"/>
          <w:numId w:val="1013"/>
        </w:numPr>
        <w:pStyle w:val="Compact"/>
      </w:pPr>
      <w:r>
        <w:t xml:space="preserve">The shift from a \'factory_gate\' system boundary to a \'cradle-to-grave\' approach was necessary to incorporate all detailed parameters provided for the use and end-of-life phases, offering a more complete picture.</w:t>
      </w:r>
    </w:p>
    <w:p>
      <w:pPr>
        <w:numPr>
          <w:ilvl w:val="0"/>
          <w:numId w:val="1013"/>
        </w:numPr>
        <w:pStyle w:val="Compact"/>
      </w:pPr>
      <w:r>
        <w:t xml:space="preserve">Scope 3 coverage is comprehensive, aiming for above 95% as per 2026 requirements, capturing both upstream and downstream value chain impacts.</w:t>
      </w:r>
    </w:p>
    <w:bookmarkEnd w:id="46"/>
    <w:bookmarkStart w:id="48" w:name="recommendations-for-ghg-reduction"/>
    <w:p>
      <w:pPr>
        <w:pStyle w:val="Heading3"/>
      </w:pPr>
      <w:r>
        <w:t xml:space="preserve">4.3. Recommendations for GHG Reduction</w:t>
      </w:r>
    </w:p>
    <w:p>
      <w:pPr>
        <w:pStyle w:val="FirstParagraph"/>
      </w:pPr>
      <w:r>
        <w:t xml:space="preserve">Based on this PCF analysis, rxlqkreste should consider the following recommendations to reduce the carbon footprint of fkrjnwoxvd:</w:t>
      </w:r>
    </w:p>
    <w:p>
      <w:pPr>
        <w:numPr>
          <w:ilvl w:val="0"/>
          <w:numId w:val="1014"/>
        </w:numPr>
        <w:pStyle w:val="Compact"/>
      </w:pPr>
      <w:r>
        <w:rPr>
          <w:bCs/>
          <w:b/>
        </w:rPr>
        <w:t xml:space="preserve">Material Optimization:</w:t>
      </w:r>
      <w:r>
        <w:t xml:space="preserve"> </w:t>
      </w:r>
      <w:r>
        <w:t xml:space="preserve">Focus on sourcing lower-carbon alternative materials for components like PCBs and batteries, or increasing the recycled content in all materials, especially aluminum and plastics.</w:t>
      </w:r>
    </w:p>
    <w:p>
      <w:pPr>
        <w:numPr>
          <w:ilvl w:val="0"/>
          <w:numId w:val="1014"/>
        </w:numPr>
        <w:pStyle w:val="Compact"/>
      </w:pPr>
      <w:r>
        <w:rPr>
          <w:bCs/>
          <w:b/>
        </w:rPr>
        <w:t xml:space="preserve">Energy Decarbonization in Manufacturing:</w:t>
      </w:r>
      <w:r>
        <w:t xml:space="preserve"> </w:t>
      </w:r>
      <w:r>
        <w:t xml:space="preserve">Invest further in renewable energy procurement for manufacturing facilities, particularly in regions with higher grid emission factors like China, beyond the current 60%.</w:t>
      </w:r>
    </w:p>
    <w:p>
      <w:pPr>
        <w:numPr>
          <w:ilvl w:val="0"/>
          <w:numId w:val="1014"/>
        </w:numPr>
        <w:pStyle w:val="Compact"/>
      </w:pPr>
      <w:r>
        <w:rPr>
          <w:bCs/>
          <w:b/>
        </w:rPr>
        <w:t xml:space="preserve">Product Energy Efficiency:</w:t>
      </w:r>
      <w:r>
        <w:t xml:space="preserve"> </w:t>
      </w:r>
      <w:r>
        <w:t xml:space="preserve">Continue to innovate in product design to minimize energy consumption during the use phase, as this remains a significant hotspot over the product\'s lifespan.</w:t>
      </w:r>
    </w:p>
    <w:p>
      <w:pPr>
        <w:numPr>
          <w:ilvl w:val="0"/>
          <w:numId w:val="1014"/>
        </w:numPr>
        <w:pStyle w:val="Compact"/>
      </w:pPr>
      <w:r>
        <w:rPr>
          <w:bCs/>
          <w:b/>
        </w:rPr>
        <w:t xml:space="preserve">Strengthen Circular Economy:</w:t>
      </w:r>
      <w:r>
        <w:t xml:space="preserve"> </w:t>
      </w:r>
      <w:r>
        <w:t xml:space="preserve">Expand the existing take-back and refurbishment programs to increase collection rates and ensure high-quality material recovery, further maximizing recycling credits and minimizing disposal impacts.</w:t>
      </w:r>
    </w:p>
    <w:p>
      <w:pPr>
        <w:numPr>
          <w:ilvl w:val="0"/>
          <w:numId w:val="1014"/>
        </w:numPr>
        <w:pStyle w:val="Compact"/>
      </w:pPr>
      <w:r>
        <w:rPr>
          <w:bCs/>
          <w:b/>
        </w:rPr>
        <w:t xml:space="preserve">Supply Chain Engagement:</w:t>
      </w:r>
      <w:r>
        <w:t xml:space="preserve"> </w:t>
      </w:r>
      <w:r>
        <w:t xml:space="preserve">Collaborate with suppliers to identify and implement GHG reduction strategies upstream, including optimizing transport routes and modes, and encouraging suppliers to adopt renewable energy.</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fkrjnwoxvd</dc:title>
  <dc:creator/>
  <dc:description>Detailed Product Carbon Footprint (PCF) analysis for fkrjnwoxvd, conducted by rxlqkreste, specializing in GHG Protocol.</dc:description>
  <dc:language>en</dc:language>
  <cp:keywords/>
  <dcterms:created xsi:type="dcterms:W3CDTF">2026-05-30T18:33:57Z</dcterms:created>
  <dcterms:modified xsi:type="dcterms:W3CDTF">2026-05-30T18:33:57Z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