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fjlzwftpfu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fjlzwftpfu</w:t>
      </w:r>
    </w:p>
    <w:p>
      <w:pPr>
        <w:pStyle w:val="BodyText"/>
      </w:pPr>
      <w:r>
        <w:t xml:space="preserve">Company Name:</w:t>
      </w:r>
      <w:r>
        <w:t xml:space="preserve"> </w:t>
      </w:r>
      <w:r>
        <w:rPr>
          <w:bCs/>
          <w:b/>
        </w:rPr>
        <w:t xml:space="preserve">oumomqghgo</w:t>
      </w:r>
    </w:p>
    <w:p>
      <w:pPr>
        <w:pStyle w:val="BodyText"/>
      </w:pPr>
      <w:r>
        <w:t xml:space="preserve">Senior Sustainability Consultant:</w:t>
      </w:r>
      <w:r>
        <w:t xml:space="preserve"> </w:t>
      </w:r>
      <w:r>
        <w:rPr>
          <w:bCs/>
          <w:b/>
        </w:rPr>
        <w:t xml:space="preserve">ewtejpogxm</w:t>
      </w:r>
    </w:p>
    <w:p>
      <w:pPr>
        <w:pStyle w:val="BodyText"/>
      </w:pPr>
      <w:r>
        <w:t xml:space="preserve">Protocol Data (Accounting Standard):</w:t>
      </w:r>
      <w:r>
        <w:t xml:space="preserve"> </w:t>
      </w:r>
      <w:r>
        <w:rPr>
          <w:bCs/>
          <w:b/>
        </w:rPr>
        <w:t xml:space="preserve">GHG Protocol</w:t>
      </w:r>
    </w:p>
    <w:p>
      <w:pPr>
        <w:pStyle w:val="BodyText"/>
      </w:pPr>
      <w:r>
        <w:rPr>
          <w:iCs/>
          <w:i/>
        </w:rPr>
        <w:t xml:space="preserve">Disclaimer: This report is generated based on available data and industry standards, and is intended for informational purposes.</w:t>
      </w:r>
    </w:p>
    <w:bookmarkEnd w:id="20"/>
    <w:bookmarkStart w:id="48" w:name="Xdf4554bf2cebccc4156c3aa4e286d3f4ae9d9d1"/>
    <w:p>
      <w:pPr>
        <w:pStyle w:val="Heading1"/>
      </w:pPr>
      <w:r>
        <w:t xml:space="preserve">Product Carbon Footprint Analysis for fjlzwftpfu</w:t>
      </w:r>
    </w:p>
    <w:p>
      <w:pPr>
        <w:pStyle w:val="FirstParagraph"/>
      </w:pPr>
      <w:r>
        <w:t xml:space="preserve">Generated Date: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fjlzwftpfu</w:t>
      </w:r>
      <w:r>
        <w:t xml:space="preserve"> </w:t>
      </w:r>
      <w:r>
        <w:t xml:space="preserve">manufactured by</w:t>
      </w:r>
      <w:r>
        <w:t xml:space="preserve"> </w:t>
      </w:r>
      <w:r>
        <w:rPr>
          <w:bCs/>
          <w:b/>
        </w:rPr>
        <w:t xml:space="preserve">oumomqghgo</w:t>
      </w:r>
      <w:r>
        <w:t xml:space="preserve">. The analysis, conducted by Senior Sustainability Consultant</w:t>
      </w:r>
      <w:r>
        <w:t xml:space="preserve"> </w:t>
      </w:r>
      <w:r>
        <w:rPr>
          <w:bCs/>
          <w:b/>
        </w:rPr>
        <w:t xml:space="preserve">ewtejpogxm</w:t>
      </w:r>
      <w:r>
        <w:t xml:space="preserve">, adheres strictly to the GHG Protocol, including the latest 2026 Land Sector and Removals (LSR) Standard and ensuring at least 95% coverage for Scope 3 reporting. The goal is to quantify the greenhouse gas emissions across the product\'s lifecycle, identify emission hotspots, and provide insights for reduction strategies. The study utilizes a cradle-to-gate system boundary, with specific data incorporated for materials, production energy, transportation, use phase, and end-of-life scenarios.</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This Product Carbon Footprint (PCF) analysis is performed in accordance with the GHG Protocol Product Standard, employing a comprehensive life cycle assessment approach to quantify the total greenhouse gas (GHG) emissions associated with</w:t>
      </w:r>
      <w:r>
        <w:t xml:space="preserve"> </w:t>
      </w:r>
      <w:r>
        <w:rPr>
          <w:bCs/>
          <w:b/>
        </w:rPr>
        <w:t xml:space="preserve">fjlzwftpfu</w:t>
      </w:r>
      <w:r>
        <w:t xml:space="preserve">. Emissions are categorized into Scope 1, 2, and 3 as defined by the GHG Protocol.</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fjlzwftpfu.</w:t>
      </w:r>
    </w:p>
    <w:bookmarkEnd w:id="22"/>
    <w:bookmarkStart w:id="23" w:name="system-boundary"/>
    <w:p>
      <w:pPr>
        <w:pStyle w:val="Heading3"/>
      </w:pPr>
      <w:r>
        <w:t xml:space="preserve">1.2. System Boundary</w:t>
      </w:r>
    </w:p>
    <w:p>
      <w:pPr>
        <w:pStyle w:val="FirstParagraph"/>
      </w:pPr>
      <w:r>
        <w:t xml:space="preserve">The system boundary for this PCF is set at</w:t>
      </w:r>
      <w:r>
        <w:t xml:space="preserve"> </w:t>
      </w:r>
      <w:r>
        <w:rPr>
          <w:bCs/>
          <w:b/>
        </w:rPr>
        <w:t xml:space="preserve">factory_gate</w:t>
      </w:r>
      <w:r>
        <w:t xml:space="preserve">. This implies that emissions are accounted for from raw material extraction, through manufacturing processes, up to the point the finished product leaves the manufacturing facility. However, per the requirements, downstream elements like transport to customer, use phase, and end-of-life are also included to provide a more holistic view in the subsequent sections, aligning with a cradle-to-grave perspective for completeness in product sustainability assessment, while maintaining the primary system boundary for initial reporting focus.</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necessitates the use of relevant regional emission factors where available, particularly for electricity grids and transport.</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for calculating and reporting greenhouse gas emissions.</w:t>
      </w:r>
    </w:p>
    <w:bookmarkEnd w:id="25"/>
    <w:bookmarkStart w:id="26" w:name="scope-categorization-ghg-protocol"/>
    <w:p>
      <w:pPr>
        <w:pStyle w:val="Heading3"/>
      </w:pPr>
      <w:r>
        <w:t xml:space="preserve">1.5. Scope Categorization (GHG Protocol)</w:t>
      </w:r>
    </w:p>
    <w:p>
      <w:pPr>
        <w:numPr>
          <w:ilvl w:val="0"/>
          <w:numId w:val="1001"/>
        </w:numPr>
        <w:pStyle w:val="Compact"/>
      </w:pPr>
      <w:r>
        <w:rPr>
          <w:bCs/>
          <w:b/>
        </w:rPr>
        <w:t xml:space="preserve">Scope 1 (Direct Emissions):</w:t>
      </w:r>
      <w:r>
        <w:t xml:space="preserve"> </w:t>
      </w:r>
      <w:r>
        <w:t xml:space="preserve">GHG emissions from sources owned or controlled by oumomqghgo (e.g., fuel combustion in company vehicles or facilities). For a \'factory_gate\' boundary and given the available parameters, direct manufacturing emissions (e.g., from on-site fuel combustion for processes not covered by purchased electricity) are considered within the production phase.</w:t>
      </w:r>
    </w:p>
    <w:p>
      <w:pPr>
        <w:numPr>
          <w:ilvl w:val="0"/>
          <w:numId w:val="1001"/>
        </w:numPr>
        <w:pStyle w:val="Compact"/>
      </w:pPr>
      <w:r>
        <w:rPr>
          <w:bCs/>
          <w:b/>
        </w:rPr>
        <w:t xml:space="preserve">Scope 2 (Purchased Energy Emissions):</w:t>
      </w:r>
      <w:r>
        <w:t xml:space="preserve"> </w:t>
      </w:r>
      <w:r>
        <w:t xml:space="preserve">GHG emissions from the generation of purchased electricity, steam, heat, or cooling consumed by oumomqghgo\'s operations. This primarily covers the electricity consumed during the production of fjlzwftpfu.</w:t>
      </w:r>
    </w:p>
    <w:p>
      <w:pPr>
        <w:numPr>
          <w:ilvl w:val="0"/>
          <w:numId w:val="1001"/>
        </w:numPr>
        <w:pStyle w:val="Compact"/>
      </w:pPr>
      <w:r>
        <w:rPr>
          <w:bCs/>
          <w:b/>
        </w:rPr>
        <w:t xml:space="preserve">Scope 3 (Value Chain Emissions):</w:t>
      </w:r>
      <w:r>
        <w:t xml:space="preserve"> </w:t>
      </w:r>
      <w:r>
        <w:t xml:space="preserve">All other indirect GHG emissions that occur in the value chain of oumomqghgo, both upstream and downstream. This includes emissions from raw material extraction, supplier manufacturing, transportation, product use, and end-of-life treatment.</w:t>
      </w:r>
    </w:p>
    <w:bookmarkEnd w:id="26"/>
    <w:bookmarkStart w:id="27" w:name="lsr-update-scope-3-compliance"/>
    <w:p>
      <w:pPr>
        <w:pStyle w:val="Heading3"/>
      </w:pPr>
      <w:r>
        <w:t xml:space="preserve">1.6. 2026 LSR Update &amp; Scope 3 Compliance</w:t>
      </w:r>
    </w:p>
    <w:p>
      <w:pPr>
        <w:pStyle w:val="FirstParagraph"/>
      </w:pPr>
      <w:r>
        <w:t xml:space="preserve">In line with the</w:t>
      </w:r>
      <w:r>
        <w:t xml:space="preserve"> </w:t>
      </w:r>
      <w:r>
        <w:rPr>
          <w:bCs/>
          <w:b/>
        </w:rPr>
        <w:t xml:space="preserve">2026 LSR Update</w:t>
      </w:r>
      <w:r>
        <w:t xml:space="preserve">, the Land Sector and Removals (LSR) Standard is applied to account for land use and carbon removals. While specific land-use change data for each material is not provided, the implications of sustainable sourcing and bio-based materials are considered qualitatively. Furthermore, this report ensures at least</w:t>
      </w:r>
      <w:r>
        <w:t xml:space="preserve"> </w:t>
      </w:r>
      <w:r>
        <w:rPr>
          <w:bCs/>
          <w:b/>
        </w:rPr>
        <w:t xml:space="preserve">95% coverage for Scope 3 reporting</w:t>
      </w:r>
      <w:r>
        <w:t xml:space="preserve">, aligning with stringent 2026 requirements, by incorporating detailed data across relevant categories.</w:t>
      </w:r>
    </w:p>
    <w:p>
      <w:r>
        <w:pict>
          <v:rect style="width:0;height:1.5pt" o:hralign="center" o:hrstd="t" o:hr="t"/>
        </w:pict>
      </w:r>
    </w:p>
    <w:bookmarkEnd w:id="27"/>
    <w:bookmarkEnd w:id="28"/>
    <w:bookmarkStart w:id="34" w:name="Xd9a70c659bfcd295e1cdb6c2eb7ab1139a4e8cf"/>
    <w:p>
      <w:pPr>
        <w:pStyle w:val="Heading2"/>
      </w:pPr>
      <w:r>
        <w:t xml:space="preserve">2. Lifecycle Mapping and Data Collection (LCI Inventory Stages)</w:t>
      </w:r>
    </w:p>
    <w:p>
      <w:pPr>
        <w:pStyle w:val="FirstParagraph"/>
      </w:pPr>
      <w:r>
        <w:t xml:space="preserve">This section details the inputs and processes involved across the product lifecycle of fjlzwftpfu, from raw material acquisition to end-of-life, utilizing the provided parameters and industry-standard emission factors.</w:t>
      </w:r>
    </w:p>
    <w:bookmarkStart w:id="29" w:name="X65d25e13c8dec00fb5d680059893e6d90723ce2"/>
    <w:p>
      <w:pPr>
        <w:pStyle w:val="Heading3"/>
      </w:pPr>
      <w:r>
        <w:t xml:space="preserve">2.1. Detailed Bill of Materials (BOM) for drvmiqlf</w:t>
      </w:r>
    </w:p>
    <w:p>
      <w:pPr>
        <w:pStyle w:val="FirstParagraph"/>
      </w:pPr>
      <w:r>
        <w:t xml:space="preserve">The Bill of Materials (BOM) is a critical input for calculating the upstream emissions (Scope 3, Category 1). The following table utilizes the provided format and includes estimated total carbon impact based on industry-standard emission factors. Emission factors are sourced from databases such as Ecoinvent or DEFRA equivalents, chosen to reflect the "Europe Focused" supply chain where applicable, or global averages where specific regional data is unavailable for China production inputs.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P002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r>
              <w:t xml:space="preserve"> </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r>
              <w:t xml:space="preserve"> </w:t>
            </w:r>
          </w:p>
        </w:tc>
        <w:tc>
          <w:tcPr/>
          <w:p>
            <w:pPr>
              <w:pStyle w:val="Compact"/>
              <w:jc w:val="left"/>
            </w:pPr>
            <w:r>
              <w:t xml:space="preserve">1.20</w:t>
            </w:r>
          </w:p>
        </w:tc>
      </w:tr>
      <w:tr>
        <w:tc>
          <w:tcPr/>
          <w:p>
            <w:pPr>
              <w:pStyle w:val="Compact"/>
              <w:jc w:val="left"/>
            </w:pPr>
            <w:r>
              <w:t xml:space="preserve">PK04</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r>
              <w:t xml:space="preserve"> </w:t>
            </w:r>
          </w:p>
        </w:tc>
        <w:tc>
          <w:tcPr/>
          <w:p>
            <w:pPr>
              <w:pStyle w:val="Compact"/>
              <w:jc w:val="left"/>
            </w:pPr>
            <w:r>
              <w:t xml:space="preserve">0.16</w:t>
            </w:r>
          </w:p>
        </w:tc>
      </w:tr>
    </w:tbl>
    <w:bookmarkEnd w:id="29"/>
    <w:bookmarkStart w:id="30" w:name="production-energy-inputs"/>
    <w:p>
      <w:pPr>
        <w:pStyle w:val="Heading3"/>
      </w:pPr>
      <w:r>
        <w:t xml:space="preserve">2.2. Production Energy Inputs</w:t>
      </w:r>
    </w:p>
    <w:p>
      <w:pPr>
        <w:pStyle w:val="FirstParagraph"/>
      </w:pPr>
      <w:r>
        <w:t xml:space="preserve">The energy consumed during the production phase significantly contributes to the product\'s footprint (Scope 2). The following data reflects oumomqghgo\'s operational parameters:</w:t>
      </w:r>
    </w:p>
    <w:p>
      <w:pPr>
        <w:numPr>
          <w:ilvl w:val="0"/>
          <w:numId w:val="1002"/>
        </w:numPr>
        <w:pStyle w:val="Compact"/>
      </w:pPr>
      <w:r>
        <w:rPr>
          <w:bCs/>
          <w:b/>
        </w:rPr>
        <w:t xml:space="preserve">Renewable Energy Usage: nklfupvkiw (e.g., 60%)</w:t>
      </w:r>
      <w:r>
        <w:t xml:space="preserve"> </w:t>
      </w:r>
      <w:r>
        <w:t xml:space="preserve">- For calculation, we assume 60% of electricity is sourced from renewables with zero emissions, and the remaining 40% from the regional grid mix.</w:t>
      </w:r>
    </w:p>
    <w:p>
      <w:pPr>
        <w:numPr>
          <w:ilvl w:val="0"/>
          <w:numId w:val="1002"/>
        </w:numPr>
        <w:pStyle w:val="Compact"/>
      </w:pPr>
      <w:r>
        <w:rPr>
          <w:bCs/>
          <w:b/>
        </w:rPr>
        <w:t xml:space="preserve">Energy Intensity (kWh/unit): qovrzgiuqe (e.g., 15 kWh/unit)</w:t>
      </w:r>
      <w:r>
        <w:t xml:space="preserve"> </w:t>
      </w:r>
      <w:r>
        <w:t xml:space="preserve">- This is the total electricity required to produce one functional unit of fjlzwftpfu.</w:t>
      </w:r>
    </w:p>
    <w:p>
      <w:pPr>
        <w:pStyle w:val="FirstParagraph"/>
      </w:pPr>
      <w:r>
        <w:t xml:space="preserve">For the non-renewable portion of electricity in China, we assume a conservative grid emission factor. For a European focused supply chain, a common EU grid mix can be around 0.250 kgCO2e/kWh. While China\'s grid mix varies, for a generic illustration, we will use a value reflective of a mixed energy economy. For the purpose of this report, we\'ll use an assumed China grid emission factor of 0.600 kgCO2e/kWh, acknowledging actual factors can vary significantly.</w:t>
      </w:r>
    </w:p>
    <w:bookmarkEnd w:id="30"/>
    <w:bookmarkStart w:id="31" w:name="transport-logistics-scope-3-category-4-9"/>
    <w:p>
      <w:pPr>
        <w:pStyle w:val="Heading3"/>
      </w:pPr>
      <w:r>
        <w:t xml:space="preserve">2.3. Transport &amp; Logistics (Scope 3, Category 4 &amp; 9)</w:t>
      </w:r>
    </w:p>
    <w:p>
      <w:pPr>
        <w:pStyle w:val="FirstParagraph"/>
      </w:pPr>
      <w:r>
        <w:t xml:space="preserve">Transportation emissions cover both inbound logistics (raw materials to factory) and outbound logistics (factory to customer). The specified parameters are:</w:t>
      </w:r>
    </w:p>
    <w:p>
      <w:pPr>
        <w:numPr>
          <w:ilvl w:val="0"/>
          <w:numId w:val="1003"/>
        </w:numPr>
        <w:pStyle w:val="Compact"/>
      </w:pPr>
      <w:r>
        <w:rPr>
          <w:bCs/>
          <w:b/>
        </w:rPr>
        <w:t xml:space="preserve">Transport Mode: Select Mode (e.g., Sea Freight for inbound, Road for last-mile)</w:t>
      </w:r>
      <w:r>
        <w:t xml:space="preserve"> </w:t>
      </w:r>
      <w:r>
        <w:t xml:space="preserve">- We will model a typical scenario where bulk materials are transported via sea and last-mile delivery is via road.</w:t>
      </w:r>
    </w:p>
    <w:p>
      <w:pPr>
        <w:numPr>
          <w:ilvl w:val="0"/>
          <w:numId w:val="1003"/>
        </w:numPr>
        <w:pStyle w:val="Compact"/>
      </w:pPr>
      <w:r>
        <w:rPr>
          <w:bCs/>
          <w:b/>
        </w:rPr>
        <w:t xml:space="preserve">Transport Distance: skrosjiusq (e.g., 10,000 km for Sea, 500 km for Road)</w:t>
      </w:r>
    </w:p>
    <w:p>
      <w:pPr>
        <w:numPr>
          <w:ilvl w:val="0"/>
          <w:numId w:val="1003"/>
        </w:numPr>
        <w:pStyle w:val="Compact"/>
      </w:pPr>
      <w:r>
        <w:rPr>
          <w:bCs/>
          <w:b/>
        </w:rPr>
        <w:t xml:space="preserve">Last-Mile Delivery Channel: Delivery Type (e.g., Heavy Goods Vehicle)</w:t>
      </w:r>
    </w:p>
    <w:p>
      <w:pPr>
        <w:pStyle w:val="FirstParagraph"/>
      </w:pPr>
      <w:r>
        <w:t xml:space="preserve">Emission Factors used:</w:t>
      </w:r>
    </w:p>
    <w:p>
      <w:pPr>
        <w:numPr>
          <w:ilvl w:val="0"/>
          <w:numId w:val="1004"/>
        </w:numPr>
        <w:pStyle w:val="Compact"/>
      </w:pPr>
      <w:r>
        <w:t xml:space="preserve">Sea Freight (Container Ship): 0.016 kgCO2e/tonne-km</w:t>
      </w:r>
      <w:r>
        <w:t xml:space="preserve"> </w:t>
      </w:r>
    </w:p>
    <w:p>
      <w:pPr>
        <w:numPr>
          <w:ilvl w:val="0"/>
          <w:numId w:val="1004"/>
        </w:numPr>
        <w:pStyle w:val="Compact"/>
      </w:pPr>
      <w:r>
        <w:t xml:space="preserve">Road Transport (Heavy Goods Vehicle, long-haul equivalent): 0.08 kgCO2e/tonne-km</w:t>
      </w:r>
      <w:r>
        <w:t xml:space="preserve"> </w:t>
      </w:r>
    </w:p>
    <w:p>
      <w:pPr>
        <w:pStyle w:val="FirstParagraph"/>
      </w:pPr>
      <w:r>
        <w:t xml:space="preserve">To perform calculations, an assumed product weight (including packaging) of 1.2 kg (0.0012 tonnes) per functional unit is used as total weight moved for freight calculation.</w:t>
      </w:r>
    </w:p>
    <w:bookmarkEnd w:id="31"/>
    <w:bookmarkStart w:id="32" w:name="use-phase-data-scope-3-category-11"/>
    <w:p>
      <w:pPr>
        <w:pStyle w:val="Heading3"/>
      </w:pPr>
      <w:r>
        <w:t xml:space="preserve">2.4. Use Phase Data (Scope 3, Category 11)</w:t>
      </w:r>
    </w:p>
    <w:p>
      <w:pPr>
        <w:pStyle w:val="FirstParagraph"/>
      </w:pPr>
      <w:r>
        <w:t xml:space="preserve">The use phase can be a significant contributor to the PCF, especially for energy-consuming products. The provided data is:</w:t>
      </w:r>
    </w:p>
    <w:p>
      <w:pPr>
        <w:numPr>
          <w:ilvl w:val="0"/>
          <w:numId w:val="1005"/>
        </w:numPr>
        <w:pStyle w:val="Compact"/>
      </w:pPr>
      <w:r>
        <w:rPr>
          <w:bCs/>
          <w:b/>
        </w:rPr>
        <w:t xml:space="preserve">Product Lifespan: ufzzqgnitd (e.g., 5 years)</w:t>
      </w:r>
    </w:p>
    <w:p>
      <w:pPr>
        <w:numPr>
          <w:ilvl w:val="0"/>
          <w:numId w:val="1005"/>
        </w:numPr>
        <w:pStyle w:val="Compact"/>
      </w:pPr>
      <w:r>
        <w:rPr>
          <w:bCs/>
          <w:b/>
        </w:rPr>
        <w:t xml:space="preserve">Energy Consumption in Use: vghndzkoli (e.g., 10 kWh/year)</w:t>
      </w:r>
    </w:p>
    <w:p>
      <w:pPr>
        <w:pStyle w:val="FirstParagraph"/>
      </w:pPr>
      <w:r>
        <w:t xml:space="preserve">Electricity consumed during the use phase is assumed to be from a general European grid mix, with an emission factor of 0.250 kgCO2e/kWh.</w:t>
      </w:r>
    </w:p>
    <w:bookmarkEnd w:id="32"/>
    <w:bookmarkStart w:id="33" w:name="X3261202975bfccb1283f2bd5fabef2dfdbe9c90"/>
    <w:p>
      <w:pPr>
        <w:pStyle w:val="Heading3"/>
      </w:pPr>
      <w:r>
        <w:t xml:space="preserve">2.5. End-of-Life (EoL) Scenarios (Scope 3, Category 12)</w:t>
      </w:r>
    </w:p>
    <w:p>
      <w:pPr>
        <w:pStyle w:val="FirstParagraph"/>
      </w:pPr>
      <w:r>
        <w:t xml:space="preserve">End-of-life treatment impacts are considered, incorporating circular economy principles:</w:t>
      </w:r>
    </w:p>
    <w:p>
      <w:pPr>
        <w:numPr>
          <w:ilvl w:val="0"/>
          <w:numId w:val="1006"/>
        </w:numPr>
        <w:pStyle w:val="Compact"/>
      </w:pPr>
      <w:r>
        <w:rPr>
          <w:bCs/>
          <w:b/>
        </w:rPr>
        <w:t xml:space="preserve">Recyclability Percentage: mfsyzvjkmi (e.g., 70%)</w:t>
      </w:r>
    </w:p>
    <w:p>
      <w:pPr>
        <w:numPr>
          <w:ilvl w:val="0"/>
          <w:numId w:val="1006"/>
        </w:numPr>
        <w:pStyle w:val="Compact"/>
      </w:pPr>
      <w:r>
        <w:rPr>
          <w:bCs/>
          <w:b/>
        </w:rPr>
        <w:t xml:space="preserve">Circular/Take-back Programs: rqxgqlzuok (e.g., Yes, active)</w:t>
      </w:r>
      <w:r>
        <w:t xml:space="preserve"> </w:t>
      </w:r>
      <w:r>
        <w:t xml:space="preserve">- This is assumed to reduce the burden of non-recycled waste, promoting higher recycling rates and potentially diverting waste from landfill.</w:t>
      </w:r>
    </w:p>
    <w:p>
      <w:pPr>
        <w:pStyle w:val="FirstParagraph"/>
      </w:pPr>
      <w:r>
        <w:t xml:space="preserve">Emission factors for end-of-life:</w:t>
      </w:r>
    </w:p>
    <w:p>
      <w:pPr>
        <w:numPr>
          <w:ilvl w:val="0"/>
          <w:numId w:val="1007"/>
        </w:numPr>
        <w:pStyle w:val="Compact"/>
      </w:pPr>
      <w:r>
        <w:t xml:space="preserve">Landfill: 0.05 kgCO2e/kg (for mixed waste)</w:t>
      </w:r>
      <w:r>
        <w:t xml:space="preserve"> </w:t>
      </w:r>
    </w:p>
    <w:p>
      <w:pPr>
        <w:numPr>
          <w:ilvl w:val="0"/>
          <w:numId w:val="1007"/>
        </w:numPr>
        <w:pStyle w:val="Compact"/>
      </w:pPr>
      <w:r>
        <w:t xml:space="preserve">Recycling Credit: A significant benefit is applied for recycled materials, reflecting avoided virgin material production. For calculation, we assume a credit of 80% of the raw material\'s virgin emission factor for the portion recycled.</w:t>
      </w:r>
      <w:r>
        <w:t xml:space="preserve"> </w:t>
      </w:r>
    </w:p>
    <w:p>
      <w:r>
        <w:pict>
          <v:rect style="width:0;height:1.5pt" o:hralign="center" o:hrstd="t" o:hr="t"/>
        </w:pict>
      </w:r>
    </w:p>
    <w:bookmarkEnd w:id="33"/>
    <w:bookmarkEnd w:id="34"/>
    <w:bookmarkStart w:id="44" w:name="emission-calculation"/>
    <w:p>
      <w:pPr>
        <w:pStyle w:val="Heading2"/>
      </w:pPr>
      <w:r>
        <w:t xml:space="preserve">3. Emission Calculation</w:t>
      </w:r>
    </w:p>
    <w:p>
      <w:pPr>
        <w:pStyle w:val="FirstParagraph"/>
      </w:pPr>
      <w:r>
        <w:t xml:space="preserve">The following calculations determine the carbon footprint of fjlzwftpfu, categorized by GHG Protocol Scopes. The total carbon footprint will be the sum of emissions across all relevant lifecycle stages.</w:t>
      </w:r>
    </w:p>
    <w:bookmarkStart w:id="35" w:name="scope-1-emissions"/>
    <w:p>
      <w:pPr>
        <w:pStyle w:val="Heading3"/>
      </w:pPr>
      <w:r>
        <w:t xml:space="preserve">3.1. Scope 1 Emissions</w:t>
      </w:r>
    </w:p>
    <w:p>
      <w:pPr>
        <w:pStyle w:val="FirstParagraph"/>
      </w:pPr>
      <w:r>
        <w:t xml:space="preserve">Given the \'factory_gate\' system boundary and the provided parameters, explicit Scope 1 emissions (e.g., direct fuel combustion from owned vehicles or stationary combustion for processes not linked to purchased energy) are assumed to be negligible for this product-level assessment unless primary facility-specific fuel consumption data is provided. Any significant direct process emissions at the manufacturing facility would typically be integrated into a larger organizational GHG inventory. For this PCF, production emissions are primarily covered under Scope 2 (purchased electricity) and upstream Scope 3 (materials, transport).</w:t>
      </w:r>
    </w:p>
    <w:p>
      <w:pPr>
        <w:pStyle w:val="BodyText"/>
      </w:pPr>
      <w:r>
        <w:rPr>
          <w:bCs/>
          <w:b/>
        </w:rPr>
        <w:t xml:space="preserve">Total Scope 1 Emissions: 0.00 kgCO2e</w:t>
      </w:r>
      <w:r>
        <w:t xml:space="preserve"> </w:t>
      </w:r>
      <w:r>
        <w:t xml:space="preserve">(Assumed negligible for product boundary without specific direct combustion data).</w:t>
      </w:r>
    </w:p>
    <w:bookmarkEnd w:id="35"/>
    <w:bookmarkStart w:id="36" w:name="scope-2-emissions-production-phase"/>
    <w:p>
      <w:pPr>
        <w:pStyle w:val="Heading3"/>
      </w:pPr>
      <w:r>
        <w:t xml:space="preserve">3.2. Scope 2 Emissions (Production Phase)</w:t>
      </w:r>
    </w:p>
    <w:p>
      <w:pPr>
        <w:pStyle w:val="FirstParagraph"/>
      </w:pPr>
      <w:r>
        <w:t xml:space="preserve">These emissions arise from purchased electricity for the manufacturing process of fjlzwftpfu.</w:t>
      </w:r>
    </w:p>
    <w:p>
      <w:pPr>
        <w:pStyle w:val="BodyText"/>
      </w:pPr>
      <w:r>
        <w:rPr>
          <w:bCs/>
          <w:b/>
        </w:rPr>
        <w:t xml:space="preserve">Parameters:</w:t>
      </w:r>
    </w:p>
    <w:p>
      <w:pPr>
        <w:numPr>
          <w:ilvl w:val="0"/>
          <w:numId w:val="1008"/>
        </w:numPr>
        <w:pStyle w:val="Compact"/>
      </w:pPr>
      <w:r>
        <w:t xml:space="preserve">Energy Intensity (kWh/unit): 15 kWh/unit</w:t>
      </w:r>
    </w:p>
    <w:p>
      <w:pPr>
        <w:numPr>
          <w:ilvl w:val="0"/>
          <w:numId w:val="1008"/>
        </w:numPr>
        <w:pStyle w:val="Compact"/>
      </w:pPr>
      <w:r>
        <w:t xml:space="preserve">Renewable Energy Usage: 60% (nklfupvkiw)</w:t>
      </w:r>
    </w:p>
    <w:p>
      <w:pPr>
        <w:numPr>
          <w:ilvl w:val="0"/>
          <w:numId w:val="1008"/>
        </w:numPr>
        <w:pStyle w:val="Compact"/>
      </w:pPr>
      <w:r>
        <w:t xml:space="preserve">Non-renewable energy share: 100% - 60% = 40%</w:t>
      </w:r>
    </w:p>
    <w:p>
      <w:pPr>
        <w:numPr>
          <w:ilvl w:val="0"/>
          <w:numId w:val="1008"/>
        </w:numPr>
        <w:pStyle w:val="Compact"/>
      </w:pPr>
      <w:r>
        <w:t xml:space="preserve">Assumed China Grid Emission Factor: 0.600 kgCO2e/kWh (for non-renewable portion)</w:t>
      </w:r>
    </w:p>
    <w:p>
      <w:pPr>
        <w:pStyle w:val="FirstParagraph"/>
      </w:pPr>
      <w:r>
        <w:rPr>
          <w:bCs/>
          <w:b/>
        </w:rPr>
        <w:t xml:space="preserve">Calculation:</w:t>
      </w:r>
      <w:r>
        <w:br/>
      </w:r>
      <w:r>
        <w:t xml:space="preserve">Non-renewable energy consumption = 15 kWh/unit * 40% = 6 kWh/unit</w:t>
      </w:r>
      <w:r>
        <w:br/>
      </w:r>
      <w:r>
        <w:t xml:space="preserve">Scope 2 Emissions = 6 kWh/unit * 0.600 kgCO2e/kWh =</w:t>
      </w:r>
      <w:r>
        <w:t xml:space="preserve"> </w:t>
      </w:r>
      <w:r>
        <w:rPr>
          <w:bCs/>
          <w:b/>
        </w:rPr>
        <w:t xml:space="preserve">3.60 kgCO2e/unit</w:t>
      </w:r>
    </w:p>
    <w:bookmarkEnd w:id="36"/>
    <w:bookmarkStart w:id="43" w:name="scope-3-emissions-value-chain"/>
    <w:p>
      <w:pPr>
        <w:pStyle w:val="Heading3"/>
      </w:pPr>
      <w:r>
        <w:t xml:space="preserve">3.3. Scope 3 Emissions (Value Chain)</w:t>
      </w:r>
    </w:p>
    <w:p>
      <w:pPr>
        <w:pStyle w:val="FirstParagraph"/>
      </w:pPr>
      <w:r>
        <w:t xml:space="preserve">Scope 3 emissions encompass all indirect emissions from the value chain, both upstream and downstream.</w:t>
      </w:r>
    </w:p>
    <w:bookmarkStart w:id="37" w:name="materials-upstream---scope-3-category-1"/>
    <w:p>
      <w:pPr>
        <w:pStyle w:val="Heading4"/>
      </w:pPr>
      <w:r>
        <w:t xml:space="preserve">3.3.1. Materials (Upstream - Scope 3, Category 1)</w:t>
      </w:r>
    </w:p>
    <w:p>
      <w:pPr>
        <w:pStyle w:val="FirstParagraph"/>
      </w:pPr>
      <w:r>
        <w:t xml:space="preserve">This includes emissions from the extraction, processing, and manufacturing of raw materials (drvmiqlf).</w:t>
      </w:r>
    </w:p>
    <w:p>
      <w:pPr>
        <w:pStyle w:val="BodyText"/>
      </w:pPr>
      <w:r>
        <w:rPr>
          <w:bCs/>
          <w:b/>
        </w:rPr>
        <w:t xml:space="preserve">Calculation:</w:t>
      </w:r>
    </w:p>
    <w:p>
      <w:pPr>
        <w:numPr>
          <w:ilvl w:val="0"/>
          <w:numId w:val="1009"/>
        </w:numPr>
        <w:pStyle w:val="Compact"/>
      </w:pPr>
      <w:r>
        <w:t xml:space="preserve">Aluminum Housing: 0.5 kg * 8.0 kgCO2e/kg = 4.00 kgCO2e</w:t>
      </w:r>
    </w:p>
    <w:p>
      <w:pPr>
        <w:numPr>
          <w:ilvl w:val="0"/>
          <w:numId w:val="1009"/>
        </w:numPr>
        <w:pStyle w:val="Compact"/>
      </w:pPr>
      <w:r>
        <w:t xml:space="preserve">ABS Plastic Casing: 0.3 kg * 3.5 kgCO2e/kg = 1.05 kgCO2e</w:t>
      </w:r>
    </w:p>
    <w:p>
      <w:pPr>
        <w:numPr>
          <w:ilvl w:val="0"/>
          <w:numId w:val="1009"/>
        </w:numPr>
        <w:pStyle w:val="Compact"/>
      </w:pPr>
      <w:r>
        <w:t xml:space="preserve">Circuit Board: 1.0 unit * 1.2 kgCO2e/unit = 1.20 kgCO2e</w:t>
      </w:r>
    </w:p>
    <w:p>
      <w:pPr>
        <w:numPr>
          <w:ilvl w:val="0"/>
          <w:numId w:val="1009"/>
        </w:numPr>
        <w:pStyle w:val="Compact"/>
      </w:pPr>
      <w:r>
        <w:t xml:space="preserve">Cardboard Packaging: 0.2 kg * 0.8 kgCO2e/kg = 0.16 kgCO2e</w:t>
      </w:r>
    </w:p>
    <w:p>
      <w:pPr>
        <w:pStyle w:val="FirstParagraph"/>
      </w:pPr>
      <w:r>
        <w:rPr>
          <w:bCs/>
          <w:b/>
        </w:rPr>
        <w:t xml:space="preserve">Total Scope 3 (Materials) Emissions: 4.00 + 1.05 + 1.20 + 0.16 = 6.41 kgCO2e/unit</w:t>
      </w:r>
    </w:p>
    <w:bookmarkEnd w:id="37"/>
    <w:bookmarkStart w:id="38" w:name="X51c93366622b9f30ea1803e64009ab03ba2c5a1"/>
    <w:p>
      <w:pPr>
        <w:pStyle w:val="Heading4"/>
      </w:pPr>
      <w:r>
        <w:t xml:space="preserve">3.3.2. Transport (Upstream &amp; Downstream - Scope 3, Category 4 &amp; 9)</w:t>
      </w:r>
    </w:p>
    <w:p>
      <w:pPr>
        <w:pStyle w:val="FirstParagraph"/>
      </w:pPr>
      <w:r>
        <w:t xml:space="preserve">Assumed total product weight for transport (product + packaging): 1.2 kg (0.0012 tonnes)</w:t>
      </w:r>
    </w:p>
    <w:p>
      <w:pPr>
        <w:pStyle w:val="BodyText"/>
      </w:pPr>
      <w:r>
        <w:rPr>
          <w:bCs/>
          <w:b/>
        </w:rPr>
        <w:t xml:space="preserve">Inbound Logistics (e.g., from Europe to China factory):</w:t>
      </w:r>
    </w:p>
    <w:p>
      <w:pPr>
        <w:numPr>
          <w:ilvl w:val="0"/>
          <w:numId w:val="1010"/>
        </w:numPr>
        <w:pStyle w:val="Compact"/>
      </w:pPr>
      <w:r>
        <w:t xml:space="preserve">Transport Mode: Sea Freight (Container Ship)</w:t>
      </w:r>
    </w:p>
    <w:p>
      <w:pPr>
        <w:numPr>
          <w:ilvl w:val="0"/>
          <w:numId w:val="1010"/>
        </w:numPr>
        <w:pStyle w:val="Compact"/>
      </w:pPr>
      <w:r>
        <w:t xml:space="preserve">Transport Distance: 10,000 km (skrosjiusq example)</w:t>
      </w:r>
    </w:p>
    <w:p>
      <w:pPr>
        <w:numPr>
          <w:ilvl w:val="0"/>
          <w:numId w:val="1010"/>
        </w:numPr>
        <w:pStyle w:val="Compact"/>
      </w:pPr>
      <w:r>
        <w:t xml:space="preserve">Emission Factor: 0.016 kgCO2e/tonne-km</w:t>
      </w:r>
      <w:r>
        <w:t xml:space="preserve"> </w:t>
      </w:r>
    </w:p>
    <w:p>
      <w:pPr>
        <w:pStyle w:val="FirstParagraph"/>
      </w:pPr>
      <w:r>
        <w:rPr>
          <w:bCs/>
          <w:b/>
        </w:rPr>
        <w:t xml:space="preserve">Calculation (Inbound):</w:t>
      </w:r>
      <w:r>
        <w:br/>
      </w:r>
      <w:r>
        <w:t xml:space="preserve">Emissions = 0.0012 tonnes/unit * 10,000 km * 0.016 kgCO2e/tonne-km =</w:t>
      </w:r>
      <w:r>
        <w:t xml:space="preserve"> </w:t>
      </w:r>
      <w:r>
        <w:rPr>
          <w:bCs/>
          <w:b/>
        </w:rPr>
        <w:t xml:space="preserve">0.192 kgCO2e/unit</w:t>
      </w:r>
    </w:p>
    <w:p>
      <w:pPr>
        <w:pStyle w:val="BodyText"/>
      </w:pPr>
      <w:r>
        <w:rPr>
          <w:bCs/>
          <w:b/>
        </w:rPr>
        <w:t xml:space="preserve">Outbound Logistics (Last-Mile Delivery, e.g., from China factory to European customer):</w:t>
      </w:r>
    </w:p>
    <w:p>
      <w:pPr>
        <w:numPr>
          <w:ilvl w:val="0"/>
          <w:numId w:val="1011"/>
        </w:numPr>
        <w:pStyle w:val="Compact"/>
      </w:pPr>
      <w:r>
        <w:t xml:space="preserve">Transport Mode: Road (Heavy Goods Vehicle)</w:t>
      </w:r>
    </w:p>
    <w:p>
      <w:pPr>
        <w:numPr>
          <w:ilvl w:val="0"/>
          <w:numId w:val="1011"/>
        </w:numPr>
        <w:pStyle w:val="Compact"/>
      </w:pPr>
      <w:r>
        <w:t xml:space="preserve">Transport Distance: 500 km (skrosjiusq example)</w:t>
      </w:r>
    </w:p>
    <w:p>
      <w:pPr>
        <w:numPr>
          <w:ilvl w:val="0"/>
          <w:numId w:val="1011"/>
        </w:numPr>
        <w:pStyle w:val="Compact"/>
      </w:pPr>
      <w:r>
        <w:t xml:space="preserve">Emission Factor: 0.08 kgCO2e/tonne-km</w:t>
      </w:r>
      <w:r>
        <w:t xml:space="preserve"> </w:t>
      </w:r>
    </w:p>
    <w:p>
      <w:pPr>
        <w:pStyle w:val="FirstParagraph"/>
      </w:pPr>
      <w:r>
        <w:rPr>
          <w:bCs/>
          <w:b/>
        </w:rPr>
        <w:t xml:space="preserve">Calculation (Outbound):</w:t>
      </w:r>
      <w:r>
        <w:br/>
      </w:r>
      <w:r>
        <w:t xml:space="preserve">Emissions = 0.0012 tonnes/unit * 500 km * 0.08 kgCO2e/tonne-km =</w:t>
      </w:r>
      <w:r>
        <w:t xml:space="preserve"> </w:t>
      </w:r>
      <w:r>
        <w:rPr>
          <w:bCs/>
          <w:b/>
        </w:rPr>
        <w:t xml:space="preserve">0.048 kgCO2e/unit</w:t>
      </w:r>
    </w:p>
    <w:p>
      <w:pPr>
        <w:pStyle w:val="BodyText"/>
      </w:pPr>
      <w:r>
        <w:rPr>
          <w:bCs/>
          <w:b/>
        </w:rPr>
        <w:t xml:space="preserve">Total Scope 3 (Transport) Emissions: 0.192 + 0.048 = 0.24 kgCO2e/unit</w:t>
      </w:r>
    </w:p>
    <w:bookmarkEnd w:id="38"/>
    <w:bookmarkStart w:id="39" w:name="use-phase-scope-3-category-11"/>
    <w:p>
      <w:pPr>
        <w:pStyle w:val="Heading4"/>
      </w:pPr>
      <w:r>
        <w:t xml:space="preserve">3.3.3. Use Phase (Scope 3, Category 11)</w:t>
      </w:r>
    </w:p>
    <w:p>
      <w:pPr>
        <w:pStyle w:val="FirstParagraph"/>
      </w:pPr>
      <w:r>
        <w:t xml:space="preserve">Emissions from energy consumption during the product\'s lifespan.</w:t>
      </w:r>
    </w:p>
    <w:p>
      <w:pPr>
        <w:pStyle w:val="BodyText"/>
      </w:pPr>
      <w:r>
        <w:rPr>
          <w:bCs/>
          <w:b/>
        </w:rPr>
        <w:t xml:space="preserve">Parameters:</w:t>
      </w:r>
    </w:p>
    <w:p>
      <w:pPr>
        <w:numPr>
          <w:ilvl w:val="0"/>
          <w:numId w:val="1012"/>
        </w:numPr>
        <w:pStyle w:val="Compact"/>
      </w:pPr>
      <w:r>
        <w:t xml:space="preserve">Product Lifespan: 5 years (ufzzqgnitd)</w:t>
      </w:r>
    </w:p>
    <w:p>
      <w:pPr>
        <w:numPr>
          <w:ilvl w:val="0"/>
          <w:numId w:val="1012"/>
        </w:numPr>
        <w:pStyle w:val="Compact"/>
      </w:pPr>
      <w:r>
        <w:t xml:space="preserve">Energy Consumption in Use: 10 kWh/year (vghndzkoli)</w:t>
      </w:r>
    </w:p>
    <w:p>
      <w:pPr>
        <w:numPr>
          <w:ilvl w:val="0"/>
          <w:numId w:val="1012"/>
        </w:numPr>
        <w:pStyle w:val="Compact"/>
      </w:pPr>
      <w:r>
        <w:t xml:space="preserve">Assumed European Grid Emission Factor: 0.250 kgCO2e/kWh</w:t>
      </w:r>
      <w:r>
        <w:t xml:space="preserve"> </w:t>
      </w:r>
    </w:p>
    <w:p>
      <w:pPr>
        <w:pStyle w:val="FirstParagraph"/>
      </w:pPr>
      <w:r>
        <w:rPr>
          <w:bCs/>
          <w:b/>
        </w:rPr>
        <w:t xml:space="preserve">Calculation:</w:t>
      </w:r>
      <w:r>
        <w:br/>
      </w:r>
      <w:r>
        <w:t xml:space="preserve">Total energy consumption over lifespan = 10 kWh/year * 5 years = 50 kWh/unit</w:t>
      </w:r>
      <w:r>
        <w:br/>
      </w:r>
      <w:r>
        <w:t xml:space="preserve">Scope 3 (Use Phase) Emissions = 50 kWh/unit * 0.250 kgCO2e/kWh =</w:t>
      </w:r>
      <w:r>
        <w:t xml:space="preserve"> </w:t>
      </w:r>
      <w:r>
        <w:rPr>
          <w:bCs/>
          <w:b/>
        </w:rPr>
        <w:t xml:space="preserve">12.50 kgCO2e/unit</w:t>
      </w:r>
    </w:p>
    <w:bookmarkEnd w:id="39"/>
    <w:bookmarkStart w:id="40" w:name="X95982a939e8a288b9f8605a0bd10deb380b6d38"/>
    <w:p>
      <w:pPr>
        <w:pStyle w:val="Heading4"/>
      </w:pPr>
      <w:r>
        <w:t xml:space="preserve">3.3.4. End-of-Life (EoL) Scenarios (Scope 3, Category 12)</w:t>
      </w:r>
    </w:p>
    <w:p>
      <w:pPr>
        <w:pStyle w:val="FirstParagraph"/>
      </w:pPr>
      <w:r>
        <w:t xml:space="preserve">Emissions and potential credits from waste treatment at the end of the product\'s life.</w:t>
      </w:r>
    </w:p>
    <w:p>
      <w:pPr>
        <w:pStyle w:val="BodyText"/>
      </w:pPr>
      <w:r>
        <w:rPr>
          <w:bCs/>
          <w:b/>
        </w:rPr>
        <w:t xml:space="preserve">Parameters:</w:t>
      </w:r>
    </w:p>
    <w:p>
      <w:pPr>
        <w:numPr>
          <w:ilvl w:val="0"/>
          <w:numId w:val="1013"/>
        </w:numPr>
        <w:pStyle w:val="Compact"/>
      </w:pPr>
      <w:r>
        <w:t xml:space="preserve">Recyclability Percentage: 70% (mfsyzvjkmi)</w:t>
      </w:r>
    </w:p>
    <w:p>
      <w:pPr>
        <w:numPr>
          <w:ilvl w:val="0"/>
          <w:numId w:val="1013"/>
        </w:numPr>
        <w:pStyle w:val="Compact"/>
      </w:pPr>
      <w:r>
        <w:t xml:space="preserve">Circular/Take-back Programs: Yes, active (rqxgqlzuok)</w:t>
      </w:r>
    </w:p>
    <w:p>
      <w:pPr>
        <w:pStyle w:val="FirstParagraph"/>
      </w:pPr>
      <w:r>
        <w:t xml:space="preserve">Assumed total product weight at EoL: 1.0 kg (product components, excluding primary packaging already considered in materials, for simplicity and focus on product components). Let\'s assume packaging is recycled separately and has its own EoL pathway.</w:t>
      </w:r>
    </w:p>
    <w:p>
      <w:pPr>
        <w:pStyle w:val="BodyText"/>
      </w:pPr>
      <w:r>
        <w:rPr>
          <w:bCs/>
          <w:b/>
        </w:rPr>
        <w:t xml:space="preserve">Calculation:</w:t>
      </w:r>
    </w:p>
    <w:p>
      <w:pPr>
        <w:numPr>
          <w:ilvl w:val="0"/>
          <w:numId w:val="1014"/>
        </w:numPr>
        <w:pStyle w:val="Compact"/>
      </w:pPr>
      <w:r>
        <w:t xml:space="preserve">Waste to Recycling: 1.0 kg * 70% = 0.7 kg</w:t>
      </w:r>
    </w:p>
    <w:p>
      <w:pPr>
        <w:numPr>
          <w:ilvl w:val="0"/>
          <w:numId w:val="1014"/>
        </w:numPr>
        <w:pStyle w:val="Compact"/>
      </w:pPr>
      <w:r>
        <w:t xml:space="preserve">Waste to Landfill: 1.0 kg * (100% - 70%) = 0.3 kg</w:t>
      </w:r>
    </w:p>
    <w:p>
      <w:pPr>
        <w:pStyle w:val="FirstParagraph"/>
      </w:pPr>
      <w:r>
        <w:rPr>
          <w:bCs/>
          <w:b/>
        </w:rPr>
        <w:t xml:space="preserve">Landfill Emissions:</w:t>
      </w:r>
      <w:r>
        <w:br/>
      </w:r>
      <w:r>
        <w:t xml:space="preserve">Emissions = 0.3 kg * 0.05 kgCO2e/kg (landfill factor for mixed waste) = 0.015 kgCO2e</w:t>
      </w:r>
    </w:p>
    <w:p>
      <w:pPr>
        <w:pStyle w:val="BodyText"/>
      </w:pPr>
      <w:r>
        <w:rPr>
          <w:bCs/>
          <w:b/>
        </w:rPr>
        <w:t xml:space="preserve">Recycling Benefits (avoided virgin production):</w:t>
      </w:r>
      <w:r>
        <w:br/>
      </w:r>
      <w:r>
        <w:t xml:space="preserve">We apply a credit for the recycled portion. As an example, for Aluminum (0.5 kg) and ABS Plastic (0.3 kg) components:</w:t>
      </w:r>
    </w:p>
    <w:p>
      <w:pPr>
        <w:numPr>
          <w:ilvl w:val="0"/>
          <w:numId w:val="1015"/>
        </w:numPr>
        <w:pStyle w:val="Compact"/>
      </w:pPr>
      <w:r>
        <w:t xml:space="preserve">Aluminum Recycling Credit: 0.5 kg * 70% * (8.0 kgCO2e/kg * 0.80) = 0.35 kg * 6.4 kgCO2e/kg = 2.24 kgCO2e (benefit, so negative emission)</w:t>
      </w:r>
    </w:p>
    <w:p>
      <w:pPr>
        <w:numPr>
          <w:ilvl w:val="0"/>
          <w:numId w:val="1015"/>
        </w:numPr>
        <w:pStyle w:val="Compact"/>
      </w:pPr>
      <w:r>
        <w:t xml:space="preserve">ABS Plastic Recycling Credit: 0.3 kg * 70% * (3.5 kgCO2e/kg * 0.80) = 0.21 kg * 2.8 kgCO2e/kg = 0.588 kgCO2e (benefit, so negative emission)</w:t>
      </w:r>
    </w:p>
    <w:p>
      <w:pPr>
        <w:numPr>
          <w:ilvl w:val="0"/>
          <w:numId w:val="1015"/>
        </w:numPr>
        <w:pStyle w:val="Compact"/>
      </w:pPr>
      <w:r>
        <w:t xml:space="preserve">Circuit Board and other small components (0.2 kg total for simplicity): Assume mixed recycling with a general credit equivalent to 50% of an average material factor (e.g., 2 kgCO2e/kg) = 0.2 kg * 70% * (2 kgCO2e/kg * 0.50) = 0.14 kg * 1 kgCO2e/kg = 0.14 kgCO2e (benefit, so negative emission)</w:t>
      </w:r>
    </w:p>
    <w:p>
      <w:pPr>
        <w:pStyle w:val="FirstParagraph"/>
      </w:pPr>
      <w:r>
        <w:t xml:space="preserve">Total Recycling Benefits = -(2.24 + 0.588 + 0.14) = -2.968 kgCO2e</w:t>
      </w:r>
    </w:p>
    <w:p>
      <w:pPr>
        <w:pStyle w:val="BodyText"/>
      </w:pPr>
      <w:r>
        <w:rPr>
          <w:bCs/>
          <w:b/>
        </w:rPr>
        <w:t xml:space="preserve">Total Scope 3 (EoL) Emissions: 0.015 kgCO2e - 2.968 kgCO2e = -2.953 kgCO2e/unit</w:t>
      </w:r>
      <w:r>
        <w:t xml:space="preserve"> </w:t>
      </w:r>
      <w:r>
        <w:t xml:space="preserve">(Net credit)</w:t>
      </w:r>
    </w:p>
    <w:bookmarkEnd w:id="40"/>
    <w:bookmarkStart w:id="41" w:name="total-product-carbon-footprint"/>
    <w:p>
      <w:pPr>
        <w:pStyle w:val="Heading4"/>
      </w:pPr>
      <w:r>
        <w:t xml:space="preserve">3.4. Total Product Carbon Footprint</w:t>
      </w:r>
    </w:p>
    <w:p>
      <w:pPr>
        <w:pStyle w:val="FirstParagraph"/>
      </w:pPr>
      <w:r>
        <w:t xml:space="preserve">Summary of emissions per functional unit (1.0 unit of fjlzwftpfu):</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(kgCO2e/unit)</w:t>
            </w:r>
          </w:p>
        </w:tc>
      </w:tr>
      <w:tr>
        <w:tc>
          <w:tcPr/>
          <w:p>
            <w:pPr>
              <w:pStyle w:val="Compact"/>
              <w:jc w:val="left"/>
            </w:pPr>
            <w:r>
              <w:t xml:space="preserve">Scope 1 (Direct Operations)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3.60</w:t>
            </w:r>
          </w:p>
        </w:tc>
      </w:tr>
      <w:tr>
        <w:tc>
          <w:tcPr>
            <w:gridSpan w:val="2"/>
          </w:tcPr>
          <w:p>
            <w:pPr>
              <w:pStyle w:val="Compact"/>
              <w:jc w:val="left"/>
            </w:pPr>
            <w:r>
              <w:rPr>
                <w:bCs/>
                <w:b/>
              </w:rPr>
              <w:t xml:space="preserve">Scope 3 (Value Chain)</w:t>
            </w:r>
          </w:p>
        </w:tc>
      </w:tr>
      <w:tr>
        <w:tc>
          <w:tcPr/>
          <w:p>
            <w:pPr>
              <w:pStyle w:val="Compact"/>
              <w:jc w:val="left"/>
            </w:pPr>
            <w:r>
              <w:t xml:space="preserve">   Materials (Upstream)</w:t>
            </w:r>
          </w:p>
        </w:tc>
        <w:tc>
          <w:tcPr/>
          <w:p>
            <w:pPr>
              <w:pStyle w:val="Compact"/>
              <w:jc w:val="left"/>
            </w:pPr>
            <w:r>
              <w:t xml:space="preserve">6.41</w:t>
            </w:r>
          </w:p>
        </w:tc>
      </w:tr>
      <w:tr>
        <w:tc>
          <w:tcPr/>
          <w:p>
            <w:pPr>
              <w:pStyle w:val="Compact"/>
              <w:jc w:val="left"/>
            </w:pPr>
            <w:r>
              <w:t xml:space="preserve">   Transport (Upstream &amp; Downstream)</w:t>
            </w:r>
          </w:p>
        </w:tc>
        <w:tc>
          <w:tcPr/>
          <w:p>
            <w:pPr>
              <w:pStyle w:val="Compact"/>
              <w:jc w:val="left"/>
            </w:pPr>
            <w:r>
              <w:t xml:space="preserve">0.24</w:t>
            </w:r>
          </w:p>
        </w:tc>
      </w:tr>
      <w:tr>
        <w:tc>
          <w:tcPr/>
          <w:p>
            <w:pPr>
              <w:pStyle w:val="Compact"/>
              <w:jc w:val="left"/>
            </w:pPr>
            <w:r>
              <w:t xml:space="preserve">   Use Phase</w:t>
            </w:r>
          </w:p>
        </w:tc>
        <w:tc>
          <w:tcPr/>
          <w:p>
            <w:pPr>
              <w:pStyle w:val="Compact"/>
              <w:jc w:val="left"/>
            </w:pPr>
            <w:r>
              <w:t xml:space="preserve">12.50</w:t>
            </w:r>
          </w:p>
        </w:tc>
      </w:tr>
      <w:tr>
        <w:tc>
          <w:tcPr/>
          <w:p>
            <w:pPr>
              <w:pStyle w:val="Compact"/>
              <w:jc w:val="left"/>
            </w:pPr>
            <w:r>
              <w:t xml:space="preserve">   End-of-Life</w:t>
            </w:r>
          </w:p>
        </w:tc>
        <w:tc>
          <w:tcPr/>
          <w:p>
            <w:pPr>
              <w:pStyle w:val="Compact"/>
              <w:jc w:val="left"/>
            </w:pPr>
            <w:r>
              <w:t xml:space="preserve">-2.95 (Net Credit)</w:t>
            </w:r>
          </w:p>
        </w:tc>
      </w:tr>
      <w:tr>
        <w:tc>
          <w:tcPr/>
          <w:p>
            <w:pPr>
              <w:pStyle w:val="Compact"/>
              <w:jc w:val="left"/>
            </w:pPr>
            <w:r>
              <w:rPr>
                <w:bCs/>
                <w:b/>
              </w:rPr>
              <w:t xml:space="preserve">TOTAL PRODUCT CARBON FOOTPRINT</w:t>
            </w:r>
          </w:p>
        </w:tc>
        <w:tc>
          <w:tcPr/>
          <w:p>
            <w:pPr>
              <w:pStyle w:val="Compact"/>
              <w:jc w:val="left"/>
            </w:pPr>
            <w:r>
              <w:rPr>
                <w:bCs/>
                <w:b/>
              </w:rPr>
              <w:t xml:space="preserve">19.80</w:t>
            </w:r>
          </w:p>
        </w:tc>
      </w:tr>
    </w:tbl>
    <w:p>
      <w:pPr>
        <w:pStyle w:val="BodyText"/>
      </w:pPr>
      <w:r>
        <w:t xml:space="preserve">The total Product Carbon Footprint for one unit of</w:t>
      </w:r>
      <w:r>
        <w:t xml:space="preserve"> </w:t>
      </w:r>
      <w:r>
        <w:rPr>
          <w:bCs/>
          <w:b/>
        </w:rPr>
        <w:t xml:space="preserve">fjlzwftpfu</w:t>
      </w:r>
      <w:r>
        <w:t xml:space="preserve"> </w:t>
      </w:r>
      <w:r>
        <w:t xml:space="preserve">is approximately</w:t>
      </w:r>
      <w:r>
        <w:t xml:space="preserve"> </w:t>
      </w:r>
      <w:r>
        <w:rPr>
          <w:bCs/>
          <w:b/>
        </w:rPr>
        <w:t xml:space="preserve">19.80 kgCO2e</w:t>
      </w:r>
      <w:r>
        <w:t xml:space="preserve">.</w:t>
      </w:r>
    </w:p>
    <w:bookmarkEnd w:id="41"/>
    <w:bookmarkStart w:id="42" w:name="land-sector-and-removals-lsr-analysis"/>
    <w:p>
      <w:pPr>
        <w:pStyle w:val="Heading4"/>
      </w:pPr>
      <w:r>
        <w:t xml:space="preserve">3.5. Land Sector and Removals (LSR) Analysis</w:t>
      </w:r>
    </w:p>
    <w:p>
      <w:pPr>
        <w:pStyle w:val="FirstParagraph"/>
      </w:pPr>
      <w:r>
        <w:t xml:space="preserve">In accordance with the 2026 LSR Standard, this analysis acknowledges the importance of land sector emissions and removals. While specific primary data for land-use change associated with each raw material\'s origin (e.g., deforestation for material production) is not provided within the parameters, the inclusion of robust, up-to-date emission factors for materials implicitly accounts for land-use impacts where such data is integrated into the factor development (e.g., bio-based materials, forestry products). Future iterations of this PCF should aim to gather more specific primary data on land-use change impacts of raw material sourcing to fully leverage the LSR Standard for carbon removal and emissions accounting.</w:t>
      </w:r>
    </w:p>
    <w:p>
      <w:r>
        <w:pict>
          <v:rect style="width:0;height:1.5pt" o:hralign="center" o:hrstd="t" o:hr="t"/>
        </w:pict>
      </w:r>
    </w:p>
    <w:bookmarkEnd w:id="42"/>
    <w:bookmarkEnd w:id="43"/>
    <w:bookmarkEnd w:id="44"/>
    <w:bookmarkStart w:id="46" w:name="hotspot-analysis-and-recommendations"/>
    <w:p>
      <w:pPr>
        <w:pStyle w:val="Heading2"/>
      </w:pPr>
      <w:r>
        <w:t xml:space="preserve">4. Hotspot Analysis and Recommendations</w:t>
      </w:r>
    </w:p>
    <w:p>
      <w:pPr>
        <w:pStyle w:val="FirstParagraph"/>
      </w:pPr>
      <w:r>
        <w:t xml:space="preserve">The detailed PCF analysis reveals the primary emission hotspots across the lifecycle of fjlzwftpfu:</w:t>
      </w:r>
    </w:p>
    <w:p>
      <w:pPr>
        <w:numPr>
          <w:ilvl w:val="0"/>
          <w:numId w:val="1016"/>
        </w:numPr>
        <w:pStyle w:val="Compact"/>
      </w:pPr>
      <w:r>
        <w:rPr>
          <w:bCs/>
          <w:b/>
        </w:rPr>
        <w:t xml:space="preserve">Use Phase (12.50 kgCO2e):</w:t>
      </w:r>
      <w:r>
        <w:t xml:space="preserve"> </w:t>
      </w:r>
      <w:r>
        <w:t xml:space="preserve">This is the most significant contributor, accounting for approximately 63% of the total PCF. The energy consumption during the product\'s 5-year lifespan dominates the footprint.</w:t>
      </w:r>
    </w:p>
    <w:p>
      <w:pPr>
        <w:numPr>
          <w:ilvl w:val="0"/>
          <w:numId w:val="1016"/>
        </w:numPr>
        <w:pStyle w:val="Compact"/>
      </w:pPr>
      <w:r>
        <w:rPr>
          <w:bCs/>
          <w:b/>
        </w:rPr>
        <w:t xml:space="preserve">Materials (6.41 kgCO2e):</w:t>
      </w:r>
      <w:r>
        <w:t xml:space="preserve"> </w:t>
      </w:r>
      <w:r>
        <w:t xml:space="preserve">Upstream material production, particularly aluminum and ABS plastic, represents about 32% of the total emissions.</w:t>
      </w:r>
    </w:p>
    <w:p>
      <w:pPr>
        <w:numPr>
          <w:ilvl w:val="0"/>
          <w:numId w:val="1016"/>
        </w:numPr>
        <w:pStyle w:val="Compact"/>
      </w:pPr>
      <w:r>
        <w:rPr>
          <w:bCs/>
          <w:b/>
        </w:rPr>
        <w:t xml:space="preserve">Production Energy (3.60 kgCO2e):</w:t>
      </w:r>
      <w:r>
        <w:t xml:space="preserve"> </w:t>
      </w:r>
      <w:r>
        <w:t xml:space="preserve">Despite 60% renewable energy usage, the remaining 40% from the grid contributes about 18% of the total.</w:t>
      </w:r>
    </w:p>
    <w:p>
      <w:pPr>
        <w:numPr>
          <w:ilvl w:val="0"/>
          <w:numId w:val="1016"/>
        </w:numPr>
        <w:pStyle w:val="Compact"/>
      </w:pPr>
      <w:r>
        <w:rPr>
          <w:bCs/>
          <w:b/>
        </w:rPr>
        <w:t xml:space="preserve">End-of-Life (-2.95 kgCO2e):</w:t>
      </w:r>
      <w:r>
        <w:t xml:space="preserve"> </w:t>
      </w:r>
      <w:r>
        <w:t xml:space="preserve">The active recycling programs generate a significant net credit, demonstrating the positive impact of circular economy initiatives.</w:t>
      </w:r>
    </w:p>
    <w:p>
      <w:pPr>
        <w:numPr>
          <w:ilvl w:val="0"/>
          <w:numId w:val="1016"/>
        </w:numPr>
        <w:pStyle w:val="Compact"/>
      </w:pPr>
      <w:r>
        <w:rPr>
          <w:bCs/>
          <w:b/>
        </w:rPr>
        <w:t xml:space="preserve">Transport (0.24 kgCO2e):</w:t>
      </w:r>
      <w:r>
        <w:t xml:space="preserve"> </w:t>
      </w:r>
      <w:r>
        <w:t xml:space="preserve">Transport emissions are relatively low, at about 1% of the total footprint.</w:t>
      </w:r>
    </w:p>
    <w:bookmarkStart w:id="45" w:name="recommendations-for-carbon-reduction"/>
    <w:p>
      <w:pPr>
        <w:pStyle w:val="Heading3"/>
      </w:pPr>
      <w:r>
        <w:t xml:space="preserve">Recommendations for Carbon Reduction:</w:t>
      </w:r>
    </w:p>
    <w:p>
      <w:pPr>
        <w:numPr>
          <w:ilvl w:val="0"/>
          <w:numId w:val="1017"/>
        </w:numPr>
        <w:pStyle w:val="Compact"/>
      </w:pPr>
      <w:r>
        <w:rPr>
          <w:bCs/>
          <w:b/>
        </w:rPr>
        <w:t xml:space="preserve">Optimize Use Phase Energy Efficiency:</w:t>
      </w:r>
      <w:r>
        <w:t xml:space="preserve"> </w:t>
      </w:r>
      <w:r>
        <w:t xml:space="preserve">Redesign fjlzwftpfu to drastically reduce energy consumption during its use. Explore low-power modes, extend energy-efficient components, and encourage user behavior that minimizes energy draw. Providing clear guidance on energy-saving operation to consumers would be beneficial.</w:t>
      </w:r>
    </w:p>
    <w:p>
      <w:pPr>
        <w:numPr>
          <w:ilvl w:val="0"/>
          <w:numId w:val="1017"/>
        </w:numPr>
        <w:pStyle w:val="Compact"/>
      </w:pPr>
      <w:r>
        <w:rPr>
          <w:bCs/>
          <w:b/>
        </w:rPr>
        <w:t xml:space="preserve">Decarbonize Production Energy:</w:t>
      </w:r>
      <w:r>
        <w:t xml:space="preserve"> </w:t>
      </w:r>
      <w:r>
        <w:t xml:space="preserve">Increase the percentage of renewable energy usage at the manufacturing facility beyond</w:t>
      </w:r>
      <w:r>
        <w:t xml:space="preserve"> </w:t>
      </w:r>
      <w:r>
        <w:rPr>
          <w:bCs/>
          <w:b/>
        </w:rPr>
        <w:t xml:space="preserve">nklfupvkiw (60%)</w:t>
      </w:r>
      <w:r>
        <w:t xml:space="preserve">. Invest in on-site renewables or procure 100% certified renewable electricity through Power Purchase Agreements (PPAs) or renewable energy certificates.</w:t>
      </w:r>
    </w:p>
    <w:p>
      <w:pPr>
        <w:numPr>
          <w:ilvl w:val="0"/>
          <w:numId w:val="1017"/>
        </w:numPr>
        <w:pStyle w:val="Compact"/>
      </w:pPr>
      <w:r>
        <w:rPr>
          <w:bCs/>
          <w:b/>
        </w:rPr>
        <w:t xml:space="preserve">Sustainable Material Sourcing:</w:t>
      </w:r>
      <w:r>
        <w:t xml:space="preserve"> </w:t>
      </w:r>
      <w:r>
        <w:t xml:space="preserve">Investigate opportunities to use lower-carbon alternatives for aluminum (e.g., higher recycled content aluminum or alternative lightweight materials) and ABS plastic (e.g., bio-based plastics, recycled content plastics). Engage with suppliers to encourage their decarbonization efforts and obtain primary, low-carbon material data.</w:t>
      </w:r>
    </w:p>
    <w:p>
      <w:pPr>
        <w:numPr>
          <w:ilvl w:val="0"/>
          <w:numId w:val="1017"/>
        </w:numPr>
        <w:pStyle w:val="Compact"/>
      </w:pPr>
      <w:r>
        <w:rPr>
          <w:bCs/>
          <w:b/>
        </w:rPr>
        <w:t xml:space="preserve">Enhance Circularity:</w:t>
      </w:r>
      <w:r>
        <w:t xml:space="preserve"> </w:t>
      </w:r>
      <w:r>
        <w:t xml:space="preserve">Continue to strengthen</w:t>
      </w:r>
      <w:r>
        <w:t xml:space="preserve"> </w:t>
      </w:r>
      <w:r>
        <w:rPr>
          <w:bCs/>
          <w:b/>
        </w:rPr>
        <w:t xml:space="preserve">rqxgqlzuok (Circular/Take-back Programs)</w:t>
      </w:r>
      <w:r>
        <w:t xml:space="preserve">. Explore design-for-disassembly and repairability to extend product lifespan and facilitate higher quality material recovery. Aim to increase the</w:t>
      </w:r>
      <w:r>
        <w:t xml:space="preserve"> </w:t>
      </w:r>
      <w:r>
        <w:rPr>
          <w:bCs/>
          <w:b/>
        </w:rPr>
        <w:t xml:space="preserve">mfsyzvjkmi (Recyclability Percentage)</w:t>
      </w:r>
      <w:r>
        <w:t xml:space="preserve"> </w:t>
      </w:r>
      <w:r>
        <w:t xml:space="preserve">beyond 70%.</w:t>
      </w:r>
    </w:p>
    <w:p>
      <w:pPr>
        <w:numPr>
          <w:ilvl w:val="0"/>
          <w:numId w:val="1017"/>
        </w:numPr>
        <w:pStyle w:val="Compact"/>
      </w:pPr>
      <w:r>
        <w:rPr>
          <w:bCs/>
          <w:b/>
        </w:rPr>
        <w:t xml:space="preserve">Supply Chain Engagement:</w:t>
      </w:r>
      <w:r>
        <w:t xml:space="preserve"> </w:t>
      </w:r>
      <w:r>
        <w:t xml:space="preserve">Work with logistics providers to optimize routes, shift to lower-emission transport modes (e.g., rail where feasible), and encourage the use of alternative fuels for freight.</w:t>
      </w:r>
    </w:p>
    <w:p>
      <w:r>
        <w:pict>
          <v:rect style="width:0;height:1.5pt" o:hralign="center" o:hrstd="t" o:hr="t"/>
        </w:pict>
      </w:r>
    </w:p>
    <w:bookmarkEnd w:id="45"/>
    <w:bookmarkEnd w:id="46"/>
    <w:bookmarkStart w:id="47" w:name="conclusion"/>
    <w:p>
      <w:pPr>
        <w:pStyle w:val="Heading2"/>
      </w:pPr>
      <w:r>
        <w:t xml:space="preserve">5. Conclusion</w:t>
      </w:r>
    </w:p>
    <w:p>
      <w:pPr>
        <w:pStyle w:val="FirstParagraph"/>
      </w:pPr>
      <w:r>
        <w:t xml:space="preserve">This Product Carbon Footprint analysis for</w:t>
      </w:r>
      <w:r>
        <w:t xml:space="preserve"> </w:t>
      </w:r>
      <w:r>
        <w:rPr>
          <w:bCs/>
          <w:b/>
        </w:rPr>
        <w:t xml:space="preserve">fjlzwftpfu</w:t>
      </w:r>
      <w:r>
        <w:t xml:space="preserve">, conducted by</w:t>
      </w:r>
      <w:r>
        <w:t xml:space="preserve"> </w:t>
      </w:r>
      <w:r>
        <w:rPr>
          <w:bCs/>
          <w:b/>
        </w:rPr>
        <w:t xml:space="preserve">ewtejpogxm</w:t>
      </w:r>
      <w:r>
        <w:t xml:space="preserve"> </w:t>
      </w:r>
      <w:r>
        <w:t xml:space="preserve">for</w:t>
      </w:r>
      <w:r>
        <w:t xml:space="preserve"> </w:t>
      </w:r>
      <w:r>
        <w:rPr>
          <w:bCs/>
          <w:b/>
        </w:rPr>
        <w:t xml:space="preserve">oumomqghgo</w:t>
      </w:r>
      <w:r>
        <w:t xml:space="preserve">, provides a clear quantification of the product\'s environmental impact across its lifecycle, in strict adherence to the</w:t>
      </w:r>
      <w:r>
        <w:t xml:space="preserve"> </w:t>
      </w:r>
      <w:r>
        <w:rPr>
          <w:bCs/>
          <w:b/>
        </w:rPr>
        <w:t xml:space="preserve">GHG Protocol</w:t>
      </w:r>
      <w:r>
        <w:t xml:space="preserve">. With a total PCF of</w:t>
      </w:r>
      <w:r>
        <w:t xml:space="preserve"> </w:t>
      </w:r>
      <w:r>
        <w:rPr>
          <w:bCs/>
          <w:b/>
        </w:rPr>
        <w:t xml:space="preserve">19.80 kgCO2e per unit</w:t>
      </w:r>
      <w:r>
        <w:t xml:space="preserve">, the report highlights that the use phase and material production are the most significant contributors to the footprint. The company\'s commitment to renewable energy and circular economy programs already provides notable benefits. By focusing on enhanced energy efficiency in the use phase and continued decarbonization of materials and production,</w:t>
      </w:r>
      <w:r>
        <w:t xml:space="preserve"> </w:t>
      </w:r>
      <w:r>
        <w:rPr>
          <w:bCs/>
          <w:b/>
        </w:rPr>
        <w:t xml:space="preserve">oumomqghgo</w:t>
      </w:r>
      <w:r>
        <w:t xml:space="preserve"> </w:t>
      </w:r>
      <w:r>
        <w:t xml:space="preserve">can significantly reduce the environmental footprint of</w:t>
      </w:r>
      <w:r>
        <w:t xml:space="preserve"> </w:t>
      </w:r>
      <w:r>
        <w:rPr>
          <w:bCs/>
          <w:b/>
        </w:rPr>
        <w:t xml:space="preserve">fjlzwftpfu</w:t>
      </w:r>
      <w:r>
        <w:t xml:space="preserve"> </w:t>
      </w:r>
      <w:r>
        <w:t xml:space="preserve">and demonstrate strong leadership in sustainability.</w:t>
      </w:r>
    </w:p>
    <w:p>
      <w:pPr>
        <w:pStyle w:val="BodyText"/>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fjlzwftpfu</dc:title>
  <dc:creator/>
  <dc:description>Detailed Product Carbon Footprint (PCF) analysis for fjlzwftpfu by ewtejpogxm, Senior Sustainability Consultant at oumomqghgo, adhering to GHG Protocol and 2026 LSR update.</dc:description>
  <dc:language>en</dc:language>
  <cp:keywords/>
  <dcterms:created xsi:type="dcterms:W3CDTF">2026-07-15T21:09:08Z</dcterms:created>
  <dcterms:modified xsi:type="dcterms:W3CDTF">2026-07-15T21:09:08Z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